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E4822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4A2D" w:rsidRPr="00DE4822" w:rsidRDefault="00B64A2D" w:rsidP="00B64A2D">
            <w:pPr>
              <w:jc w:val="right"/>
            </w:pPr>
            <w:bookmarkStart w:id="0" w:name="_GoBack"/>
            <w:bookmarkEnd w:id="0"/>
            <w:r w:rsidRPr="00DE4822">
              <w:rPr>
                <w:sz w:val="40"/>
              </w:rPr>
              <w:t>E</w:t>
            </w:r>
            <w:r w:rsidRPr="00DE4822">
              <w:t>/ECE/324/Rev.1/Add.78/Rev.3−</w:t>
            </w:r>
            <w:r w:rsidRPr="00DE4822">
              <w:rPr>
                <w:sz w:val="40"/>
              </w:rPr>
              <w:t>E</w:t>
            </w:r>
            <w:r w:rsidRPr="00DE4822">
              <w:t>/ECE/TRANS/505/Rev.1/Add.78/Rev.3</w:t>
            </w:r>
          </w:p>
        </w:tc>
      </w:tr>
      <w:tr w:rsidR="00421A10" w:rsidRPr="00DE4822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E4822" w:rsidRDefault="00421A10" w:rsidP="00A27C92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E4822" w:rsidRDefault="00B64A2D" w:rsidP="00A27C92">
            <w:pPr>
              <w:spacing w:before="480" w:line="240" w:lineRule="exact"/>
            </w:pPr>
            <w:r w:rsidRPr="00DE4822">
              <w:t>30</w:t>
            </w:r>
            <w:r w:rsidR="00EC442C">
              <w:t> </w:t>
            </w:r>
            <w:r w:rsidRPr="00DE4822">
              <w:t>novembre</w:t>
            </w:r>
            <w:r w:rsidR="00EC442C">
              <w:t xml:space="preserve"> </w:t>
            </w:r>
            <w:r w:rsidRPr="00DE4822">
              <w:t>2018</w:t>
            </w:r>
          </w:p>
        </w:tc>
      </w:tr>
    </w:tbl>
    <w:p w:rsidR="00421A10" w:rsidRPr="00DE4822" w:rsidRDefault="00E33761" w:rsidP="0029791D">
      <w:pPr>
        <w:pStyle w:val="HChG"/>
      </w:pPr>
      <w:r w:rsidRPr="00DE4822">
        <w:tab/>
      </w:r>
      <w:r w:rsidR="004837F6" w:rsidRPr="00DE4822">
        <w:tab/>
      </w:r>
      <w:r w:rsidR="00421A10" w:rsidRPr="00DE4822">
        <w:t>Accord</w:t>
      </w:r>
    </w:p>
    <w:p w:rsidR="00421A10" w:rsidRPr="00DE4822" w:rsidRDefault="004837F6" w:rsidP="00CC63FD">
      <w:pPr>
        <w:pStyle w:val="H1G"/>
        <w:spacing w:before="240" w:after="120"/>
      </w:pPr>
      <w:r w:rsidRPr="00DE4822">
        <w:tab/>
      </w:r>
      <w:r w:rsidR="00E33761" w:rsidRPr="00DE4822">
        <w:tab/>
      </w:r>
      <w:r w:rsidR="00027188" w:rsidRPr="00DE4822">
        <w:rPr>
          <w:bCs/>
          <w:lang w:val="fr-FR"/>
        </w:rPr>
        <w:t>Concernant</w:t>
      </w:r>
      <w:r w:rsidR="00EC442C">
        <w:rPr>
          <w:bCs/>
          <w:lang w:val="fr-FR"/>
        </w:rPr>
        <w:t xml:space="preserve"> </w:t>
      </w:r>
      <w:r w:rsidR="00027188" w:rsidRPr="00DE4822">
        <w:rPr>
          <w:bCs/>
          <w:lang w:val="fr-FR"/>
        </w:rPr>
        <w:t>l</w:t>
      </w:r>
      <w:r w:rsidR="00916075" w:rsidRPr="00DE4822">
        <w:rPr>
          <w:bCs/>
          <w:lang w:val="fr-FR"/>
        </w:rPr>
        <w:t>’</w:t>
      </w:r>
      <w:r w:rsidR="00027188" w:rsidRPr="00DE4822">
        <w:rPr>
          <w:bCs/>
          <w:lang w:val="fr-FR"/>
        </w:rPr>
        <w:t>adoption</w:t>
      </w:r>
      <w:r w:rsidR="00EC442C">
        <w:rPr>
          <w:bCs/>
          <w:lang w:val="fr-FR"/>
        </w:rPr>
        <w:t xml:space="preserve"> </w:t>
      </w:r>
      <w:r w:rsidR="00027188" w:rsidRPr="00DE4822">
        <w:rPr>
          <w:bCs/>
          <w:lang w:val="fr-FR"/>
        </w:rPr>
        <w:t>de</w:t>
      </w:r>
      <w:r w:rsidR="00EC442C">
        <w:rPr>
          <w:bCs/>
          <w:lang w:val="fr-FR"/>
        </w:rPr>
        <w:t xml:space="preserve"> </w:t>
      </w:r>
      <w:r w:rsidR="00027188" w:rsidRPr="00DE4822">
        <w:rPr>
          <w:bCs/>
          <w:lang w:val="fr-FR"/>
        </w:rPr>
        <w:t>Règlements</w:t>
      </w:r>
      <w:r w:rsidR="00EC442C">
        <w:rPr>
          <w:bCs/>
          <w:lang w:val="fr-FR"/>
        </w:rPr>
        <w:t xml:space="preserve"> </w:t>
      </w:r>
      <w:r w:rsidR="00027188" w:rsidRPr="00DE4822">
        <w:rPr>
          <w:bCs/>
          <w:lang w:val="fr-FR"/>
        </w:rPr>
        <w:t>techniques</w:t>
      </w:r>
      <w:r w:rsidR="00EC442C">
        <w:rPr>
          <w:bCs/>
          <w:lang w:val="fr-FR"/>
        </w:rPr>
        <w:t xml:space="preserve"> </w:t>
      </w:r>
      <w:r w:rsidR="00027188" w:rsidRPr="00DE4822">
        <w:rPr>
          <w:bCs/>
          <w:lang w:val="fr-FR"/>
        </w:rPr>
        <w:t>harmonisés</w:t>
      </w:r>
      <w:r w:rsidR="00EC442C">
        <w:rPr>
          <w:bCs/>
          <w:lang w:val="fr-FR"/>
        </w:rPr>
        <w:t xml:space="preserve"> </w:t>
      </w:r>
      <w:r w:rsidR="00027188" w:rsidRPr="00DE4822">
        <w:rPr>
          <w:bCs/>
          <w:lang w:val="fr-FR"/>
        </w:rPr>
        <w:t>de</w:t>
      </w:r>
      <w:r w:rsidR="00EC442C">
        <w:rPr>
          <w:bCs/>
          <w:lang w:val="fr-FR"/>
        </w:rPr>
        <w:t xml:space="preserve"> </w:t>
      </w:r>
      <w:r w:rsidR="00027188" w:rsidRPr="00DE4822">
        <w:rPr>
          <w:bCs/>
          <w:lang w:val="fr-FR"/>
        </w:rPr>
        <w:t>l</w:t>
      </w:r>
      <w:r w:rsidR="00916075" w:rsidRPr="00DE4822">
        <w:rPr>
          <w:bCs/>
          <w:lang w:val="fr-FR"/>
        </w:rPr>
        <w:t>’</w:t>
      </w:r>
      <w:r w:rsidR="00027188" w:rsidRPr="00DE4822">
        <w:rPr>
          <w:bCs/>
          <w:lang w:val="fr-FR"/>
        </w:rPr>
        <w:t>ONU</w:t>
      </w:r>
      <w:r w:rsidR="00EC442C">
        <w:rPr>
          <w:bCs/>
          <w:lang w:val="fr-FR"/>
        </w:rPr>
        <w:t xml:space="preserve"> </w:t>
      </w:r>
      <w:r w:rsidR="00027188" w:rsidRPr="00DE4822">
        <w:rPr>
          <w:bCs/>
          <w:lang w:val="fr-FR"/>
        </w:rPr>
        <w:t>applicables</w:t>
      </w:r>
      <w:r w:rsidR="00EC442C">
        <w:rPr>
          <w:bCs/>
          <w:lang w:val="fr-FR"/>
        </w:rPr>
        <w:t xml:space="preserve"> </w:t>
      </w:r>
      <w:r w:rsidR="00027188" w:rsidRPr="00DE4822">
        <w:rPr>
          <w:bCs/>
          <w:lang w:val="fr-FR"/>
        </w:rPr>
        <w:t>aux</w:t>
      </w:r>
      <w:r w:rsidR="00EC442C">
        <w:rPr>
          <w:bCs/>
          <w:lang w:val="fr-FR"/>
        </w:rPr>
        <w:t xml:space="preserve"> </w:t>
      </w:r>
      <w:r w:rsidR="00027188" w:rsidRPr="00DE4822">
        <w:rPr>
          <w:bCs/>
          <w:lang w:val="fr-FR"/>
        </w:rPr>
        <w:t>véhicules</w:t>
      </w:r>
      <w:r w:rsidR="00EC442C">
        <w:rPr>
          <w:bCs/>
          <w:lang w:val="fr-FR"/>
        </w:rPr>
        <w:t xml:space="preserve"> </w:t>
      </w:r>
      <w:r w:rsidR="00027188" w:rsidRPr="00DE4822">
        <w:rPr>
          <w:bCs/>
          <w:lang w:val="fr-FR"/>
        </w:rPr>
        <w:t>à</w:t>
      </w:r>
      <w:r w:rsidR="00EC442C">
        <w:rPr>
          <w:bCs/>
          <w:lang w:val="fr-FR"/>
        </w:rPr>
        <w:t xml:space="preserve"> </w:t>
      </w:r>
      <w:r w:rsidR="00027188" w:rsidRPr="00DE4822">
        <w:rPr>
          <w:bCs/>
          <w:lang w:val="fr-FR"/>
        </w:rPr>
        <w:t>roues</w:t>
      </w:r>
      <w:r w:rsidR="00EC442C">
        <w:rPr>
          <w:bCs/>
          <w:lang w:val="fr-FR"/>
        </w:rPr>
        <w:t xml:space="preserve"> </w:t>
      </w:r>
      <w:r w:rsidR="00027188" w:rsidRPr="00DE4822">
        <w:rPr>
          <w:bCs/>
          <w:lang w:val="fr-FR"/>
        </w:rPr>
        <w:t>et</w:t>
      </w:r>
      <w:r w:rsidR="00EC442C">
        <w:rPr>
          <w:bCs/>
          <w:lang w:val="fr-FR"/>
        </w:rPr>
        <w:t xml:space="preserve"> </w:t>
      </w:r>
      <w:r w:rsidR="00027188" w:rsidRPr="00DE4822">
        <w:rPr>
          <w:bCs/>
          <w:lang w:val="fr-FR"/>
        </w:rPr>
        <w:t>aux</w:t>
      </w:r>
      <w:r w:rsidR="00EC442C">
        <w:rPr>
          <w:bCs/>
          <w:lang w:val="fr-FR"/>
        </w:rPr>
        <w:t xml:space="preserve"> </w:t>
      </w:r>
      <w:r w:rsidR="00027188" w:rsidRPr="00DE4822">
        <w:rPr>
          <w:bCs/>
          <w:lang w:val="fr-FR"/>
        </w:rPr>
        <w:t>équipements</w:t>
      </w:r>
      <w:r w:rsidR="00EC442C">
        <w:rPr>
          <w:bCs/>
          <w:lang w:val="fr-FR"/>
        </w:rPr>
        <w:t xml:space="preserve"> </w:t>
      </w:r>
      <w:r w:rsidR="00027188" w:rsidRPr="00DE4822">
        <w:rPr>
          <w:bCs/>
          <w:lang w:val="fr-FR"/>
        </w:rPr>
        <w:t>et</w:t>
      </w:r>
      <w:r w:rsidR="00EC442C">
        <w:rPr>
          <w:bCs/>
          <w:lang w:val="fr-FR"/>
        </w:rPr>
        <w:t xml:space="preserve"> </w:t>
      </w:r>
      <w:r w:rsidR="00027188" w:rsidRPr="00DE4822">
        <w:rPr>
          <w:bCs/>
          <w:lang w:val="fr-FR"/>
        </w:rPr>
        <w:t>pièces</w:t>
      </w:r>
      <w:r w:rsidR="00EC442C">
        <w:rPr>
          <w:bCs/>
          <w:lang w:val="fr-FR"/>
        </w:rPr>
        <w:t xml:space="preserve"> </w:t>
      </w:r>
      <w:r w:rsidR="00027188" w:rsidRPr="00DE4822">
        <w:rPr>
          <w:bCs/>
          <w:lang w:val="fr-FR"/>
        </w:rPr>
        <w:t>susceptibles</w:t>
      </w:r>
      <w:r w:rsidR="00EC442C">
        <w:rPr>
          <w:bCs/>
          <w:lang w:val="fr-FR"/>
        </w:rPr>
        <w:t xml:space="preserve"> </w:t>
      </w:r>
      <w:r w:rsidR="00027188" w:rsidRPr="00DE4822">
        <w:rPr>
          <w:bCs/>
          <w:lang w:val="fr-FR"/>
        </w:rPr>
        <w:t>d</w:t>
      </w:r>
      <w:r w:rsidR="00916075" w:rsidRPr="00DE4822">
        <w:rPr>
          <w:bCs/>
          <w:lang w:val="fr-FR"/>
        </w:rPr>
        <w:t>’</w:t>
      </w:r>
      <w:r w:rsidR="00027188" w:rsidRPr="00DE4822">
        <w:rPr>
          <w:bCs/>
          <w:lang w:val="fr-FR"/>
        </w:rPr>
        <w:t>être</w:t>
      </w:r>
      <w:r w:rsidR="00EC442C">
        <w:rPr>
          <w:bCs/>
          <w:lang w:val="fr-FR"/>
        </w:rPr>
        <w:t xml:space="preserve"> </w:t>
      </w:r>
      <w:r w:rsidR="00027188" w:rsidRPr="00DE4822">
        <w:rPr>
          <w:bCs/>
          <w:lang w:val="fr-FR"/>
        </w:rPr>
        <w:t>montés</w:t>
      </w:r>
      <w:r w:rsidR="00EC442C">
        <w:rPr>
          <w:bCs/>
          <w:lang w:val="fr-FR"/>
        </w:rPr>
        <w:t xml:space="preserve"> </w:t>
      </w:r>
      <w:r w:rsidR="00027188" w:rsidRPr="00DE4822">
        <w:rPr>
          <w:bCs/>
          <w:lang w:val="fr-FR"/>
        </w:rPr>
        <w:t>ou</w:t>
      </w:r>
      <w:r w:rsidR="00EC442C">
        <w:rPr>
          <w:bCs/>
          <w:lang w:val="fr-FR"/>
        </w:rPr>
        <w:t xml:space="preserve"> </w:t>
      </w:r>
      <w:r w:rsidR="00027188" w:rsidRPr="00DE4822">
        <w:rPr>
          <w:bCs/>
          <w:lang w:val="fr-FR"/>
        </w:rPr>
        <w:t>utilisés</w:t>
      </w:r>
      <w:r w:rsidR="00EC442C">
        <w:rPr>
          <w:bCs/>
          <w:lang w:val="fr-FR"/>
        </w:rPr>
        <w:t xml:space="preserve"> </w:t>
      </w:r>
      <w:r w:rsidR="00027188" w:rsidRPr="00DE4822">
        <w:rPr>
          <w:bCs/>
          <w:lang w:val="fr-FR"/>
        </w:rPr>
        <w:t>sur</w:t>
      </w:r>
      <w:r w:rsidR="00EC442C">
        <w:rPr>
          <w:bCs/>
          <w:lang w:val="fr-FR"/>
        </w:rPr>
        <w:t xml:space="preserve"> </w:t>
      </w:r>
      <w:r w:rsidR="00027188" w:rsidRPr="00DE4822">
        <w:rPr>
          <w:bCs/>
          <w:lang w:val="fr-FR"/>
        </w:rPr>
        <w:t>les</w:t>
      </w:r>
      <w:r w:rsidR="00EC442C">
        <w:rPr>
          <w:bCs/>
          <w:lang w:val="fr-FR"/>
        </w:rPr>
        <w:t xml:space="preserve"> </w:t>
      </w:r>
      <w:r w:rsidR="00027188" w:rsidRPr="00DE4822">
        <w:rPr>
          <w:bCs/>
          <w:lang w:val="fr-FR"/>
        </w:rPr>
        <w:t>véhicules</w:t>
      </w:r>
      <w:r w:rsidR="00EC442C">
        <w:rPr>
          <w:bCs/>
          <w:lang w:val="fr-FR"/>
        </w:rPr>
        <w:t xml:space="preserve"> </w:t>
      </w:r>
      <w:r w:rsidR="00027188" w:rsidRPr="00DE4822">
        <w:rPr>
          <w:bCs/>
          <w:lang w:val="fr-FR"/>
        </w:rPr>
        <w:t>à</w:t>
      </w:r>
      <w:r w:rsidR="00EC442C">
        <w:rPr>
          <w:bCs/>
          <w:lang w:val="fr-FR"/>
        </w:rPr>
        <w:t xml:space="preserve"> </w:t>
      </w:r>
      <w:r w:rsidR="00027188" w:rsidRPr="00DE4822">
        <w:rPr>
          <w:bCs/>
          <w:lang w:val="fr-FR"/>
        </w:rPr>
        <w:t>roues</w:t>
      </w:r>
      <w:r w:rsidR="00EC442C">
        <w:rPr>
          <w:bCs/>
          <w:lang w:val="fr-FR"/>
        </w:rPr>
        <w:t xml:space="preserve"> </w:t>
      </w:r>
      <w:r w:rsidR="00027188" w:rsidRPr="00DE4822">
        <w:rPr>
          <w:bCs/>
          <w:lang w:val="fr-FR"/>
        </w:rPr>
        <w:t>et</w:t>
      </w:r>
      <w:r w:rsidR="00EC442C">
        <w:rPr>
          <w:bCs/>
          <w:lang w:val="fr-FR"/>
        </w:rPr>
        <w:t xml:space="preserve"> </w:t>
      </w:r>
      <w:r w:rsidR="00027188" w:rsidRPr="00DE4822">
        <w:rPr>
          <w:bCs/>
          <w:lang w:val="fr-FR"/>
        </w:rPr>
        <w:t>les</w:t>
      </w:r>
      <w:r w:rsidR="00EC442C">
        <w:rPr>
          <w:bCs/>
          <w:lang w:val="fr-FR"/>
        </w:rPr>
        <w:t> </w:t>
      </w:r>
      <w:r w:rsidR="00027188" w:rsidRPr="00DE4822">
        <w:rPr>
          <w:bCs/>
          <w:lang w:val="fr-FR"/>
        </w:rPr>
        <w:t>conditions</w:t>
      </w:r>
      <w:r w:rsidR="00EC442C">
        <w:rPr>
          <w:bCs/>
          <w:lang w:val="fr-FR"/>
        </w:rPr>
        <w:t xml:space="preserve"> </w:t>
      </w:r>
      <w:r w:rsidR="00027188" w:rsidRPr="00DE4822">
        <w:rPr>
          <w:bCs/>
          <w:lang w:val="fr-FR"/>
        </w:rPr>
        <w:t>de</w:t>
      </w:r>
      <w:r w:rsidR="00EC442C">
        <w:rPr>
          <w:bCs/>
          <w:lang w:val="fr-FR"/>
        </w:rPr>
        <w:t xml:space="preserve"> </w:t>
      </w:r>
      <w:r w:rsidR="00027188" w:rsidRPr="00DE4822">
        <w:rPr>
          <w:bCs/>
          <w:lang w:val="fr-FR"/>
        </w:rPr>
        <w:t>reconnaissance</w:t>
      </w:r>
      <w:r w:rsidR="00EC442C">
        <w:rPr>
          <w:bCs/>
          <w:lang w:val="fr-FR"/>
        </w:rPr>
        <w:t xml:space="preserve"> </w:t>
      </w:r>
      <w:r w:rsidR="00027188" w:rsidRPr="00DE4822">
        <w:rPr>
          <w:bCs/>
          <w:lang w:val="fr-FR"/>
        </w:rPr>
        <w:t>réciproque</w:t>
      </w:r>
      <w:r w:rsidR="00EC442C">
        <w:rPr>
          <w:bCs/>
          <w:lang w:val="fr-FR"/>
        </w:rPr>
        <w:t xml:space="preserve"> </w:t>
      </w:r>
      <w:r w:rsidR="00027188" w:rsidRPr="00DE4822">
        <w:rPr>
          <w:bCs/>
          <w:lang w:val="fr-FR"/>
        </w:rPr>
        <w:t>des</w:t>
      </w:r>
      <w:r w:rsidR="00EC442C">
        <w:rPr>
          <w:bCs/>
          <w:lang w:val="fr-FR"/>
        </w:rPr>
        <w:t xml:space="preserve"> </w:t>
      </w:r>
      <w:r w:rsidR="00027188" w:rsidRPr="00DE4822">
        <w:rPr>
          <w:bCs/>
          <w:lang w:val="fr-FR"/>
        </w:rPr>
        <w:t>homologations</w:t>
      </w:r>
      <w:r w:rsidR="00EC442C">
        <w:rPr>
          <w:bCs/>
          <w:lang w:val="fr-FR"/>
        </w:rPr>
        <w:t xml:space="preserve"> </w:t>
      </w:r>
      <w:r w:rsidR="00027188" w:rsidRPr="00DE4822">
        <w:rPr>
          <w:bCs/>
          <w:lang w:val="fr-FR"/>
        </w:rPr>
        <w:t>délivrées</w:t>
      </w:r>
      <w:r w:rsidR="00EC442C">
        <w:rPr>
          <w:bCs/>
          <w:lang w:val="fr-FR"/>
        </w:rPr>
        <w:t xml:space="preserve"> </w:t>
      </w:r>
      <w:r w:rsidR="00027188" w:rsidRPr="00DE4822">
        <w:rPr>
          <w:bCs/>
          <w:lang w:val="fr-FR"/>
        </w:rPr>
        <w:t>conformément</w:t>
      </w:r>
      <w:r w:rsidR="00EC442C">
        <w:rPr>
          <w:bCs/>
          <w:lang w:val="fr-FR"/>
        </w:rPr>
        <w:t xml:space="preserve"> </w:t>
      </w:r>
      <w:r w:rsidR="00027188" w:rsidRPr="00DE4822">
        <w:rPr>
          <w:bCs/>
          <w:lang w:val="fr-FR"/>
        </w:rPr>
        <w:t>à</w:t>
      </w:r>
      <w:r w:rsidR="00EC442C">
        <w:rPr>
          <w:bCs/>
          <w:lang w:val="fr-FR"/>
        </w:rPr>
        <w:t xml:space="preserve"> </w:t>
      </w:r>
      <w:r w:rsidR="00027188" w:rsidRPr="00DE4822">
        <w:rPr>
          <w:bCs/>
          <w:lang w:val="fr-FR"/>
        </w:rPr>
        <w:t>ces</w:t>
      </w:r>
      <w:r w:rsidR="00EC442C">
        <w:rPr>
          <w:bCs/>
          <w:lang w:val="fr-FR"/>
        </w:rPr>
        <w:t xml:space="preserve"> </w:t>
      </w:r>
      <w:r w:rsidR="00027188" w:rsidRPr="00DE4822">
        <w:rPr>
          <w:bCs/>
          <w:lang w:val="fr-FR"/>
        </w:rPr>
        <w:t>Règlements</w:t>
      </w:r>
      <w:r w:rsidR="00027188" w:rsidRPr="00DE4822">
        <w:rPr>
          <w:b w:val="0"/>
          <w:bCs/>
          <w:sz w:val="20"/>
          <w:lang w:val="fr-FR"/>
        </w:rPr>
        <w:footnoteReference w:customMarkFollows="1" w:id="2"/>
        <w:t>*</w:t>
      </w:r>
    </w:p>
    <w:p w:rsidR="00421A10" w:rsidRPr="00DE4822" w:rsidRDefault="00421A10" w:rsidP="0029791D">
      <w:pPr>
        <w:pStyle w:val="SingleTxtG"/>
        <w:jc w:val="left"/>
        <w:rPr>
          <w:b/>
          <w:sz w:val="24"/>
          <w:szCs w:val="24"/>
        </w:rPr>
      </w:pPr>
      <w:r w:rsidRPr="00DE4822">
        <w:t>(Révision</w:t>
      </w:r>
      <w:r w:rsidR="00EC442C">
        <w:t xml:space="preserve"> </w:t>
      </w:r>
      <w:r w:rsidR="00934BA7" w:rsidRPr="00DE4822">
        <w:rPr>
          <w:lang w:val="fr-FR"/>
        </w:rPr>
        <w:t>3,</w:t>
      </w:r>
      <w:r w:rsidR="00EC442C">
        <w:rPr>
          <w:lang w:val="fr-FR"/>
        </w:rPr>
        <w:t xml:space="preserve"> </w:t>
      </w:r>
      <w:r w:rsidR="00934BA7" w:rsidRPr="00DE4822">
        <w:rPr>
          <w:lang w:val="fr-FR"/>
        </w:rPr>
        <w:t>comprenant</w:t>
      </w:r>
      <w:r w:rsidR="00EC442C">
        <w:rPr>
          <w:lang w:val="fr-FR"/>
        </w:rPr>
        <w:t xml:space="preserve"> </w:t>
      </w:r>
      <w:r w:rsidR="00934BA7"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="00934BA7" w:rsidRPr="00DE4822">
        <w:rPr>
          <w:lang w:val="fr-FR"/>
        </w:rPr>
        <w:t>amendements</w:t>
      </w:r>
      <w:r w:rsidR="00EC442C">
        <w:rPr>
          <w:lang w:val="fr-FR"/>
        </w:rPr>
        <w:t xml:space="preserve"> </w:t>
      </w:r>
      <w:r w:rsidR="00934BA7" w:rsidRPr="00DE4822">
        <w:rPr>
          <w:lang w:val="fr-FR"/>
        </w:rPr>
        <w:t>entrés</w:t>
      </w:r>
      <w:r w:rsidR="00EC442C">
        <w:rPr>
          <w:lang w:val="fr-FR"/>
        </w:rPr>
        <w:t xml:space="preserve"> </w:t>
      </w:r>
      <w:r w:rsidR="00934BA7"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="00934BA7" w:rsidRPr="00DE4822">
        <w:rPr>
          <w:lang w:val="fr-FR"/>
        </w:rPr>
        <w:t>vigueur</w:t>
      </w:r>
      <w:r w:rsidR="00EC442C">
        <w:rPr>
          <w:lang w:val="fr-FR"/>
        </w:rPr>
        <w:t xml:space="preserve"> </w:t>
      </w:r>
      <w:r w:rsidR="00934BA7"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="00934BA7" w:rsidRPr="00DE4822">
        <w:rPr>
          <w:lang w:val="fr-FR"/>
        </w:rPr>
        <w:t>14</w:t>
      </w:r>
      <w:r w:rsidR="00EC442C">
        <w:rPr>
          <w:lang w:val="fr-FR"/>
        </w:rPr>
        <w:t> </w:t>
      </w:r>
      <w:r w:rsidR="00934BA7" w:rsidRPr="00DE4822">
        <w:rPr>
          <w:lang w:val="fr-FR"/>
        </w:rPr>
        <w:t>septembre</w:t>
      </w:r>
      <w:r w:rsidR="00EC442C">
        <w:rPr>
          <w:lang w:val="fr-FR"/>
        </w:rPr>
        <w:t xml:space="preserve"> </w:t>
      </w:r>
      <w:r w:rsidR="00934BA7" w:rsidRPr="00DE4822">
        <w:rPr>
          <w:lang w:val="fr-FR"/>
        </w:rPr>
        <w:t>2017</w:t>
      </w:r>
      <w:r w:rsidRPr="00DE4822">
        <w:t>)</w:t>
      </w:r>
    </w:p>
    <w:p w:rsidR="00421A10" w:rsidRPr="00DE4822" w:rsidRDefault="0029791D" w:rsidP="0029791D">
      <w:pPr>
        <w:jc w:val="center"/>
      </w:pPr>
      <w:r w:rsidRPr="00DE4822">
        <w:t>_______________</w:t>
      </w:r>
    </w:p>
    <w:p w:rsidR="00421A10" w:rsidRPr="00DE4822" w:rsidRDefault="004837F6" w:rsidP="00CC63FD">
      <w:pPr>
        <w:pStyle w:val="H1G"/>
        <w:spacing w:before="240" w:after="120"/>
      </w:pPr>
      <w:r w:rsidRPr="00DE4822">
        <w:tab/>
      </w:r>
      <w:r w:rsidR="00E33761" w:rsidRPr="00DE4822">
        <w:tab/>
      </w:r>
      <w:r w:rsidR="00421A10" w:rsidRPr="00DE4822">
        <w:t>Additif</w:t>
      </w:r>
      <w:r w:rsidR="00EC442C">
        <w:t xml:space="preserve"> </w:t>
      </w:r>
      <w:r w:rsidR="00934BA7" w:rsidRPr="00DE4822">
        <w:t>78</w:t>
      </w:r>
      <w:r w:rsidR="00EC442C">
        <w:t xml:space="preserve"> : </w:t>
      </w:r>
      <w:r w:rsidR="00421A10" w:rsidRPr="00DE4822">
        <w:t>Règlement</w:t>
      </w:r>
      <w:r w:rsidR="00EC442C">
        <w:t xml:space="preserve"> </w:t>
      </w:r>
      <w:r w:rsidR="00421A10" w:rsidRPr="00DE4822">
        <w:t>n</w:t>
      </w:r>
      <w:r w:rsidR="00421A10" w:rsidRPr="00DE4822">
        <w:rPr>
          <w:vertAlign w:val="superscript"/>
        </w:rPr>
        <w:t>o</w:t>
      </w:r>
      <w:r w:rsidR="00EC442C">
        <w:t> </w:t>
      </w:r>
      <w:r w:rsidR="00934BA7" w:rsidRPr="00DE4822">
        <w:t>79</w:t>
      </w:r>
    </w:p>
    <w:p w:rsidR="00421A10" w:rsidRPr="00DE4822" w:rsidRDefault="004837F6" w:rsidP="00CC63FD">
      <w:pPr>
        <w:pStyle w:val="H1G"/>
        <w:spacing w:before="240" w:after="120"/>
      </w:pPr>
      <w:r w:rsidRPr="00DE4822">
        <w:tab/>
      </w:r>
      <w:r w:rsidR="00E33761" w:rsidRPr="00DE4822">
        <w:tab/>
      </w:r>
      <w:r w:rsidR="00421A10" w:rsidRPr="00DE4822">
        <w:t>Révision</w:t>
      </w:r>
      <w:r w:rsidR="00EC442C">
        <w:t xml:space="preserve"> </w:t>
      </w:r>
      <w:r w:rsidR="00934BA7" w:rsidRPr="00DE4822">
        <w:t>3</w:t>
      </w:r>
    </w:p>
    <w:p w:rsidR="0019577E" w:rsidRPr="00DE4822" w:rsidRDefault="00421A10" w:rsidP="003C4A24">
      <w:pPr>
        <w:pStyle w:val="SingleTxtG"/>
        <w:spacing w:after="0"/>
        <w:rPr>
          <w:lang w:val="fr-FR"/>
        </w:rPr>
      </w:pPr>
      <w:r w:rsidRPr="00DE4822">
        <w:t>Comprenant</w:t>
      </w:r>
      <w:r w:rsidR="00EC442C">
        <w:rPr>
          <w:lang w:val="fr-FR"/>
        </w:rPr>
        <w:t xml:space="preserve"> </w:t>
      </w:r>
      <w:r w:rsidR="0019577E" w:rsidRPr="00DE4822">
        <w:rPr>
          <w:lang w:val="fr-FR"/>
        </w:rPr>
        <w:t>tout</w:t>
      </w:r>
      <w:r w:rsidR="00EC442C">
        <w:rPr>
          <w:lang w:val="fr-FR"/>
        </w:rPr>
        <w:t xml:space="preserve"> </w:t>
      </w:r>
      <w:r w:rsidR="0019577E"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="0019577E" w:rsidRPr="00DE4822">
        <w:rPr>
          <w:lang w:val="fr-FR"/>
        </w:rPr>
        <w:t>texte</w:t>
      </w:r>
      <w:r w:rsidR="00EC442C">
        <w:rPr>
          <w:lang w:val="fr-FR"/>
        </w:rPr>
        <w:t xml:space="preserve"> </w:t>
      </w:r>
      <w:r w:rsidR="0019577E" w:rsidRPr="00DE4822">
        <w:rPr>
          <w:lang w:val="fr-FR"/>
        </w:rPr>
        <w:t>valide</w:t>
      </w:r>
      <w:r w:rsidR="00EC442C">
        <w:rPr>
          <w:lang w:val="fr-FR"/>
        </w:rPr>
        <w:t xml:space="preserve"> </w:t>
      </w:r>
      <w:r w:rsidR="0019577E" w:rsidRPr="00DE4822">
        <w:rPr>
          <w:lang w:val="fr-FR"/>
        </w:rPr>
        <w:t>jusqu</w:t>
      </w:r>
      <w:r w:rsidR="00916075" w:rsidRPr="00DE4822">
        <w:rPr>
          <w:lang w:val="fr-FR"/>
        </w:rPr>
        <w:t>’</w:t>
      </w:r>
      <w:r w:rsidR="0019577E" w:rsidRPr="00DE4822">
        <w:rPr>
          <w:lang w:val="fr-FR"/>
        </w:rPr>
        <w:t>à</w:t>
      </w:r>
      <w:r w:rsidR="00EC442C">
        <w:rPr>
          <w:lang w:val="fr-FR"/>
        </w:rPr>
        <w:t> :</w:t>
      </w:r>
    </w:p>
    <w:p w:rsidR="0019577E" w:rsidRPr="00DE4822" w:rsidRDefault="0019577E" w:rsidP="003C4A24">
      <w:pPr>
        <w:pStyle w:val="SingleTxtG"/>
        <w:spacing w:after="0"/>
        <w:rPr>
          <w:lang w:val="fr-FR"/>
        </w:rPr>
      </w:pP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révision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2,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y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compris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rectificatif</w:t>
      </w:r>
    </w:p>
    <w:p w:rsidR="0019577E" w:rsidRPr="00DE4822" w:rsidRDefault="0019577E" w:rsidP="003C4A24">
      <w:pPr>
        <w:pStyle w:val="SingleTxtG"/>
        <w:spacing w:after="0"/>
        <w:rPr>
          <w:lang w:val="fr-FR"/>
        </w:rPr>
      </w:pP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complément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4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série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01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</w:t>
      </w:r>
      <w:r w:rsidR="00916075" w:rsidRPr="00DE4822">
        <w:rPr>
          <w:lang w:val="fr-FR"/>
        </w:rPr>
        <w:t>’</w:t>
      </w:r>
      <w:r w:rsidRPr="00DE4822">
        <w:rPr>
          <w:lang w:val="fr-FR"/>
        </w:rPr>
        <w:t>amendements</w:t>
      </w:r>
      <w:r w:rsidR="00EC442C">
        <w:rPr>
          <w:lang w:val="fr-FR"/>
        </w:rPr>
        <w:t xml:space="preserve"> </w:t>
      </w:r>
      <w:r w:rsidR="009946EA">
        <w:rPr>
          <w:lang w:val="fr-FR"/>
        </w:rPr>
        <w:t>−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</w:t>
      </w:r>
      <w:r w:rsidR="00916075" w:rsidRPr="00DE4822">
        <w:rPr>
          <w:lang w:val="fr-FR"/>
        </w:rPr>
        <w:t>’</w:t>
      </w:r>
      <w:r w:rsidRPr="00DE4822">
        <w:rPr>
          <w:lang w:val="fr-FR"/>
        </w:rPr>
        <w:t>entrée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vigueur</w:t>
      </w:r>
      <w:r w:rsidR="00EC442C">
        <w:rPr>
          <w:lang w:val="fr-FR"/>
        </w:rPr>
        <w:t xml:space="preserve"> : </w:t>
      </w:r>
      <w:r w:rsidRPr="00DE4822">
        <w:rPr>
          <w:lang w:val="fr-FR"/>
        </w:rPr>
        <w:t>13</w:t>
      </w:r>
      <w:r w:rsidR="009946EA">
        <w:rPr>
          <w:lang w:val="fr-FR"/>
        </w:rPr>
        <w:t> </w:t>
      </w:r>
      <w:r w:rsidRPr="00DE4822">
        <w:rPr>
          <w:lang w:val="fr-FR"/>
        </w:rPr>
        <w:t>février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2014</w:t>
      </w:r>
    </w:p>
    <w:p w:rsidR="0019577E" w:rsidRPr="00DE4822" w:rsidRDefault="0019577E" w:rsidP="003C4A24">
      <w:pPr>
        <w:pStyle w:val="SingleTxtG"/>
        <w:spacing w:after="0"/>
        <w:rPr>
          <w:lang w:val="fr-FR"/>
        </w:rPr>
      </w:pP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complément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série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01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</w:t>
      </w:r>
      <w:r w:rsidR="00916075" w:rsidRPr="00DE4822">
        <w:rPr>
          <w:lang w:val="fr-FR"/>
        </w:rPr>
        <w:t>’</w:t>
      </w:r>
      <w:r w:rsidRPr="00DE4822">
        <w:rPr>
          <w:lang w:val="fr-FR"/>
        </w:rPr>
        <w:t>amendements</w:t>
      </w:r>
      <w:r w:rsidR="00EC442C">
        <w:rPr>
          <w:lang w:val="fr-FR"/>
        </w:rPr>
        <w:t xml:space="preserve"> </w:t>
      </w:r>
      <w:r w:rsidR="009946EA">
        <w:rPr>
          <w:lang w:val="fr-FR"/>
        </w:rPr>
        <w:t>−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</w:t>
      </w:r>
      <w:r w:rsidR="00916075" w:rsidRPr="00DE4822">
        <w:rPr>
          <w:lang w:val="fr-FR"/>
        </w:rPr>
        <w:t>’</w:t>
      </w:r>
      <w:r w:rsidRPr="00DE4822">
        <w:rPr>
          <w:lang w:val="fr-FR"/>
        </w:rPr>
        <w:t>entrée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vigueur</w:t>
      </w:r>
      <w:r w:rsidR="00EC442C">
        <w:rPr>
          <w:lang w:val="fr-FR"/>
        </w:rPr>
        <w:t xml:space="preserve"> : </w:t>
      </w:r>
      <w:r w:rsidRPr="00DE4822">
        <w:rPr>
          <w:lang w:val="fr-FR"/>
        </w:rPr>
        <w:t>9</w:t>
      </w:r>
      <w:r w:rsidR="009946EA">
        <w:rPr>
          <w:lang w:val="fr-FR"/>
        </w:rPr>
        <w:t> </w:t>
      </w:r>
      <w:r w:rsidRPr="00DE4822">
        <w:rPr>
          <w:lang w:val="fr-FR"/>
        </w:rPr>
        <w:t>février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2017</w:t>
      </w:r>
    </w:p>
    <w:p w:rsidR="00421A10" w:rsidRPr="00DE4822" w:rsidRDefault="0019577E" w:rsidP="0019577E">
      <w:pPr>
        <w:pStyle w:val="SingleTxtG"/>
        <w:spacing w:after="0"/>
      </w:pP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série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02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</w:t>
      </w:r>
      <w:r w:rsidR="00916075" w:rsidRPr="00DE4822">
        <w:rPr>
          <w:lang w:val="fr-FR"/>
        </w:rPr>
        <w:t>’</w:t>
      </w:r>
      <w:r w:rsidRPr="00DE4822">
        <w:rPr>
          <w:lang w:val="fr-FR"/>
        </w:rPr>
        <w:t>amendements</w:t>
      </w:r>
      <w:r w:rsidR="00EC442C">
        <w:rPr>
          <w:lang w:val="fr-FR"/>
        </w:rPr>
        <w:t xml:space="preserve"> </w:t>
      </w:r>
      <w:r w:rsidR="009946EA">
        <w:rPr>
          <w:lang w:val="fr-FR"/>
        </w:rPr>
        <w:t>−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</w:t>
      </w:r>
      <w:r w:rsidR="00916075" w:rsidRPr="00DE4822">
        <w:rPr>
          <w:lang w:val="fr-FR"/>
        </w:rPr>
        <w:t>’</w:t>
      </w:r>
      <w:r w:rsidRPr="00DE4822">
        <w:rPr>
          <w:lang w:val="fr-FR"/>
        </w:rPr>
        <w:t>entrée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vigueur</w:t>
      </w:r>
      <w:r w:rsidR="00EC442C">
        <w:rPr>
          <w:lang w:val="fr-FR"/>
        </w:rPr>
        <w:t xml:space="preserve"> : </w:t>
      </w:r>
      <w:r w:rsidRPr="00DE4822">
        <w:rPr>
          <w:lang w:val="fr-FR"/>
        </w:rPr>
        <w:t>10</w:t>
      </w:r>
      <w:r w:rsidR="009946EA">
        <w:rPr>
          <w:lang w:val="fr-FR"/>
        </w:rPr>
        <w:t> </w:t>
      </w:r>
      <w:r w:rsidRPr="00DE4822">
        <w:rPr>
          <w:lang w:val="fr-FR"/>
        </w:rPr>
        <w:t>octobre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2017</w:t>
      </w:r>
    </w:p>
    <w:p w:rsidR="00421A10" w:rsidRPr="00DE4822" w:rsidRDefault="004837F6" w:rsidP="00CC63FD">
      <w:pPr>
        <w:pStyle w:val="H1G"/>
        <w:spacing w:before="240" w:after="120"/>
        <w:rPr>
          <w:lang w:val="fr-FR"/>
        </w:rPr>
      </w:pPr>
      <w:r w:rsidRPr="00DE4822">
        <w:tab/>
      </w:r>
      <w:r w:rsidR="00E33761" w:rsidRPr="00DE4822">
        <w:tab/>
      </w:r>
      <w:r w:rsidR="00421A10" w:rsidRPr="00DE4822">
        <w:t>Prescriptions</w:t>
      </w:r>
      <w:r w:rsidR="00EC442C">
        <w:t xml:space="preserve"> </w:t>
      </w:r>
      <w:r w:rsidR="00421A10" w:rsidRPr="00DE4822">
        <w:t>uniformes</w:t>
      </w:r>
      <w:r w:rsidR="00EC442C">
        <w:t xml:space="preserve"> </w:t>
      </w:r>
      <w:r w:rsidR="00421A10" w:rsidRPr="00DE4822">
        <w:t>relatives</w:t>
      </w:r>
      <w:r w:rsidR="00EC442C">
        <w:t xml:space="preserve"> </w:t>
      </w:r>
      <w:r w:rsidR="003C4A24"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="003C4A24" w:rsidRPr="00DE4822">
        <w:rPr>
          <w:lang w:val="fr-FR"/>
        </w:rPr>
        <w:t>l</w:t>
      </w:r>
      <w:r w:rsidR="00916075" w:rsidRPr="00DE4822">
        <w:rPr>
          <w:lang w:val="fr-FR"/>
        </w:rPr>
        <w:t>’</w:t>
      </w:r>
      <w:r w:rsidR="003C4A24" w:rsidRPr="00DE4822">
        <w:rPr>
          <w:lang w:val="fr-FR"/>
        </w:rPr>
        <w:t>homologation</w:t>
      </w:r>
      <w:r w:rsidR="00EC442C">
        <w:rPr>
          <w:lang w:val="fr-FR"/>
        </w:rPr>
        <w:t xml:space="preserve"> </w:t>
      </w:r>
      <w:r w:rsidR="003C4A24"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="003C4A24" w:rsidRPr="00DE4822">
        <w:rPr>
          <w:lang w:val="fr-FR"/>
        </w:rPr>
        <w:t>véhicules</w:t>
      </w:r>
      <w:r w:rsidR="00EC442C">
        <w:rPr>
          <w:lang w:val="fr-FR"/>
        </w:rPr>
        <w:t xml:space="preserve"> </w:t>
      </w:r>
      <w:r w:rsidR="003C4A24" w:rsidRPr="00DE4822">
        <w:rPr>
          <w:lang w:val="fr-FR"/>
        </w:rPr>
        <w:t>en</w:t>
      </w:r>
      <w:r w:rsidR="000831BF">
        <w:rPr>
          <w:lang w:val="fr-FR"/>
        </w:rPr>
        <w:t> ce </w:t>
      </w:r>
      <w:r w:rsidR="003C4A24"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="003C4A24" w:rsidRPr="00DE4822">
        <w:rPr>
          <w:lang w:val="fr-FR"/>
        </w:rPr>
        <w:t>concerne</w:t>
      </w:r>
      <w:r w:rsidR="00EC442C">
        <w:rPr>
          <w:lang w:val="fr-FR"/>
        </w:rPr>
        <w:t xml:space="preserve"> </w:t>
      </w:r>
      <w:r w:rsidR="003C4A24" w:rsidRPr="00DE4822">
        <w:rPr>
          <w:lang w:val="fr-FR"/>
        </w:rPr>
        <w:t>l</w:t>
      </w:r>
      <w:r w:rsidR="00916075" w:rsidRPr="00DE4822">
        <w:rPr>
          <w:lang w:val="fr-FR"/>
        </w:rPr>
        <w:t>’</w:t>
      </w:r>
      <w:r w:rsidR="003C4A24" w:rsidRPr="00DE4822">
        <w:rPr>
          <w:lang w:val="fr-FR"/>
        </w:rPr>
        <w:t>équipement</w:t>
      </w:r>
      <w:r w:rsidR="00EC442C">
        <w:rPr>
          <w:lang w:val="fr-FR"/>
        </w:rPr>
        <w:t xml:space="preserve"> </w:t>
      </w:r>
      <w:r w:rsidR="003C4A24"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="003C4A24" w:rsidRPr="00DE4822">
        <w:rPr>
          <w:lang w:val="fr-FR"/>
        </w:rPr>
        <w:t>direction</w:t>
      </w:r>
    </w:p>
    <w:p w:rsidR="00AF5FD8" w:rsidRPr="00DE4822" w:rsidRDefault="00AF5FD8" w:rsidP="00CC63FD">
      <w:pPr>
        <w:pStyle w:val="SingleTxtG"/>
        <w:spacing w:after="0"/>
        <w:ind w:firstLine="567"/>
        <w:rPr>
          <w:lang w:val="fr-FR"/>
        </w:rPr>
      </w:pP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document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communiqué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uniquement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titre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</w:t>
      </w:r>
      <w:r w:rsidR="00916075" w:rsidRPr="00DE4822">
        <w:rPr>
          <w:lang w:val="fr-FR"/>
        </w:rPr>
        <w:t>’</w:t>
      </w:r>
      <w:r w:rsidRPr="00DE4822">
        <w:rPr>
          <w:lang w:val="fr-FR"/>
        </w:rPr>
        <w:t>information.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texte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authentique,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juridiquement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contraignant,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celui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documents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ci</w:t>
      </w:r>
      <w:r w:rsidR="004D15A8">
        <w:rPr>
          <w:lang w:val="fr-FR"/>
        </w:rPr>
        <w:t>-</w:t>
      </w:r>
      <w:r w:rsidRPr="00DE4822">
        <w:rPr>
          <w:lang w:val="fr-FR"/>
        </w:rPr>
        <w:t>après</w:t>
      </w:r>
      <w:r w:rsidR="00EC442C">
        <w:rPr>
          <w:lang w:val="fr-FR"/>
        </w:rPr>
        <w:t> :</w:t>
      </w:r>
    </w:p>
    <w:p w:rsidR="00AF5FD8" w:rsidRPr="00DE4822" w:rsidRDefault="00916075" w:rsidP="00AF5FD8">
      <w:pPr>
        <w:pStyle w:val="SingleTxtG"/>
        <w:spacing w:after="0"/>
        <w:rPr>
          <w:lang w:val="fr-FR"/>
        </w:rPr>
      </w:pPr>
      <w:r w:rsidRPr="00DE4822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40CFA150" wp14:editId="786C6296">
                <wp:simplePos x="0" y="0"/>
                <wp:positionH relativeFrom="margin">
                  <wp:posOffset>0</wp:posOffset>
                </wp:positionH>
                <wp:positionV relativeFrom="margin">
                  <wp:posOffset>6360882</wp:posOffset>
                </wp:positionV>
                <wp:extent cx="6119495" cy="11518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FBA" w:rsidRPr="0029791D" w:rsidRDefault="00BD1FBA" w:rsidP="00AA28FF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BD1FBA" w:rsidRDefault="00BD1FBA" w:rsidP="00AA28F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2D86944D" wp14:editId="1EF42005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1FBA" w:rsidRDefault="00BD1FBA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FA15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500.85pt;width:481.85pt;height:90.7pt;z-index: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" stroked="f">
                <v:textbox inset="0,0,0,0">
                  <w:txbxContent>
                    <w:p w:rsidR="00BD1FBA" w:rsidRPr="0029791D" w:rsidRDefault="00BD1FBA" w:rsidP="00AA28FF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BD1FBA" w:rsidRDefault="00BD1FBA" w:rsidP="00AA28FF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2D86944D" wp14:editId="1EF42005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1FBA" w:rsidRDefault="00BD1FBA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F5FD8" w:rsidRPr="00DE4822">
        <w:rPr>
          <w:lang w:val="fr-FR"/>
        </w:rPr>
        <w:t>ECE/TRANS/WP.29/2016/57</w:t>
      </w:r>
      <w:r w:rsidR="00CC63FD" w:rsidRPr="00DE4822">
        <w:rPr>
          <w:lang w:val="fr-FR"/>
        </w:rPr>
        <w:t>.</w:t>
      </w:r>
    </w:p>
    <w:p w:rsidR="003C4A24" w:rsidRPr="00DE4822" w:rsidRDefault="00AF5FD8" w:rsidP="00AF5FD8">
      <w:pPr>
        <w:pStyle w:val="SingleTxtG"/>
        <w:rPr>
          <w:lang w:val="fr-FR"/>
        </w:rPr>
      </w:pPr>
      <w:r w:rsidRPr="00DE4822">
        <w:rPr>
          <w:lang w:val="fr-FR"/>
        </w:rPr>
        <w:t>ECE/TRANS/WP.29/2017/10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(tel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modifié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70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rapport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publié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ECE/TRANS/WP.29/1129)</w:t>
      </w:r>
      <w:r w:rsidR="00CC63FD" w:rsidRPr="00DE4822">
        <w:rPr>
          <w:lang w:val="fr-FR"/>
        </w:rPr>
        <w:t>.</w:t>
      </w:r>
    </w:p>
    <w:p w:rsidR="00B64A2D" w:rsidRPr="00DE4822" w:rsidRDefault="00B64A2D" w:rsidP="005F0207"/>
    <w:p w:rsidR="00B64A2D" w:rsidRPr="00DE4822" w:rsidRDefault="00B64A2D" w:rsidP="005F0207">
      <w:pPr>
        <w:sectPr w:rsidR="00B64A2D" w:rsidRPr="00DE4822" w:rsidSect="00B64A2D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7" w:h="16840" w:code="9"/>
          <w:pgMar w:top="1417" w:right="1134" w:bottom="1134" w:left="1134" w:header="680" w:footer="567" w:gutter="0"/>
          <w:cols w:space="720"/>
          <w:titlePg/>
          <w:docGrid w:linePitch="272"/>
        </w:sectPr>
      </w:pPr>
    </w:p>
    <w:p w:rsidR="00352850" w:rsidRPr="00DE4822" w:rsidRDefault="00352850" w:rsidP="00352850">
      <w:pPr>
        <w:pStyle w:val="HChG"/>
        <w:rPr>
          <w:lang w:val="fr-FR"/>
        </w:rPr>
      </w:pPr>
      <w:r w:rsidRPr="00DE4822">
        <w:rPr>
          <w:lang w:val="fr-FR"/>
        </w:rPr>
        <w:lastRenderedPageBreak/>
        <w:t>Règlement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ONU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</w:t>
      </w:r>
      <w:r w:rsidRPr="00DE4822">
        <w:rPr>
          <w:vertAlign w:val="superscript"/>
          <w:lang w:val="fr-FR"/>
        </w:rPr>
        <w:t>o</w:t>
      </w:r>
      <w:r w:rsidR="00997C08">
        <w:rPr>
          <w:lang w:val="fr-FR"/>
        </w:rPr>
        <w:t> </w:t>
      </w:r>
      <w:r w:rsidRPr="00DE4822">
        <w:rPr>
          <w:lang w:val="fr-FR"/>
        </w:rPr>
        <w:t>79</w:t>
      </w:r>
    </w:p>
    <w:p w:rsidR="00352850" w:rsidRPr="00DE4822" w:rsidRDefault="00B42829" w:rsidP="00352850">
      <w:pPr>
        <w:pStyle w:val="HChG"/>
        <w:rPr>
          <w:lang w:val="fr-FR"/>
        </w:rPr>
      </w:pPr>
      <w:r w:rsidRPr="00DE4822">
        <w:rPr>
          <w:lang w:val="fr-FR"/>
        </w:rPr>
        <w:tab/>
      </w:r>
      <w:r w:rsidR="00E33761" w:rsidRPr="00DE4822">
        <w:rPr>
          <w:lang w:val="fr-FR"/>
        </w:rPr>
        <w:tab/>
      </w:r>
      <w:r w:rsidR="00352850"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="00352850" w:rsidRPr="00DE4822">
        <w:rPr>
          <w:lang w:val="fr-FR"/>
        </w:rPr>
        <w:t>uniformes</w:t>
      </w:r>
      <w:r w:rsidR="00EC442C">
        <w:rPr>
          <w:lang w:val="fr-FR"/>
        </w:rPr>
        <w:t xml:space="preserve"> </w:t>
      </w:r>
      <w:r w:rsidR="00352850" w:rsidRPr="00DE4822">
        <w:rPr>
          <w:lang w:val="fr-FR"/>
        </w:rPr>
        <w:t>relatives</w:t>
      </w:r>
      <w:r w:rsidR="00EC442C">
        <w:rPr>
          <w:lang w:val="fr-FR"/>
        </w:rPr>
        <w:t xml:space="preserve"> </w:t>
      </w:r>
      <w:r w:rsidR="00352850"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="00352850" w:rsidRPr="00DE4822">
        <w:rPr>
          <w:lang w:val="fr-FR"/>
        </w:rPr>
        <w:t>l’homologation</w:t>
      </w:r>
      <w:r w:rsidR="00EC442C">
        <w:rPr>
          <w:lang w:val="fr-FR"/>
        </w:rPr>
        <w:t xml:space="preserve"> </w:t>
      </w:r>
      <w:r w:rsidR="00352850" w:rsidRPr="00DE4822">
        <w:rPr>
          <w:lang w:val="fr-FR"/>
        </w:rPr>
        <w:t>des</w:t>
      </w:r>
      <w:r w:rsidR="00997C08">
        <w:rPr>
          <w:lang w:val="fr-FR"/>
        </w:rPr>
        <w:t> </w:t>
      </w:r>
      <w:r w:rsidR="00352850" w:rsidRPr="00DE4822">
        <w:rPr>
          <w:lang w:val="fr-FR"/>
        </w:rPr>
        <w:t>véhicules</w:t>
      </w:r>
      <w:r w:rsidR="00EC442C">
        <w:rPr>
          <w:lang w:val="fr-FR"/>
        </w:rPr>
        <w:t xml:space="preserve"> </w:t>
      </w:r>
      <w:r w:rsidR="00352850"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="00352850" w:rsidRPr="00DE4822">
        <w:rPr>
          <w:lang w:val="fr-FR"/>
        </w:rPr>
        <w:t>ce</w:t>
      </w:r>
      <w:r w:rsidR="00EC442C">
        <w:rPr>
          <w:lang w:val="fr-FR"/>
        </w:rPr>
        <w:t xml:space="preserve"> </w:t>
      </w:r>
      <w:r w:rsidR="00352850"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="00352850" w:rsidRPr="00DE4822">
        <w:rPr>
          <w:lang w:val="fr-FR"/>
        </w:rPr>
        <w:t>concerne</w:t>
      </w:r>
      <w:r w:rsidR="00EC442C">
        <w:rPr>
          <w:lang w:val="fr-FR"/>
        </w:rPr>
        <w:t xml:space="preserve"> </w:t>
      </w:r>
      <w:r w:rsidR="00352850" w:rsidRPr="00DE4822">
        <w:rPr>
          <w:lang w:val="fr-FR"/>
        </w:rPr>
        <w:t>l’équipement</w:t>
      </w:r>
      <w:r w:rsidR="00EC442C">
        <w:rPr>
          <w:lang w:val="fr-FR"/>
        </w:rPr>
        <w:t xml:space="preserve"> </w:t>
      </w:r>
      <w:r w:rsidR="00352850"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="00352850" w:rsidRPr="00DE4822">
        <w:rPr>
          <w:lang w:val="fr-FR"/>
        </w:rPr>
        <w:t>direction</w:t>
      </w:r>
    </w:p>
    <w:p w:rsidR="005F0207" w:rsidRPr="00DE4822" w:rsidRDefault="00F74289" w:rsidP="00F74289">
      <w:pPr>
        <w:spacing w:after="120"/>
        <w:rPr>
          <w:sz w:val="28"/>
        </w:rPr>
      </w:pPr>
      <w:r w:rsidRPr="00DE4822">
        <w:rPr>
          <w:sz w:val="28"/>
        </w:rPr>
        <w:t>Table</w:t>
      </w:r>
      <w:r w:rsidR="00EC442C">
        <w:rPr>
          <w:sz w:val="28"/>
        </w:rPr>
        <w:t xml:space="preserve"> </w:t>
      </w:r>
      <w:r w:rsidRPr="00DE4822">
        <w:rPr>
          <w:sz w:val="28"/>
        </w:rPr>
        <w:t>des</w:t>
      </w:r>
      <w:r w:rsidR="00EC442C">
        <w:rPr>
          <w:sz w:val="28"/>
        </w:rPr>
        <w:t xml:space="preserve"> </w:t>
      </w:r>
      <w:r w:rsidRPr="00DE4822">
        <w:rPr>
          <w:sz w:val="28"/>
        </w:rPr>
        <w:t>matières</w:t>
      </w:r>
    </w:p>
    <w:p w:rsidR="00F74289" w:rsidRPr="00DE4822" w:rsidRDefault="00B42829" w:rsidP="00F74289">
      <w:pPr>
        <w:tabs>
          <w:tab w:val="right" w:pos="9638"/>
        </w:tabs>
        <w:spacing w:after="120"/>
        <w:ind w:left="283"/>
        <w:rPr>
          <w:i/>
          <w:sz w:val="18"/>
        </w:rPr>
      </w:pPr>
      <w:r w:rsidRPr="00997C08">
        <w:t>Règlement</w:t>
      </w:r>
      <w:r w:rsidR="00F74289" w:rsidRPr="00DE4822">
        <w:rPr>
          <w:i/>
          <w:sz w:val="18"/>
        </w:rPr>
        <w:tab/>
        <w:t>Page</w:t>
      </w:r>
    </w:p>
    <w:p w:rsidR="00B42829" w:rsidRPr="00DE4822" w:rsidRDefault="00B42829" w:rsidP="00B42829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 w:rsidRPr="00DE4822">
        <w:tab/>
      </w:r>
      <w:r w:rsidRPr="00DE4822">
        <w:tab/>
      </w:r>
      <w:r w:rsidR="000E7298" w:rsidRPr="00DE4822">
        <w:t>Introduction</w:t>
      </w:r>
      <w:r w:rsidRPr="00DE4822">
        <w:tab/>
      </w:r>
      <w:r w:rsidRPr="00DE4822">
        <w:tab/>
      </w:r>
      <w:r w:rsidR="00784E83">
        <w:t>4</w:t>
      </w:r>
    </w:p>
    <w:p w:rsidR="00B42829" w:rsidRPr="00DE4822" w:rsidRDefault="00B42829" w:rsidP="00B42829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 w:rsidRPr="00DE4822">
        <w:tab/>
      </w:r>
      <w:r w:rsidR="00463D13">
        <w:t>1</w:t>
      </w:r>
      <w:r w:rsidRPr="00DE4822">
        <w:t>.</w:t>
      </w:r>
      <w:r w:rsidRPr="00DE4822">
        <w:tab/>
      </w:r>
      <w:r w:rsidR="003C72CC" w:rsidRPr="00DE4822">
        <w:rPr>
          <w:lang w:val="fr-FR"/>
        </w:rPr>
        <w:t>Domaine</w:t>
      </w:r>
      <w:r w:rsidR="003C72CC">
        <w:rPr>
          <w:lang w:val="fr-FR"/>
        </w:rPr>
        <w:t xml:space="preserve"> </w:t>
      </w:r>
      <w:r w:rsidR="003C72CC" w:rsidRPr="00DE4822">
        <w:rPr>
          <w:lang w:val="fr-FR"/>
        </w:rPr>
        <w:t>d’application</w:t>
      </w:r>
      <w:r w:rsidRPr="00DE4822">
        <w:tab/>
      </w:r>
      <w:r w:rsidRPr="00DE4822">
        <w:tab/>
      </w:r>
      <w:r w:rsidR="00784E83">
        <w:t>5</w:t>
      </w:r>
    </w:p>
    <w:p w:rsidR="00B42829" w:rsidRPr="00DE4822" w:rsidRDefault="00463D13" w:rsidP="00B42829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>
        <w:tab/>
        <w:t>2</w:t>
      </w:r>
      <w:r w:rsidR="00B42829" w:rsidRPr="00DE4822">
        <w:t>.</w:t>
      </w:r>
      <w:r w:rsidR="00B42829" w:rsidRPr="00DE4822">
        <w:tab/>
      </w:r>
      <w:r w:rsidR="003C72CC" w:rsidRPr="00DE4822">
        <w:rPr>
          <w:lang w:val="fr-FR"/>
        </w:rPr>
        <w:t>Définitions</w:t>
      </w:r>
      <w:r w:rsidR="00B42829" w:rsidRPr="00DE4822">
        <w:tab/>
      </w:r>
      <w:r w:rsidR="00B42829" w:rsidRPr="00DE4822">
        <w:tab/>
      </w:r>
      <w:r w:rsidR="00784E83">
        <w:t>5</w:t>
      </w:r>
    </w:p>
    <w:p w:rsidR="00B42829" w:rsidRPr="00DE4822" w:rsidRDefault="00463D13" w:rsidP="00B42829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>
        <w:tab/>
        <w:t>3</w:t>
      </w:r>
      <w:r w:rsidR="00B42829" w:rsidRPr="00DE4822">
        <w:t>.</w:t>
      </w:r>
      <w:r w:rsidR="00B42829" w:rsidRPr="00DE4822">
        <w:tab/>
      </w:r>
      <w:r w:rsidR="003C72CC" w:rsidRPr="00DE4822">
        <w:rPr>
          <w:lang w:val="fr-FR"/>
        </w:rPr>
        <w:t>Demande</w:t>
      </w:r>
      <w:r w:rsidR="003C72CC">
        <w:rPr>
          <w:lang w:val="fr-FR"/>
        </w:rPr>
        <w:t xml:space="preserve"> </w:t>
      </w:r>
      <w:r w:rsidR="003C72CC" w:rsidRPr="00DE4822">
        <w:rPr>
          <w:lang w:val="fr-FR"/>
        </w:rPr>
        <w:t>d’homologation</w:t>
      </w:r>
      <w:r w:rsidR="00B42829" w:rsidRPr="00DE4822">
        <w:tab/>
      </w:r>
      <w:r w:rsidR="00B42829" w:rsidRPr="00DE4822">
        <w:tab/>
      </w:r>
      <w:r w:rsidR="00784E83">
        <w:t>10</w:t>
      </w:r>
    </w:p>
    <w:p w:rsidR="00B42829" w:rsidRPr="00DE4822" w:rsidRDefault="00463D13" w:rsidP="00B42829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>
        <w:tab/>
        <w:t>4</w:t>
      </w:r>
      <w:r w:rsidR="00B42829" w:rsidRPr="00DE4822">
        <w:t>.</w:t>
      </w:r>
      <w:r w:rsidR="00B42829" w:rsidRPr="00DE4822">
        <w:tab/>
      </w:r>
      <w:r w:rsidR="003C72CC" w:rsidRPr="00DE4822">
        <w:rPr>
          <w:lang w:val="fr-FR"/>
        </w:rPr>
        <w:t>Homologation</w:t>
      </w:r>
      <w:r w:rsidR="00B42829" w:rsidRPr="00DE4822">
        <w:tab/>
      </w:r>
      <w:r w:rsidR="00B42829" w:rsidRPr="00DE4822">
        <w:tab/>
      </w:r>
      <w:r w:rsidR="00784E83">
        <w:t>10</w:t>
      </w:r>
    </w:p>
    <w:p w:rsidR="00B42829" w:rsidRPr="00DE4822" w:rsidRDefault="00463D13" w:rsidP="00B42829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>
        <w:tab/>
        <w:t>5</w:t>
      </w:r>
      <w:r w:rsidR="00B42829" w:rsidRPr="00DE4822">
        <w:t>.</w:t>
      </w:r>
      <w:r w:rsidR="00B42829" w:rsidRPr="00DE4822">
        <w:tab/>
      </w:r>
      <w:r w:rsidR="003C72CC" w:rsidRPr="00DE4822">
        <w:rPr>
          <w:lang w:val="fr-FR"/>
        </w:rPr>
        <w:t>Prescriptions</w:t>
      </w:r>
      <w:r w:rsidR="003C72CC">
        <w:rPr>
          <w:lang w:val="fr-FR"/>
        </w:rPr>
        <w:t xml:space="preserve"> </w:t>
      </w:r>
      <w:r w:rsidR="003C72CC" w:rsidRPr="00DE4822">
        <w:rPr>
          <w:lang w:val="fr-FR"/>
        </w:rPr>
        <w:t>relatives</w:t>
      </w:r>
      <w:r w:rsidR="003C72CC">
        <w:rPr>
          <w:lang w:val="fr-FR"/>
        </w:rPr>
        <w:t xml:space="preserve"> </w:t>
      </w:r>
      <w:r w:rsidR="003C72CC" w:rsidRPr="00DE4822">
        <w:rPr>
          <w:lang w:val="fr-FR"/>
        </w:rPr>
        <w:t>à</w:t>
      </w:r>
      <w:r w:rsidR="003C72CC">
        <w:rPr>
          <w:lang w:val="fr-FR"/>
        </w:rPr>
        <w:t xml:space="preserve"> </w:t>
      </w:r>
      <w:r w:rsidR="003C72CC" w:rsidRPr="00DE4822">
        <w:rPr>
          <w:lang w:val="fr-FR"/>
        </w:rPr>
        <w:t>la</w:t>
      </w:r>
      <w:r w:rsidR="003C72CC">
        <w:rPr>
          <w:lang w:val="fr-FR"/>
        </w:rPr>
        <w:t xml:space="preserve"> </w:t>
      </w:r>
      <w:r w:rsidR="003C72CC" w:rsidRPr="00DE4822">
        <w:rPr>
          <w:lang w:val="fr-FR"/>
        </w:rPr>
        <w:t>construction</w:t>
      </w:r>
      <w:r w:rsidR="00B42829" w:rsidRPr="00DE4822">
        <w:tab/>
      </w:r>
      <w:r w:rsidR="00B42829" w:rsidRPr="00DE4822">
        <w:tab/>
      </w:r>
      <w:r w:rsidR="006D02E8">
        <w:t>11</w:t>
      </w:r>
    </w:p>
    <w:p w:rsidR="00B42829" w:rsidRPr="00DE4822" w:rsidRDefault="00B42829" w:rsidP="00B42829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 w:rsidRPr="00DE4822">
        <w:tab/>
      </w:r>
      <w:r w:rsidR="00463D13">
        <w:t>6</w:t>
      </w:r>
      <w:r w:rsidRPr="00DE4822">
        <w:t>.</w:t>
      </w:r>
      <w:r w:rsidRPr="00DE4822">
        <w:tab/>
      </w:r>
      <w:r w:rsidR="00867FCB" w:rsidRPr="00DE4822">
        <w:rPr>
          <w:lang w:val="fr-FR"/>
        </w:rPr>
        <w:t>Prescriptions</w:t>
      </w:r>
      <w:r w:rsidR="00867FCB">
        <w:rPr>
          <w:lang w:val="fr-FR"/>
        </w:rPr>
        <w:t xml:space="preserve"> </w:t>
      </w:r>
      <w:r w:rsidR="00867FCB" w:rsidRPr="00DE4822">
        <w:rPr>
          <w:lang w:val="fr-FR"/>
        </w:rPr>
        <w:t>relatives</w:t>
      </w:r>
      <w:r w:rsidR="00867FCB">
        <w:rPr>
          <w:lang w:val="fr-FR"/>
        </w:rPr>
        <w:t xml:space="preserve"> </w:t>
      </w:r>
      <w:r w:rsidR="00867FCB" w:rsidRPr="00DE4822">
        <w:rPr>
          <w:lang w:val="fr-FR"/>
        </w:rPr>
        <w:t>aux</w:t>
      </w:r>
      <w:r w:rsidR="00867FCB">
        <w:rPr>
          <w:lang w:val="fr-FR"/>
        </w:rPr>
        <w:t xml:space="preserve"> </w:t>
      </w:r>
      <w:r w:rsidR="00867FCB" w:rsidRPr="00DE4822">
        <w:rPr>
          <w:lang w:val="fr-FR"/>
        </w:rPr>
        <w:t>essais</w:t>
      </w:r>
      <w:r w:rsidRPr="00DE4822">
        <w:tab/>
      </w:r>
      <w:r w:rsidRPr="00DE4822">
        <w:tab/>
      </w:r>
      <w:r w:rsidR="00C3451D">
        <w:t>20</w:t>
      </w:r>
    </w:p>
    <w:p w:rsidR="00B42829" w:rsidRPr="00DE4822" w:rsidRDefault="00B42829" w:rsidP="00B42829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 w:rsidRPr="00DE4822">
        <w:tab/>
      </w:r>
      <w:r w:rsidR="00463D13">
        <w:t>7</w:t>
      </w:r>
      <w:r w:rsidRPr="00DE4822">
        <w:t>.</w:t>
      </w:r>
      <w:r w:rsidRPr="00DE4822">
        <w:tab/>
      </w:r>
      <w:r w:rsidR="008F019C" w:rsidRPr="00DE4822">
        <w:rPr>
          <w:lang w:val="fr-FR"/>
        </w:rPr>
        <w:t>Conformité</w:t>
      </w:r>
      <w:r w:rsidR="008F019C">
        <w:rPr>
          <w:lang w:val="fr-FR"/>
        </w:rPr>
        <w:t xml:space="preserve"> </w:t>
      </w:r>
      <w:r w:rsidR="008F019C" w:rsidRPr="00DE4822">
        <w:rPr>
          <w:lang w:val="fr-FR"/>
        </w:rPr>
        <w:t>de</w:t>
      </w:r>
      <w:r w:rsidR="008F019C">
        <w:rPr>
          <w:lang w:val="fr-FR"/>
        </w:rPr>
        <w:t xml:space="preserve"> </w:t>
      </w:r>
      <w:r w:rsidR="008F019C" w:rsidRPr="00DE4822">
        <w:rPr>
          <w:lang w:val="fr-FR"/>
        </w:rPr>
        <w:t>la</w:t>
      </w:r>
      <w:r w:rsidR="008F019C">
        <w:rPr>
          <w:lang w:val="fr-FR"/>
        </w:rPr>
        <w:t xml:space="preserve"> </w:t>
      </w:r>
      <w:r w:rsidR="008F019C" w:rsidRPr="00DE4822">
        <w:rPr>
          <w:lang w:val="fr-FR"/>
        </w:rPr>
        <w:t>production</w:t>
      </w:r>
      <w:r w:rsidRPr="00DE4822">
        <w:tab/>
      </w:r>
      <w:r w:rsidRPr="00DE4822">
        <w:tab/>
      </w:r>
      <w:r w:rsidR="00C3451D">
        <w:t>23</w:t>
      </w:r>
    </w:p>
    <w:p w:rsidR="00B42829" w:rsidRPr="00DE4822" w:rsidRDefault="00B42829" w:rsidP="00B42829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 w:rsidRPr="00DE4822">
        <w:tab/>
      </w:r>
      <w:r w:rsidR="00463D13">
        <w:t>8</w:t>
      </w:r>
      <w:r w:rsidRPr="00DE4822">
        <w:t>.</w:t>
      </w:r>
      <w:r w:rsidRPr="00DE4822">
        <w:tab/>
      </w:r>
      <w:r w:rsidR="008F019C" w:rsidRPr="00DE4822">
        <w:rPr>
          <w:lang w:val="fr-FR"/>
        </w:rPr>
        <w:t>Sanctions</w:t>
      </w:r>
      <w:r w:rsidR="008F019C">
        <w:rPr>
          <w:lang w:val="fr-FR"/>
        </w:rPr>
        <w:t xml:space="preserve"> </w:t>
      </w:r>
      <w:r w:rsidR="008F019C" w:rsidRPr="00DE4822">
        <w:rPr>
          <w:lang w:val="fr-FR"/>
        </w:rPr>
        <w:t>pour</w:t>
      </w:r>
      <w:r w:rsidR="008F019C">
        <w:rPr>
          <w:lang w:val="fr-FR"/>
        </w:rPr>
        <w:t xml:space="preserve"> </w:t>
      </w:r>
      <w:r w:rsidR="008F019C" w:rsidRPr="00DE4822">
        <w:rPr>
          <w:lang w:val="fr-FR"/>
        </w:rPr>
        <w:t>non</w:t>
      </w:r>
      <w:r w:rsidR="008F019C">
        <w:rPr>
          <w:lang w:val="fr-FR"/>
        </w:rPr>
        <w:t>-</w:t>
      </w:r>
      <w:r w:rsidR="008F019C" w:rsidRPr="00DE4822">
        <w:rPr>
          <w:lang w:val="fr-FR"/>
        </w:rPr>
        <w:t>conformité</w:t>
      </w:r>
      <w:r w:rsidR="008F019C">
        <w:rPr>
          <w:lang w:val="fr-FR"/>
        </w:rPr>
        <w:t xml:space="preserve"> </w:t>
      </w:r>
      <w:r w:rsidR="008F019C" w:rsidRPr="00DE4822">
        <w:rPr>
          <w:lang w:val="fr-FR"/>
        </w:rPr>
        <w:t>de</w:t>
      </w:r>
      <w:r w:rsidR="008F019C">
        <w:rPr>
          <w:lang w:val="fr-FR"/>
        </w:rPr>
        <w:t xml:space="preserve"> </w:t>
      </w:r>
      <w:r w:rsidR="008F019C" w:rsidRPr="00DE4822">
        <w:rPr>
          <w:lang w:val="fr-FR"/>
        </w:rPr>
        <w:t>la</w:t>
      </w:r>
      <w:r w:rsidR="008F019C">
        <w:rPr>
          <w:lang w:val="fr-FR"/>
        </w:rPr>
        <w:t xml:space="preserve"> </w:t>
      </w:r>
      <w:r w:rsidR="008F019C" w:rsidRPr="00DE4822">
        <w:rPr>
          <w:lang w:val="fr-FR"/>
        </w:rPr>
        <w:t>production</w:t>
      </w:r>
      <w:r w:rsidRPr="00DE4822">
        <w:tab/>
      </w:r>
      <w:r w:rsidRPr="00DE4822">
        <w:tab/>
      </w:r>
      <w:r w:rsidR="00C3451D">
        <w:t>23</w:t>
      </w:r>
    </w:p>
    <w:p w:rsidR="00B42829" w:rsidRPr="00DE4822" w:rsidRDefault="00463D13" w:rsidP="00B42829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>
        <w:tab/>
        <w:t>9</w:t>
      </w:r>
      <w:r w:rsidR="00B42829" w:rsidRPr="00DE4822">
        <w:t>.</w:t>
      </w:r>
      <w:r w:rsidR="00B42829" w:rsidRPr="00DE4822">
        <w:tab/>
      </w:r>
      <w:r w:rsidR="008F019C" w:rsidRPr="00DE4822">
        <w:rPr>
          <w:lang w:val="fr-FR"/>
        </w:rPr>
        <w:t>Modification</w:t>
      </w:r>
      <w:r w:rsidR="008F019C">
        <w:rPr>
          <w:lang w:val="fr-FR"/>
        </w:rPr>
        <w:t xml:space="preserve"> </w:t>
      </w:r>
      <w:r w:rsidR="008F019C" w:rsidRPr="00DE4822">
        <w:rPr>
          <w:lang w:val="fr-FR"/>
        </w:rPr>
        <w:t>et</w:t>
      </w:r>
      <w:r w:rsidR="008F019C">
        <w:rPr>
          <w:lang w:val="fr-FR"/>
        </w:rPr>
        <w:t xml:space="preserve"> </w:t>
      </w:r>
      <w:r w:rsidR="008F019C" w:rsidRPr="00DE4822">
        <w:rPr>
          <w:lang w:val="fr-FR"/>
        </w:rPr>
        <w:t>extension</w:t>
      </w:r>
      <w:r w:rsidR="008F019C">
        <w:rPr>
          <w:lang w:val="fr-FR"/>
        </w:rPr>
        <w:t xml:space="preserve"> </w:t>
      </w:r>
      <w:r w:rsidR="008F019C" w:rsidRPr="00DE4822">
        <w:rPr>
          <w:lang w:val="fr-FR"/>
        </w:rPr>
        <w:t>de</w:t>
      </w:r>
      <w:r w:rsidR="008F019C">
        <w:rPr>
          <w:lang w:val="fr-FR"/>
        </w:rPr>
        <w:t xml:space="preserve"> </w:t>
      </w:r>
      <w:r w:rsidR="008F019C" w:rsidRPr="00DE4822">
        <w:rPr>
          <w:lang w:val="fr-FR"/>
        </w:rPr>
        <w:t>l’homologation</w:t>
      </w:r>
      <w:r w:rsidR="008F019C">
        <w:rPr>
          <w:lang w:val="fr-FR"/>
        </w:rPr>
        <w:t xml:space="preserve"> </w:t>
      </w:r>
      <w:r w:rsidR="008F019C" w:rsidRPr="00DE4822">
        <w:rPr>
          <w:lang w:val="fr-FR"/>
        </w:rPr>
        <w:t>de</w:t>
      </w:r>
      <w:r w:rsidR="008F019C">
        <w:rPr>
          <w:lang w:val="fr-FR"/>
        </w:rPr>
        <w:t xml:space="preserve"> </w:t>
      </w:r>
      <w:r w:rsidR="008F019C" w:rsidRPr="00DE4822">
        <w:rPr>
          <w:lang w:val="fr-FR"/>
        </w:rPr>
        <w:t>type</w:t>
      </w:r>
      <w:r w:rsidR="008F019C">
        <w:rPr>
          <w:lang w:val="fr-FR"/>
        </w:rPr>
        <w:t xml:space="preserve"> </w:t>
      </w:r>
      <w:r w:rsidR="008F019C" w:rsidRPr="00DE4822">
        <w:rPr>
          <w:lang w:val="fr-FR"/>
        </w:rPr>
        <w:t>d’un</w:t>
      </w:r>
      <w:r w:rsidR="008F019C">
        <w:rPr>
          <w:lang w:val="fr-FR"/>
        </w:rPr>
        <w:t xml:space="preserve"> </w:t>
      </w:r>
      <w:r w:rsidR="008F019C" w:rsidRPr="00DE4822">
        <w:rPr>
          <w:lang w:val="fr-FR"/>
        </w:rPr>
        <w:t>véhicule</w:t>
      </w:r>
      <w:r w:rsidR="00B42829" w:rsidRPr="00DE4822">
        <w:tab/>
      </w:r>
      <w:r w:rsidR="00B42829" w:rsidRPr="00DE4822">
        <w:tab/>
      </w:r>
      <w:r w:rsidR="00C3451D">
        <w:t>23</w:t>
      </w:r>
    </w:p>
    <w:p w:rsidR="00B42829" w:rsidRPr="00DE4822" w:rsidRDefault="00463D13" w:rsidP="00B42829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>
        <w:tab/>
        <w:t>10</w:t>
      </w:r>
      <w:r w:rsidR="00B42829" w:rsidRPr="00DE4822">
        <w:t>.</w:t>
      </w:r>
      <w:r w:rsidR="00B42829" w:rsidRPr="00DE4822">
        <w:tab/>
      </w:r>
      <w:r w:rsidR="008F019C" w:rsidRPr="00DE4822">
        <w:rPr>
          <w:lang w:val="fr-FR"/>
        </w:rPr>
        <w:t>Arrêt</w:t>
      </w:r>
      <w:r w:rsidR="008F019C">
        <w:rPr>
          <w:lang w:val="fr-FR"/>
        </w:rPr>
        <w:t xml:space="preserve"> </w:t>
      </w:r>
      <w:r w:rsidR="008F019C" w:rsidRPr="00DE4822">
        <w:rPr>
          <w:lang w:val="fr-FR"/>
        </w:rPr>
        <w:t>définitif</w:t>
      </w:r>
      <w:r w:rsidR="008F019C">
        <w:rPr>
          <w:lang w:val="fr-FR"/>
        </w:rPr>
        <w:t xml:space="preserve"> </w:t>
      </w:r>
      <w:r w:rsidR="008F019C" w:rsidRPr="00DE4822">
        <w:rPr>
          <w:lang w:val="fr-FR"/>
        </w:rPr>
        <w:t>de</w:t>
      </w:r>
      <w:r w:rsidR="008F019C">
        <w:rPr>
          <w:lang w:val="fr-FR"/>
        </w:rPr>
        <w:t xml:space="preserve"> </w:t>
      </w:r>
      <w:r w:rsidR="008F019C" w:rsidRPr="00DE4822">
        <w:rPr>
          <w:lang w:val="fr-FR"/>
        </w:rPr>
        <w:t>la</w:t>
      </w:r>
      <w:r w:rsidR="008F019C">
        <w:rPr>
          <w:lang w:val="fr-FR"/>
        </w:rPr>
        <w:t xml:space="preserve"> </w:t>
      </w:r>
      <w:r w:rsidR="008F019C" w:rsidRPr="00DE4822">
        <w:rPr>
          <w:lang w:val="fr-FR"/>
        </w:rPr>
        <w:t>production</w:t>
      </w:r>
      <w:r w:rsidR="00B42829" w:rsidRPr="00DE4822">
        <w:tab/>
      </w:r>
      <w:r w:rsidR="00B42829" w:rsidRPr="00DE4822">
        <w:tab/>
      </w:r>
      <w:r w:rsidR="00C3451D">
        <w:t>23</w:t>
      </w:r>
    </w:p>
    <w:p w:rsidR="00B42829" w:rsidRPr="00DE4822" w:rsidRDefault="00B42829" w:rsidP="00B42829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 w:rsidRPr="00DE4822">
        <w:tab/>
      </w:r>
      <w:r w:rsidR="00463D13">
        <w:t>11</w:t>
      </w:r>
      <w:r w:rsidRPr="00DE4822">
        <w:t>.</w:t>
      </w:r>
      <w:r w:rsidRPr="00DE4822">
        <w:tab/>
      </w:r>
      <w:r w:rsidR="008F019C" w:rsidRPr="00DE4822">
        <w:rPr>
          <w:lang w:val="fr-FR"/>
        </w:rPr>
        <w:t>Noms</w:t>
      </w:r>
      <w:r w:rsidR="008F019C">
        <w:rPr>
          <w:lang w:val="fr-FR"/>
        </w:rPr>
        <w:t xml:space="preserve"> </w:t>
      </w:r>
      <w:r w:rsidR="008F019C" w:rsidRPr="00DE4822">
        <w:rPr>
          <w:lang w:val="fr-FR"/>
        </w:rPr>
        <w:t>et</w:t>
      </w:r>
      <w:r w:rsidR="008F019C">
        <w:rPr>
          <w:lang w:val="fr-FR"/>
        </w:rPr>
        <w:t xml:space="preserve"> </w:t>
      </w:r>
      <w:r w:rsidR="008F019C" w:rsidRPr="00DE4822">
        <w:rPr>
          <w:lang w:val="fr-FR"/>
        </w:rPr>
        <w:t>adresses</w:t>
      </w:r>
      <w:r w:rsidR="008F019C">
        <w:rPr>
          <w:lang w:val="fr-FR"/>
        </w:rPr>
        <w:t xml:space="preserve"> </w:t>
      </w:r>
      <w:r w:rsidR="008F019C" w:rsidRPr="00DE4822">
        <w:rPr>
          <w:lang w:val="fr-FR"/>
        </w:rPr>
        <w:t>des</w:t>
      </w:r>
      <w:r w:rsidR="008F019C">
        <w:rPr>
          <w:lang w:val="fr-FR"/>
        </w:rPr>
        <w:t xml:space="preserve"> </w:t>
      </w:r>
      <w:r w:rsidR="008F019C" w:rsidRPr="00DE4822">
        <w:rPr>
          <w:lang w:val="fr-FR"/>
        </w:rPr>
        <w:t>services</w:t>
      </w:r>
      <w:r w:rsidR="008F019C">
        <w:rPr>
          <w:lang w:val="fr-FR"/>
        </w:rPr>
        <w:t xml:space="preserve"> </w:t>
      </w:r>
      <w:r w:rsidR="008F019C" w:rsidRPr="00DE4822">
        <w:rPr>
          <w:lang w:val="fr-FR"/>
        </w:rPr>
        <w:t>techniques</w:t>
      </w:r>
      <w:r w:rsidR="008F019C">
        <w:rPr>
          <w:lang w:val="fr-FR"/>
        </w:rPr>
        <w:t xml:space="preserve"> </w:t>
      </w:r>
      <w:r w:rsidR="008F019C" w:rsidRPr="00DE4822">
        <w:rPr>
          <w:lang w:val="fr-FR"/>
        </w:rPr>
        <w:t>chargés</w:t>
      </w:r>
      <w:r w:rsidR="008F019C">
        <w:rPr>
          <w:lang w:val="fr-FR"/>
        </w:rPr>
        <w:t xml:space="preserve"> </w:t>
      </w:r>
      <w:r w:rsidR="008F019C" w:rsidRPr="00DE4822">
        <w:rPr>
          <w:lang w:val="fr-FR"/>
        </w:rPr>
        <w:t>des</w:t>
      </w:r>
      <w:r w:rsidR="008F019C">
        <w:rPr>
          <w:lang w:val="fr-FR"/>
        </w:rPr>
        <w:t xml:space="preserve"> </w:t>
      </w:r>
      <w:r w:rsidR="008F019C" w:rsidRPr="00DE4822">
        <w:rPr>
          <w:lang w:val="fr-FR"/>
        </w:rPr>
        <w:t>essais</w:t>
      </w:r>
      <w:r w:rsidR="008F019C">
        <w:rPr>
          <w:lang w:val="fr-FR"/>
        </w:rPr>
        <w:t xml:space="preserve"> </w:t>
      </w:r>
      <w:r w:rsidR="008F019C" w:rsidRPr="00DE4822">
        <w:rPr>
          <w:lang w:val="fr-FR"/>
        </w:rPr>
        <w:t>d’homologation</w:t>
      </w:r>
      <w:r w:rsidR="008F019C">
        <w:rPr>
          <w:lang w:val="fr-FR"/>
        </w:rPr>
        <w:t xml:space="preserve"> </w:t>
      </w:r>
      <w:r w:rsidR="00C12BE8">
        <w:rPr>
          <w:lang w:val="fr-FR"/>
        </w:rPr>
        <w:br/>
      </w:r>
      <w:r w:rsidR="008F019C" w:rsidRPr="00DE4822">
        <w:rPr>
          <w:lang w:val="fr-FR"/>
        </w:rPr>
        <w:t>et</w:t>
      </w:r>
      <w:r w:rsidR="008F019C">
        <w:rPr>
          <w:lang w:val="fr-FR"/>
        </w:rPr>
        <w:t xml:space="preserve"> </w:t>
      </w:r>
      <w:r w:rsidR="008F019C" w:rsidRPr="00DE4822">
        <w:rPr>
          <w:lang w:val="fr-FR"/>
        </w:rPr>
        <w:t>des</w:t>
      </w:r>
      <w:r w:rsidR="008F019C">
        <w:rPr>
          <w:lang w:val="fr-FR"/>
        </w:rPr>
        <w:t xml:space="preserve"> </w:t>
      </w:r>
      <w:r w:rsidR="008F019C" w:rsidRPr="00DE4822">
        <w:rPr>
          <w:lang w:val="fr-FR"/>
        </w:rPr>
        <w:t>autorités</w:t>
      </w:r>
      <w:r w:rsidR="008F019C">
        <w:rPr>
          <w:lang w:val="fr-FR"/>
        </w:rPr>
        <w:t xml:space="preserve"> </w:t>
      </w:r>
      <w:r w:rsidR="008F019C" w:rsidRPr="00DE4822">
        <w:rPr>
          <w:lang w:val="fr-FR"/>
        </w:rPr>
        <w:t>d’homologation</w:t>
      </w:r>
      <w:r w:rsidR="008F019C">
        <w:rPr>
          <w:lang w:val="fr-FR"/>
        </w:rPr>
        <w:t xml:space="preserve"> </w:t>
      </w:r>
      <w:r w:rsidR="008F019C" w:rsidRPr="00DE4822">
        <w:rPr>
          <w:lang w:val="fr-FR"/>
        </w:rPr>
        <w:t>de</w:t>
      </w:r>
      <w:r w:rsidR="008F019C">
        <w:rPr>
          <w:lang w:val="fr-FR"/>
        </w:rPr>
        <w:t xml:space="preserve"> </w:t>
      </w:r>
      <w:r w:rsidR="008F019C" w:rsidRPr="00DE4822">
        <w:rPr>
          <w:lang w:val="fr-FR"/>
        </w:rPr>
        <w:t>type</w:t>
      </w:r>
      <w:r w:rsidRPr="00DE4822">
        <w:tab/>
      </w:r>
      <w:r w:rsidRPr="00DE4822">
        <w:tab/>
      </w:r>
      <w:r w:rsidR="00C3451D">
        <w:t>24</w:t>
      </w:r>
    </w:p>
    <w:p w:rsidR="00B42829" w:rsidRPr="00DE4822" w:rsidRDefault="00B42829" w:rsidP="00B42829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 w:rsidRPr="00DE4822">
        <w:tab/>
      </w:r>
      <w:r w:rsidR="0032426B">
        <w:t>12</w:t>
      </w:r>
      <w:r w:rsidRPr="00DE4822">
        <w:t>.</w:t>
      </w:r>
      <w:r w:rsidRPr="00DE4822">
        <w:tab/>
      </w:r>
      <w:r w:rsidR="00881435" w:rsidRPr="00DE4822">
        <w:rPr>
          <w:lang w:val="fr-FR"/>
        </w:rPr>
        <w:t>Dispositions</w:t>
      </w:r>
      <w:r w:rsidR="00881435">
        <w:rPr>
          <w:lang w:val="fr-FR"/>
        </w:rPr>
        <w:t xml:space="preserve"> </w:t>
      </w:r>
      <w:r w:rsidR="00881435" w:rsidRPr="00DE4822">
        <w:rPr>
          <w:lang w:val="fr-FR"/>
        </w:rPr>
        <w:t>transitoires</w:t>
      </w:r>
      <w:r w:rsidRPr="00DE4822">
        <w:tab/>
      </w:r>
      <w:r w:rsidRPr="00DE4822">
        <w:tab/>
      </w:r>
      <w:r w:rsidR="00C3451D">
        <w:t>24</w:t>
      </w:r>
    </w:p>
    <w:p w:rsidR="00F74289" w:rsidRPr="00DE4822" w:rsidRDefault="00F74289" w:rsidP="00F74289">
      <w:pPr>
        <w:tabs>
          <w:tab w:val="right" w:pos="850"/>
        </w:tabs>
        <w:spacing w:after="120"/>
      </w:pPr>
      <w:r w:rsidRPr="00DE4822">
        <w:tab/>
        <w:t>Annexes</w:t>
      </w:r>
    </w:p>
    <w:p w:rsidR="00D672D3" w:rsidRPr="00C12BE8" w:rsidRDefault="00D672D3" w:rsidP="00D672D3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 w:rsidRPr="00C12BE8">
        <w:tab/>
        <w:t>1</w:t>
      </w:r>
      <w:r w:rsidRPr="00C12BE8">
        <w:tab/>
      </w:r>
      <w:r w:rsidR="00880ECE">
        <w:rPr>
          <w:lang w:val="fr-FR"/>
        </w:rPr>
        <w:t>Communication relative à la d</w:t>
      </w:r>
      <w:r w:rsidR="00880ECE" w:rsidRPr="00DE4822">
        <w:rPr>
          <w:lang w:val="fr-FR"/>
        </w:rPr>
        <w:t>élivrance</w:t>
      </w:r>
      <w:r w:rsidR="00880ECE">
        <w:rPr>
          <w:lang w:val="fr-FR"/>
        </w:rPr>
        <w:t>, à l’e</w:t>
      </w:r>
      <w:r w:rsidR="00880ECE" w:rsidRPr="00DE4822">
        <w:rPr>
          <w:lang w:val="fr-FR"/>
        </w:rPr>
        <w:t>xtension</w:t>
      </w:r>
      <w:r w:rsidR="00880ECE">
        <w:rPr>
          <w:lang w:val="fr-FR"/>
        </w:rPr>
        <w:t>, au r</w:t>
      </w:r>
      <w:r w:rsidR="00880ECE" w:rsidRPr="00DE4822">
        <w:rPr>
          <w:lang w:val="fr-FR"/>
        </w:rPr>
        <w:t>efus</w:t>
      </w:r>
      <w:r w:rsidR="00880ECE">
        <w:rPr>
          <w:lang w:val="fr-FR"/>
        </w:rPr>
        <w:t xml:space="preserve"> ou au r</w:t>
      </w:r>
      <w:r w:rsidR="00880ECE" w:rsidRPr="00DE4822">
        <w:rPr>
          <w:lang w:val="fr-FR"/>
        </w:rPr>
        <w:t>etrait</w:t>
      </w:r>
      <w:r w:rsidR="00880ECE">
        <w:rPr>
          <w:lang w:val="fr-FR"/>
        </w:rPr>
        <w:t xml:space="preserve"> </w:t>
      </w:r>
      <w:r w:rsidR="00880ECE">
        <w:rPr>
          <w:lang w:val="fr-FR"/>
        </w:rPr>
        <w:br/>
        <w:t xml:space="preserve">d’une homologation ou à l’arrêt </w:t>
      </w:r>
      <w:r w:rsidR="00880ECE" w:rsidRPr="00DE4822">
        <w:rPr>
          <w:lang w:val="fr-FR"/>
        </w:rPr>
        <w:t>définitif</w:t>
      </w:r>
      <w:r w:rsidR="00880ECE">
        <w:rPr>
          <w:lang w:val="fr-FR"/>
        </w:rPr>
        <w:t xml:space="preserve"> </w:t>
      </w:r>
      <w:r w:rsidR="00880ECE" w:rsidRPr="00DE4822">
        <w:rPr>
          <w:lang w:val="fr-FR"/>
        </w:rPr>
        <w:t>de</w:t>
      </w:r>
      <w:r w:rsidR="00880ECE">
        <w:rPr>
          <w:lang w:val="fr-FR"/>
        </w:rPr>
        <w:t xml:space="preserve"> </w:t>
      </w:r>
      <w:r w:rsidR="00880ECE" w:rsidRPr="00DE4822">
        <w:rPr>
          <w:lang w:val="fr-FR"/>
        </w:rPr>
        <w:t>la</w:t>
      </w:r>
      <w:r w:rsidR="00880ECE">
        <w:rPr>
          <w:lang w:val="fr-FR"/>
        </w:rPr>
        <w:t xml:space="preserve"> </w:t>
      </w:r>
      <w:r w:rsidR="00880ECE" w:rsidRPr="00DE4822">
        <w:rPr>
          <w:lang w:val="fr-FR"/>
        </w:rPr>
        <w:t>production</w:t>
      </w:r>
      <w:r w:rsidR="00880ECE">
        <w:rPr>
          <w:lang w:val="fr-FR"/>
        </w:rPr>
        <w:t xml:space="preserve"> </w:t>
      </w:r>
      <w:r w:rsidR="00880ECE" w:rsidRPr="00DE4822">
        <w:rPr>
          <w:lang w:val="fr-FR"/>
        </w:rPr>
        <w:t>d’un</w:t>
      </w:r>
      <w:r w:rsidR="00880ECE">
        <w:rPr>
          <w:lang w:val="fr-FR"/>
        </w:rPr>
        <w:t xml:space="preserve"> </w:t>
      </w:r>
      <w:r w:rsidR="00880ECE" w:rsidRPr="00DE4822">
        <w:rPr>
          <w:lang w:val="fr-FR"/>
        </w:rPr>
        <w:t>type</w:t>
      </w:r>
      <w:r w:rsidR="00880ECE">
        <w:rPr>
          <w:lang w:val="fr-FR"/>
        </w:rPr>
        <w:t xml:space="preserve"> </w:t>
      </w:r>
      <w:r w:rsidR="00880ECE" w:rsidRPr="00DE4822">
        <w:rPr>
          <w:lang w:val="fr-FR"/>
        </w:rPr>
        <w:t>de</w:t>
      </w:r>
      <w:r w:rsidR="00880ECE">
        <w:rPr>
          <w:lang w:val="fr-FR"/>
        </w:rPr>
        <w:t xml:space="preserve"> </w:t>
      </w:r>
      <w:r w:rsidR="00880ECE" w:rsidRPr="00DE4822">
        <w:rPr>
          <w:lang w:val="fr-FR"/>
        </w:rPr>
        <w:t>véhicule</w:t>
      </w:r>
      <w:r w:rsidR="00880ECE">
        <w:rPr>
          <w:lang w:val="fr-FR"/>
        </w:rPr>
        <w:t xml:space="preserve"> </w:t>
      </w:r>
      <w:r w:rsidR="00880ECE">
        <w:rPr>
          <w:lang w:val="fr-FR"/>
        </w:rPr>
        <w:br/>
      </w:r>
      <w:r w:rsidR="00880ECE" w:rsidRPr="00DE4822">
        <w:rPr>
          <w:lang w:val="fr-FR"/>
        </w:rPr>
        <w:t>en</w:t>
      </w:r>
      <w:r w:rsidR="00880ECE">
        <w:rPr>
          <w:lang w:val="fr-FR"/>
        </w:rPr>
        <w:t xml:space="preserve"> </w:t>
      </w:r>
      <w:r w:rsidR="00880ECE" w:rsidRPr="00DE4822">
        <w:rPr>
          <w:lang w:val="fr-FR"/>
        </w:rPr>
        <w:t>ce</w:t>
      </w:r>
      <w:r w:rsidR="00880ECE">
        <w:rPr>
          <w:lang w:val="fr-FR"/>
        </w:rPr>
        <w:t xml:space="preserve"> </w:t>
      </w:r>
      <w:r w:rsidR="00880ECE" w:rsidRPr="00DE4822">
        <w:rPr>
          <w:lang w:val="fr-FR"/>
        </w:rPr>
        <w:t>qui</w:t>
      </w:r>
      <w:r w:rsidR="00880ECE">
        <w:rPr>
          <w:lang w:val="fr-FR"/>
        </w:rPr>
        <w:t xml:space="preserve"> </w:t>
      </w:r>
      <w:r w:rsidR="00880ECE" w:rsidRPr="00DE4822">
        <w:rPr>
          <w:lang w:val="fr-FR"/>
        </w:rPr>
        <w:t>concerne</w:t>
      </w:r>
      <w:r w:rsidR="00880ECE">
        <w:rPr>
          <w:lang w:val="fr-FR"/>
        </w:rPr>
        <w:t xml:space="preserve"> </w:t>
      </w:r>
      <w:r w:rsidR="00880ECE" w:rsidRPr="00DE4822">
        <w:rPr>
          <w:lang w:val="fr-FR"/>
        </w:rPr>
        <w:t>l’équipement</w:t>
      </w:r>
      <w:r w:rsidR="00880ECE">
        <w:rPr>
          <w:lang w:val="fr-FR"/>
        </w:rPr>
        <w:t xml:space="preserve"> </w:t>
      </w:r>
      <w:r w:rsidR="00880ECE" w:rsidRPr="00DE4822">
        <w:rPr>
          <w:lang w:val="fr-FR"/>
        </w:rPr>
        <w:t>de</w:t>
      </w:r>
      <w:r w:rsidR="00880ECE">
        <w:rPr>
          <w:lang w:val="fr-FR"/>
        </w:rPr>
        <w:t xml:space="preserve"> </w:t>
      </w:r>
      <w:r w:rsidR="00880ECE" w:rsidRPr="00DE4822">
        <w:rPr>
          <w:lang w:val="fr-FR"/>
        </w:rPr>
        <w:t>direction</w:t>
      </w:r>
      <w:r w:rsidR="00880ECE">
        <w:rPr>
          <w:lang w:val="fr-FR"/>
        </w:rPr>
        <w:t xml:space="preserve"> </w:t>
      </w:r>
      <w:r w:rsidR="00880ECE" w:rsidRPr="00DE4822">
        <w:rPr>
          <w:lang w:val="fr-FR"/>
        </w:rPr>
        <w:t>en</w:t>
      </w:r>
      <w:r w:rsidR="00880ECE">
        <w:rPr>
          <w:lang w:val="fr-FR"/>
        </w:rPr>
        <w:t xml:space="preserve"> </w:t>
      </w:r>
      <w:r w:rsidR="00880ECE" w:rsidRPr="00DE4822">
        <w:rPr>
          <w:lang w:val="fr-FR"/>
        </w:rPr>
        <w:t>application</w:t>
      </w:r>
      <w:r w:rsidR="00880ECE">
        <w:rPr>
          <w:lang w:val="fr-FR"/>
        </w:rPr>
        <w:t xml:space="preserve"> </w:t>
      </w:r>
      <w:r w:rsidR="00880ECE" w:rsidRPr="00DE4822">
        <w:rPr>
          <w:lang w:val="fr-FR"/>
        </w:rPr>
        <w:t>du</w:t>
      </w:r>
      <w:r w:rsidR="00880ECE">
        <w:rPr>
          <w:lang w:val="fr-FR"/>
        </w:rPr>
        <w:t xml:space="preserve"> </w:t>
      </w:r>
      <w:r w:rsidR="00880ECE" w:rsidRPr="00DE4822">
        <w:rPr>
          <w:lang w:val="fr-FR"/>
        </w:rPr>
        <w:t>Règlement</w:t>
      </w:r>
      <w:r w:rsidR="00880ECE">
        <w:rPr>
          <w:lang w:val="fr-FR"/>
        </w:rPr>
        <w:t xml:space="preserve"> </w:t>
      </w:r>
      <w:r w:rsidR="00880ECE" w:rsidRPr="00DE4822">
        <w:rPr>
          <w:lang w:val="fr-FR"/>
        </w:rPr>
        <w:t>ONU</w:t>
      </w:r>
      <w:r w:rsidR="00880ECE">
        <w:rPr>
          <w:lang w:val="fr-FR"/>
        </w:rPr>
        <w:t xml:space="preserve"> </w:t>
      </w:r>
      <w:r w:rsidR="00880ECE" w:rsidRPr="00DE4822">
        <w:rPr>
          <w:lang w:val="fr-FR"/>
        </w:rPr>
        <w:t>n</w:t>
      </w:r>
      <w:r w:rsidR="00880ECE" w:rsidRPr="00DE4822">
        <w:rPr>
          <w:vertAlign w:val="superscript"/>
          <w:lang w:val="fr-FR"/>
        </w:rPr>
        <w:t>o</w:t>
      </w:r>
      <w:r w:rsidR="00880ECE">
        <w:rPr>
          <w:lang w:val="fr-FR"/>
        </w:rPr>
        <w:t> </w:t>
      </w:r>
      <w:r w:rsidR="00880ECE" w:rsidRPr="00DE4822">
        <w:rPr>
          <w:lang w:val="fr-FR"/>
        </w:rPr>
        <w:t>79</w:t>
      </w:r>
      <w:r w:rsidRPr="00C12BE8">
        <w:tab/>
      </w:r>
      <w:r w:rsidRPr="00C12BE8">
        <w:tab/>
      </w:r>
      <w:r w:rsidR="00C3451D">
        <w:t>25</w:t>
      </w:r>
    </w:p>
    <w:p w:rsidR="00D672D3" w:rsidRPr="00C12BE8" w:rsidRDefault="00D672D3" w:rsidP="00D672D3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 w:rsidRPr="00C12BE8">
        <w:tab/>
        <w:t>2</w:t>
      </w:r>
      <w:r w:rsidRPr="00C12BE8">
        <w:tab/>
      </w:r>
      <w:r w:rsidR="00881435" w:rsidRPr="00C12BE8">
        <w:rPr>
          <w:lang w:val="fr-FR"/>
        </w:rPr>
        <w:t>Exemples de marque d’homologation</w:t>
      </w:r>
      <w:r w:rsidRPr="00C12BE8">
        <w:tab/>
      </w:r>
      <w:r w:rsidRPr="00C12BE8">
        <w:tab/>
      </w:r>
      <w:r w:rsidR="00C3451D">
        <w:t>27</w:t>
      </w:r>
    </w:p>
    <w:p w:rsidR="00D672D3" w:rsidRPr="00C12BE8" w:rsidRDefault="00D672D3" w:rsidP="00D672D3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 w:rsidRPr="00C12BE8">
        <w:tab/>
        <w:t>3</w:t>
      </w:r>
      <w:r w:rsidRPr="00C12BE8">
        <w:tab/>
      </w:r>
      <w:r w:rsidR="00881435" w:rsidRPr="00C12BE8">
        <w:rPr>
          <w:lang w:val="fr-FR"/>
        </w:rPr>
        <w:t xml:space="preserve">Efficacité du freinage des véhicules utilisant une même source d’énergie pour alimenter </w:t>
      </w:r>
      <w:r w:rsidR="00C12BE8">
        <w:rPr>
          <w:lang w:val="fr-FR"/>
        </w:rPr>
        <w:br/>
      </w:r>
      <w:r w:rsidR="00881435" w:rsidRPr="00C12BE8">
        <w:rPr>
          <w:lang w:val="fr-FR"/>
        </w:rPr>
        <w:t>l’équipement de direction et le système de freinage</w:t>
      </w:r>
      <w:r w:rsidRPr="00C12BE8">
        <w:tab/>
      </w:r>
      <w:r w:rsidRPr="00C12BE8">
        <w:tab/>
      </w:r>
      <w:r w:rsidR="00C12BE8">
        <w:t>28</w:t>
      </w:r>
    </w:p>
    <w:p w:rsidR="00D672D3" w:rsidRPr="00C12BE8" w:rsidRDefault="00D672D3" w:rsidP="00D672D3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 w:rsidRPr="00C12BE8">
        <w:tab/>
        <w:t>4</w:t>
      </w:r>
      <w:r w:rsidRPr="00C12BE8">
        <w:tab/>
      </w:r>
      <w:r w:rsidR="00881435" w:rsidRPr="00C12BE8">
        <w:rPr>
          <w:lang w:val="fr-FR"/>
        </w:rPr>
        <w:t xml:space="preserve">Prescriptions supplémentaires relatives aux véhicules munis d’un équipement </w:t>
      </w:r>
      <w:r w:rsidR="00C12BE8">
        <w:rPr>
          <w:lang w:val="fr-FR"/>
        </w:rPr>
        <w:br/>
      </w:r>
      <w:r w:rsidR="00881435" w:rsidRPr="00C12BE8">
        <w:rPr>
          <w:lang w:val="fr-FR"/>
        </w:rPr>
        <w:t>de direction auxiliaire</w:t>
      </w:r>
      <w:r w:rsidRPr="00C12BE8">
        <w:tab/>
      </w:r>
      <w:r w:rsidRPr="00C12BE8">
        <w:tab/>
      </w:r>
      <w:r w:rsidR="00C12BE8">
        <w:t>30</w:t>
      </w:r>
    </w:p>
    <w:p w:rsidR="00D672D3" w:rsidRPr="00C12BE8" w:rsidRDefault="00D672D3" w:rsidP="00D672D3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 w:rsidRPr="00C12BE8">
        <w:tab/>
        <w:t>5</w:t>
      </w:r>
      <w:r w:rsidRPr="00C12BE8">
        <w:tab/>
      </w:r>
      <w:r w:rsidR="00881435" w:rsidRPr="00C12BE8">
        <w:rPr>
          <w:lang w:val="fr-FR"/>
        </w:rPr>
        <w:t xml:space="preserve">Dispositions applicables aux remorques équipées d’une timonerie </w:t>
      </w:r>
      <w:r w:rsidR="00C12BE8">
        <w:rPr>
          <w:lang w:val="fr-FR"/>
        </w:rPr>
        <w:br/>
      </w:r>
      <w:r w:rsidR="00881435" w:rsidRPr="00C12BE8">
        <w:rPr>
          <w:lang w:val="fr-FR"/>
        </w:rPr>
        <w:t>de direction purement hydraulique</w:t>
      </w:r>
      <w:r w:rsidRPr="00C12BE8">
        <w:tab/>
      </w:r>
      <w:r w:rsidRPr="00C12BE8">
        <w:tab/>
      </w:r>
      <w:r w:rsidR="00C12BE8">
        <w:t>32</w:t>
      </w:r>
    </w:p>
    <w:p w:rsidR="00D672D3" w:rsidRPr="00C12BE8" w:rsidRDefault="00D672D3" w:rsidP="00D672D3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 w:rsidRPr="00C12BE8">
        <w:tab/>
        <w:t>6</w:t>
      </w:r>
      <w:r w:rsidRPr="00C12BE8">
        <w:tab/>
      </w:r>
      <w:r w:rsidR="00881435" w:rsidRPr="00C12BE8">
        <w:rPr>
          <w:lang w:val="fr-FR"/>
        </w:rPr>
        <w:t xml:space="preserve">Prescriptions spéciales applicables aux aspects liés à la sécurité des systèmes complexes </w:t>
      </w:r>
      <w:r w:rsidR="00C12BE8">
        <w:rPr>
          <w:lang w:val="fr-FR"/>
        </w:rPr>
        <w:br/>
      </w:r>
      <w:r w:rsidR="00881435" w:rsidRPr="00C12BE8">
        <w:rPr>
          <w:lang w:val="fr-FR"/>
        </w:rPr>
        <w:t>de commande électronique des véhicules</w:t>
      </w:r>
      <w:r w:rsidRPr="00C12BE8">
        <w:tab/>
      </w:r>
      <w:r w:rsidRPr="00C12BE8">
        <w:tab/>
      </w:r>
      <w:r w:rsidR="00C12BE8">
        <w:t>33</w:t>
      </w:r>
    </w:p>
    <w:p w:rsidR="00D672D3" w:rsidRPr="00C12BE8" w:rsidRDefault="00D672D3" w:rsidP="00D672D3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 w:rsidRPr="00C12BE8">
        <w:tab/>
        <w:t>7</w:t>
      </w:r>
      <w:r w:rsidRPr="00C12BE8">
        <w:tab/>
      </w:r>
      <w:r w:rsidR="00881435" w:rsidRPr="00C12BE8">
        <w:rPr>
          <w:lang w:val="fr-FR"/>
        </w:rPr>
        <w:t xml:space="preserve">Dispositions spéciales concernant l’alimentation électrique des systèmes de direction </w:t>
      </w:r>
      <w:r w:rsidR="00C12BE8">
        <w:rPr>
          <w:lang w:val="fr-FR"/>
        </w:rPr>
        <w:br/>
      </w:r>
      <w:r w:rsidR="00881435" w:rsidRPr="00C12BE8">
        <w:rPr>
          <w:lang w:val="fr-FR"/>
        </w:rPr>
        <w:t>des remorques à partir du véhicule tracteur</w:t>
      </w:r>
      <w:r w:rsidRPr="00C12BE8">
        <w:tab/>
      </w:r>
      <w:r w:rsidRPr="00C12BE8">
        <w:tab/>
      </w:r>
      <w:r w:rsidR="00C12BE8">
        <w:t>38</w:t>
      </w:r>
    </w:p>
    <w:p w:rsidR="00D672D3" w:rsidRPr="00DE4822" w:rsidRDefault="00D672D3" w:rsidP="00D672D3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 w:rsidRPr="00C12BE8">
        <w:tab/>
        <w:t>8</w:t>
      </w:r>
      <w:r w:rsidRPr="00C12BE8">
        <w:tab/>
      </w:r>
      <w:r w:rsidR="001E56EA" w:rsidRPr="00C12BE8">
        <w:rPr>
          <w:lang w:val="fr-FR"/>
        </w:rPr>
        <w:t xml:space="preserve">Prescriptions d’essai relatives aux fonctions de direction corrective et de direction </w:t>
      </w:r>
      <w:r w:rsidR="00C12BE8">
        <w:rPr>
          <w:lang w:val="fr-FR"/>
        </w:rPr>
        <w:br/>
      </w:r>
      <w:r w:rsidR="001E56EA" w:rsidRPr="00C12BE8">
        <w:rPr>
          <w:lang w:val="fr-FR"/>
        </w:rPr>
        <w:t>à commande automatique</w:t>
      </w:r>
      <w:r w:rsidRPr="00DE4822">
        <w:tab/>
      </w:r>
      <w:r w:rsidRPr="00DE4822">
        <w:tab/>
      </w:r>
      <w:r w:rsidR="00C12BE8">
        <w:t>41</w:t>
      </w:r>
    </w:p>
    <w:p w:rsidR="00F74289" w:rsidRPr="00DE4822" w:rsidRDefault="00F74289" w:rsidP="00E32E15">
      <w:pPr>
        <w:pStyle w:val="HChG"/>
      </w:pPr>
      <w:r w:rsidRPr="00DE4822">
        <w:br w:type="page"/>
      </w:r>
      <w:r w:rsidR="00E33761" w:rsidRPr="00DE4822">
        <w:lastRenderedPageBreak/>
        <w:tab/>
      </w:r>
      <w:r w:rsidR="00D672D3" w:rsidRPr="00DE4822">
        <w:tab/>
      </w:r>
      <w:r w:rsidR="00D643A6" w:rsidRPr="00DE4822">
        <w:t>Introduction</w:t>
      </w:r>
    </w:p>
    <w:p w:rsidR="00D643A6" w:rsidRPr="00DE4822" w:rsidRDefault="00D643A6" w:rsidP="00E33761">
      <w:pPr>
        <w:pStyle w:val="SingleTxtG"/>
        <w:ind w:firstLine="567"/>
        <w:rPr>
          <w:lang w:val="fr-FR"/>
        </w:rPr>
      </w:pP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objet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d’établir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uniformes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relatives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conception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équipant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utilisés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route.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Traditionnellement,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importante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prévoyait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principal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devait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contenir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liaison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mécanique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normalement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volant,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déterminer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trajectoire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estimait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liaison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mécanique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largement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dimensionnée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n’était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sujette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défaillances.</w:t>
      </w:r>
    </w:p>
    <w:p w:rsidR="00D643A6" w:rsidRPr="00DE4822" w:rsidRDefault="00D643A6" w:rsidP="00E33761">
      <w:pPr>
        <w:pStyle w:val="SingleTxtG"/>
        <w:ind w:firstLine="567"/>
        <w:rPr>
          <w:lang w:val="fr-FR"/>
        </w:rPr>
      </w:pP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progrès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technique,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désir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d’améliorer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sécurité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passagers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éliminant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colonne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mécanique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l’avantage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constructeurs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pouvoir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monter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indifféremment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gauche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droite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amené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revoir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l’approche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traditionnelle,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maintenant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amendé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tenir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nouvelles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technologies.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conséquence,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pourra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désormais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disposer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lesquels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n’existe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aucune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liaison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mécanique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roues.</w:t>
      </w:r>
    </w:p>
    <w:p w:rsidR="00D643A6" w:rsidRPr="00DE4822" w:rsidRDefault="00D643A6" w:rsidP="00E33761">
      <w:pPr>
        <w:pStyle w:val="SingleTxtG"/>
        <w:ind w:firstLine="567"/>
        <w:rPr>
          <w:lang w:val="fr-FR"/>
        </w:rPr>
      </w:pP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lesquels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conserve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conduite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avec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l’aide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émis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bord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dernier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influencent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appelés</w:t>
      </w:r>
      <w:r w:rsidR="00EC442C">
        <w:rPr>
          <w:lang w:val="fr-FR"/>
        </w:rPr>
        <w:t xml:space="preserve"> </w:t>
      </w:r>
      <w:r w:rsidR="004A6CFE">
        <w:rPr>
          <w:lang w:val="fr-FR"/>
        </w:rPr>
        <w:t>« </w:t>
      </w:r>
      <w:r w:rsidRPr="00DE4822">
        <w:rPr>
          <w:lang w:val="fr-FR"/>
        </w:rPr>
        <w:t>systèmes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actifs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d’aide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conduite</w:t>
      </w:r>
      <w:r w:rsidR="004A6CFE">
        <w:rPr>
          <w:lang w:val="fr-FR"/>
        </w:rPr>
        <w:t> »</w:t>
      </w:r>
      <w:r w:rsidRPr="00DE4822">
        <w:rPr>
          <w:lang w:val="fr-FR"/>
        </w:rPr>
        <w:t>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peuvent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comporter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="004A6CFE">
        <w:rPr>
          <w:lang w:val="fr-FR"/>
        </w:rPr>
        <w:t>« </w:t>
      </w:r>
      <w:r w:rsidRPr="00DE4822">
        <w:rPr>
          <w:lang w:val="fr-FR"/>
        </w:rPr>
        <w:t>fonction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automatique</w:t>
      </w:r>
      <w:r w:rsidR="004A6CFE">
        <w:rPr>
          <w:lang w:val="fr-FR"/>
        </w:rPr>
        <w:t> »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faisant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exemple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dispositifs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d’infrastructure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passifs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aider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maintenir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trajectoire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idéale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(guidage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voie,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maintien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voie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contrôle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direction),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effectuer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manœuvres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petite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espaces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restreints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s’arrêter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lieu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prédéfini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(guidage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vers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arrêt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d’autobus).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Ils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peuvent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aussi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comporter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="004A6CFE">
        <w:rPr>
          <w:lang w:val="fr-FR"/>
        </w:rPr>
        <w:t>« </w:t>
      </w:r>
      <w:r w:rsidRPr="00DE4822">
        <w:rPr>
          <w:lang w:val="fr-FR"/>
        </w:rPr>
        <w:t>fonction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corrective</w:t>
      </w:r>
      <w:r w:rsidR="004A6CFE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avertit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exemple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écart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rapport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trajectoire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idéale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(avertissement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sortie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voie),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corrige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l’angle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braquage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empêcher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sortir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voie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choisie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(correcteur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sortie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voie)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corrige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l’angle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braquage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plusieurs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améliorer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comportement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dynamique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stabilité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véhicule.</w:t>
      </w:r>
    </w:p>
    <w:p w:rsidR="00D643A6" w:rsidRPr="00DE4822" w:rsidRDefault="00D643A6" w:rsidP="00E33761">
      <w:pPr>
        <w:pStyle w:val="SingleTxtG"/>
        <w:ind w:firstLine="567"/>
        <w:rPr>
          <w:lang w:val="fr-FR"/>
        </w:rPr>
      </w:pPr>
      <w:r w:rsidRPr="00DE4822">
        <w:rPr>
          <w:lang w:val="fr-FR"/>
        </w:rPr>
        <w:t>Quel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actif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d’aide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conduite,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peut,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moment,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décider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neutraliser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délibérément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d’assistance,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exemple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éviter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obstacle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imprévu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chaussée.</w:t>
      </w:r>
    </w:p>
    <w:p w:rsidR="00D643A6" w:rsidRPr="00DE4822" w:rsidRDefault="00D643A6" w:rsidP="00E33761">
      <w:pPr>
        <w:pStyle w:val="SingleTxtG"/>
        <w:ind w:firstLine="567"/>
        <w:rPr>
          <w:lang w:val="fr-FR"/>
        </w:rPr>
      </w:pPr>
      <w:r w:rsidRPr="00DE4822">
        <w:rPr>
          <w:lang w:val="fr-FR"/>
        </w:rPr>
        <w:t>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permis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penser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l’avenir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progrès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technique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permettra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d’influencer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piloter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moyen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capteurs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émis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bord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dehors.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évolution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suscite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préoccupations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concernant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conduite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proprement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l’absence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protocole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international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transmission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données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concerne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depuis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l’extérieur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permet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donc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générale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comprenant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permettant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moyen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extérieurs,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transmis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exemple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balises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signalisation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dispositifs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actifs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noyés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revêtement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chaussée.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nécessitent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appelés</w:t>
      </w:r>
      <w:r w:rsidR="00EC442C">
        <w:rPr>
          <w:lang w:val="fr-FR"/>
        </w:rPr>
        <w:t xml:space="preserve"> </w:t>
      </w:r>
      <w:r w:rsidR="004A6CFE">
        <w:rPr>
          <w:lang w:val="fr-FR"/>
        </w:rPr>
        <w:t>« </w:t>
      </w:r>
      <w:r w:rsidRPr="00DE4822">
        <w:rPr>
          <w:lang w:val="fr-FR"/>
        </w:rPr>
        <w:t>systèmes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autonomes</w:t>
      </w:r>
      <w:r w:rsidR="004A6CFE">
        <w:rPr>
          <w:lang w:val="fr-FR"/>
        </w:rPr>
        <w:t> »</w:t>
      </w:r>
      <w:r w:rsidRPr="00DE4822">
        <w:rPr>
          <w:lang w:val="fr-FR"/>
        </w:rPr>
        <w:t>.</w:t>
      </w:r>
    </w:p>
    <w:p w:rsidR="00D643A6" w:rsidRPr="00DE4822" w:rsidRDefault="00D643A6" w:rsidP="00E33761">
      <w:pPr>
        <w:pStyle w:val="SingleTxtG"/>
        <w:ind w:firstLine="567"/>
        <w:rPr>
          <w:lang w:val="fr-FR"/>
        </w:rPr>
      </w:pP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ailleurs,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empêche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permettant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diriger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moyen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tracteur,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puisqu’il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n’existe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actuellement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aucune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norme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applicable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matière.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toutefois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probable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jour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norme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ISO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11992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l’Organisation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internationale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normalisation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sera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modifiée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prendre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transmission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données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relatives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direction.</w:t>
      </w:r>
    </w:p>
    <w:p w:rsidR="00D643A6" w:rsidRPr="00DE4822" w:rsidRDefault="00E33761" w:rsidP="00D672D3">
      <w:pPr>
        <w:pStyle w:val="HChG"/>
        <w:ind w:left="2268"/>
        <w:rPr>
          <w:lang w:val="fr-FR"/>
        </w:rPr>
      </w:pPr>
      <w:r w:rsidRPr="00DE4822">
        <w:rPr>
          <w:lang w:val="fr-FR"/>
        </w:rPr>
        <w:br w:type="page"/>
      </w:r>
      <w:r w:rsidR="00D643A6" w:rsidRPr="00DE4822">
        <w:rPr>
          <w:lang w:val="fr-FR"/>
        </w:rPr>
        <w:lastRenderedPageBreak/>
        <w:t>1.</w:t>
      </w:r>
      <w:r w:rsidRPr="00DE4822">
        <w:rPr>
          <w:lang w:val="fr-FR"/>
        </w:rPr>
        <w:tab/>
      </w:r>
      <w:r w:rsidR="00D643A6" w:rsidRPr="00DE4822">
        <w:rPr>
          <w:lang w:val="fr-FR"/>
        </w:rPr>
        <w:t>Domaine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d’application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1.1</w:t>
      </w:r>
      <w:r w:rsidRPr="00DE4822">
        <w:rPr>
          <w:lang w:val="fr-FR"/>
        </w:rPr>
        <w:tab/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s’applique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catégories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</w:t>
      </w:r>
      <w:r w:rsidRPr="00DE4822">
        <w:rPr>
          <w:rStyle w:val="FootnoteReference"/>
        </w:rPr>
        <w:footnoteReference w:id="3"/>
      </w:r>
      <w:r w:rsidRPr="00DE4822">
        <w:rPr>
          <w:lang w:val="fr-FR"/>
        </w:rPr>
        <w:t>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1.2</w:t>
      </w:r>
      <w:r w:rsidRPr="00DE4822">
        <w:rPr>
          <w:lang w:val="fr-FR"/>
        </w:rPr>
        <w:tab/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s’applique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 : 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1.2.1</w:t>
      </w:r>
      <w:r w:rsidRPr="00DE4822">
        <w:rPr>
          <w:lang w:val="fr-FR"/>
        </w:rPr>
        <w:tab/>
      </w:r>
      <w:r w:rsidR="004A6CFE" w:rsidRPr="00DE4822">
        <w:rPr>
          <w:lang w:val="fr-FR"/>
        </w:rPr>
        <w:t>Aux</w:t>
      </w:r>
      <w:r w:rsidR="004A6CFE">
        <w:rPr>
          <w:lang w:val="fr-FR"/>
        </w:rPr>
        <w:t xml:space="preserve"> </w:t>
      </w:r>
      <w:r w:rsidRPr="00DE4822">
        <w:rPr>
          <w:lang w:val="fr-FR"/>
        </w:rPr>
        <w:t>timoneries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purement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pneumatiques</w:t>
      </w:r>
      <w:r w:rsidR="00EC442C">
        <w:rPr>
          <w:lang w:val="fr-FR"/>
        </w:rPr>
        <w:t xml:space="preserve"> ; </w:t>
      </w:r>
    </w:p>
    <w:p w:rsidR="00D643A6" w:rsidRPr="00DE4822" w:rsidRDefault="00D643A6" w:rsidP="00E32E15">
      <w:pPr>
        <w:pStyle w:val="SingleTxtG"/>
        <w:ind w:left="2268" w:hanging="1134"/>
      </w:pPr>
      <w:r w:rsidRPr="00DE4822">
        <w:t>1.2.2</w:t>
      </w:r>
      <w:r w:rsidRPr="00DE4822">
        <w:tab/>
      </w:r>
      <w:r w:rsidR="004A6CFE" w:rsidRPr="00DE4822">
        <w:t>Aux</w:t>
      </w:r>
      <w:r w:rsidR="004A6CFE">
        <w:t xml:space="preserve"> </w:t>
      </w:r>
      <w:r w:rsidRPr="00DE4822">
        <w:t>systèmes</w:t>
      </w:r>
      <w:r w:rsidR="00EC442C">
        <w:t xml:space="preserve"> </w:t>
      </w:r>
      <w:r w:rsidRPr="00DE4822">
        <w:t>de</w:t>
      </w:r>
      <w:r w:rsidR="00EC442C">
        <w:t xml:space="preserve"> </w:t>
      </w:r>
      <w:r w:rsidRPr="00DE4822">
        <w:rPr>
          <w:lang w:val="fr-FR"/>
        </w:rPr>
        <w:t>direction</w:t>
      </w:r>
      <w:r w:rsidR="00EC442C">
        <w:t xml:space="preserve"> </w:t>
      </w:r>
      <w:r w:rsidRPr="00DE4822">
        <w:t>autonomes,</w:t>
      </w:r>
      <w:r w:rsidR="00EC442C">
        <w:t xml:space="preserve"> </w:t>
      </w:r>
      <w:r w:rsidRPr="00DE4822">
        <w:t>tels</w:t>
      </w:r>
      <w:r w:rsidR="00EC442C">
        <w:t xml:space="preserve"> </w:t>
      </w:r>
      <w:r w:rsidRPr="00DE4822">
        <w:t>qu’ils</w:t>
      </w:r>
      <w:r w:rsidR="00EC442C">
        <w:t xml:space="preserve"> </w:t>
      </w:r>
      <w:r w:rsidRPr="00DE4822">
        <w:t>sont</w:t>
      </w:r>
      <w:r w:rsidR="00EC442C">
        <w:t xml:space="preserve"> </w:t>
      </w:r>
      <w:r w:rsidRPr="00DE4822">
        <w:t>définis</w:t>
      </w:r>
      <w:r w:rsidR="00EC442C">
        <w:t xml:space="preserve"> </w:t>
      </w:r>
      <w:r w:rsidRPr="00DE4822">
        <w:t>au</w:t>
      </w:r>
      <w:r w:rsidR="00EC442C">
        <w:t xml:space="preserve"> </w:t>
      </w:r>
      <w:r w:rsidRPr="00DE4822">
        <w:t>paragraphe</w:t>
      </w:r>
      <w:r w:rsidR="00EC442C">
        <w:t xml:space="preserve"> </w:t>
      </w:r>
      <w:r w:rsidRPr="00DE4822">
        <w:t>2.3.3</w:t>
      </w:r>
      <w:r w:rsidR="00EC442C">
        <w:t> ;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1.2.3</w:t>
      </w:r>
      <w:r w:rsidR="00E33761" w:rsidRPr="00DE4822">
        <w:rPr>
          <w:lang w:val="fr-FR"/>
        </w:rPr>
        <w:tab/>
      </w:r>
      <w:r w:rsidR="004A6CFE" w:rsidRPr="00DE4822">
        <w:rPr>
          <w:lang w:val="fr-FR"/>
        </w:rPr>
        <w:t>Aux</w:t>
      </w:r>
      <w:r w:rsidR="004A6CFE">
        <w:rPr>
          <w:lang w:val="fr-FR"/>
        </w:rPr>
        <w:t xml:space="preserve"> </w:t>
      </w:r>
      <w:r w:rsidRPr="00DE4822">
        <w:t>systèmes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définie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automatique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catégorie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B2,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2.3.4.1.3,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2.3.4.1.4,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2.3.4.1.5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2.3.4.1.6,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respectivement,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jusqu’à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dispositions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spécifiques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soient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introduites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Règlement.</w:t>
      </w:r>
    </w:p>
    <w:p w:rsidR="00D643A6" w:rsidRPr="00DE4822" w:rsidRDefault="00D643A6" w:rsidP="00C20735">
      <w:pPr>
        <w:pStyle w:val="HChG"/>
        <w:ind w:left="2268"/>
        <w:rPr>
          <w:lang w:val="fr-FR"/>
        </w:rPr>
      </w:pPr>
      <w:r w:rsidRPr="00DE4822">
        <w:rPr>
          <w:lang w:val="fr-FR"/>
        </w:rPr>
        <w:t>2.</w:t>
      </w:r>
      <w:r w:rsidRPr="00DE4822">
        <w:rPr>
          <w:lang w:val="fr-FR"/>
        </w:rPr>
        <w:tab/>
        <w:t>Définitions</w:t>
      </w:r>
    </w:p>
    <w:p w:rsidR="00D643A6" w:rsidRPr="00DE4822" w:rsidRDefault="00D643A6" w:rsidP="000476D9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entend</w:t>
      </w:r>
      <w:r w:rsidR="00EC442C">
        <w:rPr>
          <w:lang w:val="fr-FR"/>
        </w:rPr>
        <w:t> :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2.1</w:t>
      </w:r>
      <w:r w:rsidRPr="00DE4822">
        <w:rPr>
          <w:lang w:val="fr-FR"/>
        </w:rPr>
        <w:tab/>
      </w:r>
      <w:r w:rsidR="004A6CFE" w:rsidRPr="00DE4822">
        <w:rPr>
          <w:lang w:val="fr-FR"/>
        </w:rPr>
        <w:t>Par</w:t>
      </w:r>
      <w:r w:rsidR="004A6CFE">
        <w:rPr>
          <w:lang w:val="fr-FR"/>
        </w:rPr>
        <w:t xml:space="preserve"> « </w:t>
      </w:r>
      <w:r w:rsidRPr="00DE4822">
        <w:rPr>
          <w:i/>
          <w:lang w:val="fr-FR"/>
        </w:rPr>
        <w:t>homologation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du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véhicule</w:t>
      </w:r>
      <w:r w:rsidR="004A6CFE" w:rsidRPr="004A6CFE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type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concerne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> ;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2.2</w:t>
      </w:r>
      <w:r w:rsidRPr="00DE4822">
        <w:rPr>
          <w:lang w:val="fr-FR"/>
        </w:rPr>
        <w:tab/>
      </w:r>
      <w:r w:rsidR="004A6CFE" w:rsidRPr="00DE4822">
        <w:rPr>
          <w:lang w:val="fr-FR"/>
        </w:rPr>
        <w:t>Par</w:t>
      </w:r>
      <w:r w:rsidR="004A6CFE">
        <w:rPr>
          <w:lang w:val="fr-FR"/>
        </w:rPr>
        <w:t xml:space="preserve"> </w:t>
      </w:r>
      <w:r w:rsidR="00DB1F4E">
        <w:rPr>
          <w:lang w:val="fr-FR"/>
        </w:rPr>
        <w:t>« </w:t>
      </w:r>
      <w:r w:rsidRPr="00DE4822">
        <w:rPr>
          <w:i/>
          <w:lang w:val="fr-FR"/>
        </w:rPr>
        <w:t>type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véhicule</w:t>
      </w:r>
      <w:r w:rsidR="00DB1F4E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différant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désignation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type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donnée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constructeur,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points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essentiels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tels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> :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2.2.1</w:t>
      </w:r>
      <w:r w:rsidRPr="00DE4822">
        <w:rPr>
          <w:lang w:val="fr-FR"/>
        </w:rPr>
        <w:tab/>
      </w:r>
      <w:r w:rsidR="00DB1F4E" w:rsidRPr="00DE4822">
        <w:rPr>
          <w:lang w:val="fr-FR"/>
        </w:rPr>
        <w:t>Le</w:t>
      </w:r>
      <w:r w:rsidR="00DB1F4E">
        <w:rPr>
          <w:lang w:val="fr-FR"/>
        </w:rPr>
        <w:t xml:space="preserve"> </w:t>
      </w:r>
      <w:r w:rsidRPr="00DE4822">
        <w:rPr>
          <w:lang w:val="fr-FR"/>
        </w:rPr>
        <w:t>type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timonerie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directrices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source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d’énergie</w:t>
      </w:r>
      <w:r w:rsidR="00EC442C">
        <w:rPr>
          <w:lang w:val="fr-FR"/>
        </w:rPr>
        <w:t> ;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2.3</w:t>
      </w:r>
      <w:r w:rsidRPr="00DE4822">
        <w:rPr>
          <w:lang w:val="fr-FR"/>
        </w:rPr>
        <w:tab/>
      </w:r>
      <w:r w:rsidR="00DB1F4E" w:rsidRPr="00DE4822">
        <w:rPr>
          <w:lang w:val="fr-FR"/>
        </w:rPr>
        <w:t>Par</w:t>
      </w:r>
      <w:r w:rsidR="00DB1F4E">
        <w:rPr>
          <w:lang w:val="fr-FR"/>
        </w:rPr>
        <w:t xml:space="preserve"> « </w:t>
      </w:r>
      <w:r w:rsidRPr="00DE4822">
        <w:rPr>
          <w:i/>
          <w:lang w:val="fr-FR"/>
        </w:rPr>
        <w:t>équipement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direction</w:t>
      </w:r>
      <w:r w:rsidR="00DB1F4E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l’ensemble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servant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diriger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véhicule.</w:t>
      </w:r>
    </w:p>
    <w:p w:rsidR="00D643A6" w:rsidRPr="00DE4822" w:rsidRDefault="00D643A6" w:rsidP="00DB1F4E">
      <w:pPr>
        <w:pStyle w:val="SingleTxtG"/>
        <w:keepNext/>
        <w:ind w:left="2268"/>
        <w:rPr>
          <w:lang w:val="fr-FR"/>
        </w:rPr>
      </w:pPr>
      <w:r w:rsidRPr="00DE4822">
        <w:rPr>
          <w:lang w:val="fr-FR"/>
        </w:rPr>
        <w:t>L’équipement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comprend</w:t>
      </w:r>
      <w:r w:rsidR="00EC442C">
        <w:rPr>
          <w:lang w:val="fr-FR"/>
        </w:rPr>
        <w:t> :</w:t>
      </w:r>
    </w:p>
    <w:p w:rsidR="00D643A6" w:rsidRPr="00DE4822" w:rsidRDefault="00732813" w:rsidP="005259CE">
      <w:pPr>
        <w:pStyle w:val="Bullet2G"/>
        <w:ind w:left="2835" w:hanging="567"/>
        <w:rPr>
          <w:lang w:val="fr-FR"/>
        </w:rPr>
      </w:pP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="00DB1F4E">
        <w:rPr>
          <w:lang w:val="fr-FR"/>
        </w:rPr>
        <w:t>direction ;</w:t>
      </w:r>
    </w:p>
    <w:p w:rsidR="00D643A6" w:rsidRPr="00DE4822" w:rsidRDefault="00732813" w:rsidP="005259CE">
      <w:pPr>
        <w:pStyle w:val="Bullet2G"/>
        <w:ind w:left="2835" w:hanging="567"/>
        <w:rPr>
          <w:lang w:val="fr-FR"/>
        </w:rPr>
      </w:pP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timonerie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="00DB1F4E">
        <w:rPr>
          <w:lang w:val="fr-FR"/>
        </w:rPr>
        <w:t>direction ;</w:t>
      </w:r>
    </w:p>
    <w:p w:rsidR="00D643A6" w:rsidRPr="00DE4822" w:rsidRDefault="00732813" w:rsidP="005259CE">
      <w:pPr>
        <w:pStyle w:val="Bullet2G"/>
        <w:ind w:left="2835" w:hanging="567"/>
        <w:rPr>
          <w:lang w:val="fr-FR"/>
        </w:rPr>
      </w:pP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roues</w:t>
      </w:r>
      <w:r w:rsidR="00EC442C">
        <w:rPr>
          <w:lang w:val="fr-FR"/>
        </w:rPr>
        <w:t xml:space="preserve"> </w:t>
      </w:r>
      <w:r w:rsidR="00DB1F4E">
        <w:rPr>
          <w:lang w:val="fr-FR"/>
        </w:rPr>
        <w:t>directrices ;</w:t>
      </w:r>
    </w:p>
    <w:p w:rsidR="00D643A6" w:rsidRPr="00DE4822" w:rsidRDefault="00732813" w:rsidP="005259CE">
      <w:pPr>
        <w:pStyle w:val="Bullet2G"/>
        <w:ind w:left="2835" w:hanging="567"/>
        <w:rPr>
          <w:lang w:val="fr-FR"/>
        </w:rPr>
      </w:pPr>
      <w:r w:rsidRPr="00DE4822">
        <w:rPr>
          <w:lang w:val="fr-FR"/>
        </w:rPr>
        <w:t>L’alimentation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énergie,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échéant</w:t>
      </w:r>
      <w:r w:rsidR="00EC442C">
        <w:rPr>
          <w:lang w:val="fr-FR"/>
        </w:rPr>
        <w:t> ;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2.3.1</w:t>
      </w:r>
      <w:r w:rsidRPr="00DE4822">
        <w:rPr>
          <w:lang w:val="fr-FR"/>
        </w:rPr>
        <w:tab/>
      </w:r>
      <w:r w:rsidR="00DB1F4E" w:rsidRPr="00DE4822">
        <w:rPr>
          <w:lang w:val="fr-FR"/>
        </w:rPr>
        <w:t>Par</w:t>
      </w:r>
      <w:r w:rsidR="00DB1F4E">
        <w:rPr>
          <w:lang w:val="fr-FR"/>
        </w:rPr>
        <w:t xml:space="preserve"> « </w:t>
      </w:r>
      <w:r w:rsidRPr="00DE4822">
        <w:rPr>
          <w:i/>
          <w:lang w:val="fr-FR"/>
        </w:rPr>
        <w:t>commande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direction</w:t>
      </w:r>
      <w:r w:rsidR="00DB1F4E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actionnée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avec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intervention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lequel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forces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assurées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uniquement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l’effort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musculaire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comprend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jusqu’au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point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où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l’effort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transformé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moyens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mécaniques,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hydrauliques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électriques</w:t>
      </w:r>
      <w:r w:rsidR="00EC442C">
        <w:rPr>
          <w:lang w:val="fr-FR"/>
        </w:rPr>
        <w:t> ;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2.3.2</w:t>
      </w:r>
      <w:r w:rsidRPr="00DE4822">
        <w:rPr>
          <w:lang w:val="fr-FR"/>
        </w:rPr>
        <w:tab/>
      </w:r>
      <w:r w:rsidR="00DB1F4E" w:rsidRPr="00DE4822">
        <w:rPr>
          <w:lang w:val="fr-FR"/>
        </w:rPr>
        <w:t>Par</w:t>
      </w:r>
      <w:r w:rsidR="00DB1F4E">
        <w:rPr>
          <w:lang w:val="fr-FR"/>
        </w:rPr>
        <w:t xml:space="preserve"> « </w:t>
      </w:r>
      <w:r w:rsidRPr="00DE4822">
        <w:rPr>
          <w:i/>
          <w:lang w:val="fr-FR"/>
        </w:rPr>
        <w:t>timonerie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direction</w:t>
      </w:r>
      <w:r w:rsidR="00DB1F4E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organes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constituent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lien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fonctionnel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directrices</w:t>
      </w:r>
      <w:r w:rsidR="00EC442C">
        <w:rPr>
          <w:lang w:val="fr-FR"/>
        </w:rPr>
        <w:t> ;</w:t>
      </w:r>
    </w:p>
    <w:p w:rsidR="00D643A6" w:rsidRPr="00DE4822" w:rsidRDefault="00D643A6" w:rsidP="000476D9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timonerie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divisée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indépendantes</w:t>
      </w:r>
      <w:r w:rsidR="00EC442C">
        <w:rPr>
          <w:lang w:val="fr-FR"/>
        </w:rPr>
        <w:t xml:space="preserve"> : </w:t>
      </w:r>
    </w:p>
    <w:p w:rsidR="00D643A6" w:rsidRPr="00DE4822" w:rsidRDefault="00D643A6" w:rsidP="000476D9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timonerie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timonerie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d’alimentation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énergie.</w:t>
      </w:r>
    </w:p>
    <w:p w:rsidR="00D643A6" w:rsidRPr="00DE4822" w:rsidRDefault="00D643A6" w:rsidP="000B58B2">
      <w:pPr>
        <w:pStyle w:val="SingleTxtG"/>
        <w:keepLines/>
        <w:ind w:left="2268"/>
        <w:rPr>
          <w:lang w:val="fr-FR"/>
        </w:rPr>
      </w:pPr>
      <w:r w:rsidRPr="00DE4822">
        <w:rPr>
          <w:lang w:val="fr-FR"/>
        </w:rPr>
        <w:lastRenderedPageBreak/>
        <w:t>Lorsque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terme</w:t>
      </w:r>
      <w:r w:rsidR="00EC442C">
        <w:rPr>
          <w:lang w:val="fr-FR"/>
        </w:rPr>
        <w:t xml:space="preserve"> </w:t>
      </w:r>
      <w:r w:rsidR="000B58B2">
        <w:rPr>
          <w:lang w:val="fr-FR"/>
        </w:rPr>
        <w:t>« </w:t>
      </w:r>
      <w:r w:rsidRPr="00DE4822">
        <w:rPr>
          <w:i/>
          <w:lang w:val="fr-FR"/>
        </w:rPr>
        <w:t>timonerie</w:t>
      </w:r>
      <w:r w:rsidR="000B58B2">
        <w:rPr>
          <w:lang w:val="fr-FR"/>
        </w:rPr>
        <w:t> »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utilisé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seul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signifie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aussi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bien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timonerie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timonerie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d’alimentation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énergie.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distinction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faite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timonerie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mécanique,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hydraulique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combinaisons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selon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transmission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et/ou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l’énergie</w:t>
      </w:r>
      <w:r w:rsidR="00EC442C">
        <w:rPr>
          <w:lang w:val="fr-FR"/>
        </w:rPr>
        <w:t xml:space="preserve"> ; 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2.3.2.1</w:t>
      </w:r>
      <w:r w:rsidRPr="00DE4822">
        <w:rPr>
          <w:lang w:val="fr-FR"/>
        </w:rPr>
        <w:tab/>
      </w:r>
      <w:r w:rsidR="000D43FE" w:rsidRPr="00DE4822">
        <w:rPr>
          <w:lang w:val="fr-FR"/>
        </w:rPr>
        <w:t>Par</w:t>
      </w:r>
      <w:r w:rsidR="000D43FE">
        <w:rPr>
          <w:lang w:val="fr-FR"/>
        </w:rPr>
        <w:t xml:space="preserve"> « </w:t>
      </w:r>
      <w:r w:rsidRPr="00DE4822">
        <w:rPr>
          <w:i/>
          <w:lang w:val="fr-FR"/>
        </w:rPr>
        <w:t>timonerie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commande</w:t>
      </w:r>
      <w:r w:rsidR="000D43FE">
        <w:rPr>
          <w:lang w:val="fr-FR"/>
        </w:rPr>
        <w:t> »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éléments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lesquels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transmis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 ; </w:t>
      </w:r>
    </w:p>
    <w:p w:rsidR="00D643A6" w:rsidRPr="00DE4822" w:rsidRDefault="00D643A6" w:rsidP="00E32E15">
      <w:pPr>
        <w:pStyle w:val="SingleTxtG"/>
        <w:ind w:left="2268" w:hanging="1134"/>
        <w:rPr>
          <w:b/>
          <w:bCs/>
          <w:lang w:val="fr-FR"/>
        </w:rPr>
      </w:pPr>
      <w:r w:rsidRPr="00DE4822">
        <w:rPr>
          <w:lang w:val="fr-FR"/>
        </w:rPr>
        <w:t>2.3.2.2</w:t>
      </w:r>
      <w:r w:rsidRPr="00DE4822">
        <w:rPr>
          <w:lang w:val="fr-FR"/>
        </w:rPr>
        <w:tab/>
      </w:r>
      <w:r w:rsidR="000D43FE" w:rsidRPr="00DE4822">
        <w:rPr>
          <w:lang w:val="fr-FR"/>
        </w:rPr>
        <w:t>Par</w:t>
      </w:r>
      <w:r w:rsidR="000D43FE">
        <w:rPr>
          <w:lang w:val="fr-FR"/>
        </w:rPr>
        <w:t xml:space="preserve"> « </w:t>
      </w:r>
      <w:r w:rsidRPr="00DE4822">
        <w:rPr>
          <w:i/>
          <w:lang w:val="fr-FR"/>
        </w:rPr>
        <w:t>timonerie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d’alimentation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en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énergie</w:t>
      </w:r>
      <w:r w:rsidR="000D43FE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éléments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lesquels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transmise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l’énergie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requise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commande/régulation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> ;</w:t>
      </w:r>
    </w:p>
    <w:p w:rsidR="00D643A6" w:rsidRPr="00DE4822" w:rsidRDefault="00D643A6" w:rsidP="00E32E15">
      <w:pPr>
        <w:pStyle w:val="SingleTxtG"/>
        <w:ind w:left="2268" w:hanging="1134"/>
        <w:rPr>
          <w:b/>
          <w:bCs/>
          <w:lang w:val="fr-FR"/>
        </w:rPr>
      </w:pPr>
      <w:r w:rsidRPr="00DE4822">
        <w:rPr>
          <w:lang w:val="fr-FR"/>
        </w:rPr>
        <w:t>2.3.3</w:t>
      </w:r>
      <w:r w:rsidRPr="00DE4822">
        <w:rPr>
          <w:lang w:val="fr-FR"/>
        </w:rPr>
        <w:tab/>
      </w:r>
      <w:r w:rsidR="000D43FE" w:rsidRPr="00DE4822">
        <w:rPr>
          <w:lang w:val="fr-FR"/>
        </w:rPr>
        <w:t>Par</w:t>
      </w:r>
      <w:r w:rsidR="000D43FE">
        <w:rPr>
          <w:lang w:val="fr-FR"/>
        </w:rPr>
        <w:t xml:space="preserve"> « </w:t>
      </w:r>
      <w:r w:rsidRPr="00DE4822">
        <w:rPr>
          <w:i/>
          <w:lang w:val="fr-FR"/>
        </w:rPr>
        <w:t>système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direction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autonome</w:t>
      </w:r>
      <w:r w:rsidR="000D43FE">
        <w:rPr>
          <w:lang w:val="fr-FR"/>
        </w:rPr>
        <w:t> »,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intègre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sein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complexe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contrôle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électronique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fait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répondant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émis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transmis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l’extérieur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trajectoire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donnée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modifie.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garde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nécessairement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maîtrise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> ;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2.3.4</w:t>
      </w:r>
      <w:r w:rsidRPr="00DE4822">
        <w:rPr>
          <w:lang w:val="fr-FR"/>
        </w:rPr>
        <w:tab/>
      </w:r>
      <w:r w:rsidR="000D43FE" w:rsidRPr="00DE4822">
        <w:rPr>
          <w:lang w:val="fr-FR"/>
        </w:rPr>
        <w:t>Par</w:t>
      </w:r>
      <w:r w:rsidR="000D43FE">
        <w:rPr>
          <w:lang w:val="fr-FR"/>
        </w:rPr>
        <w:t xml:space="preserve"> « </w:t>
      </w:r>
      <w:r w:rsidRPr="00DE4822">
        <w:rPr>
          <w:i/>
          <w:lang w:val="fr-FR"/>
        </w:rPr>
        <w:t>système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actif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d’aide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à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la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conduite</w:t>
      </w:r>
      <w:r w:rsidR="000D43FE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complète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principal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aide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b/>
          <w:bCs/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b/>
          <w:bCs/>
          <w:lang w:val="fr-FR"/>
        </w:rPr>
        <w:t xml:space="preserve"> </w:t>
      </w:r>
      <w:r w:rsidRPr="00DE4822">
        <w:rPr>
          <w:lang w:val="fr-FR"/>
        </w:rPr>
        <w:t>diriger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avec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lequel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garde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maîtrise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comporte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moins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suivantes</w:t>
      </w:r>
      <w:r w:rsidR="00EC442C">
        <w:rPr>
          <w:lang w:val="fr-FR"/>
        </w:rPr>
        <w:t> :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2.3.4.1</w:t>
      </w:r>
      <w:r w:rsidRPr="00DE4822">
        <w:rPr>
          <w:lang w:val="fr-FR"/>
        </w:rPr>
        <w:tab/>
      </w:r>
      <w:r w:rsidR="000D43FE" w:rsidRPr="00DE4822">
        <w:rPr>
          <w:lang w:val="fr-FR"/>
        </w:rPr>
        <w:t>Une</w:t>
      </w:r>
      <w:r w:rsidR="000D43FE">
        <w:rPr>
          <w:lang w:val="fr-FR"/>
        </w:rPr>
        <w:t xml:space="preserve"> « </w:t>
      </w:r>
      <w:r w:rsidRPr="000D43FE">
        <w:rPr>
          <w:i/>
          <w:lang w:val="fr-FR"/>
        </w:rPr>
        <w:t>fonction</w:t>
      </w:r>
      <w:r w:rsidR="00EC442C" w:rsidRPr="000D43FE">
        <w:rPr>
          <w:i/>
          <w:lang w:val="fr-FR"/>
        </w:rPr>
        <w:t xml:space="preserve"> </w:t>
      </w:r>
      <w:r w:rsidRPr="000D43FE">
        <w:rPr>
          <w:i/>
          <w:lang w:val="fr-FR"/>
        </w:rPr>
        <w:t>de</w:t>
      </w:r>
      <w:r w:rsidR="00EC442C" w:rsidRPr="000D43FE">
        <w:rPr>
          <w:i/>
          <w:lang w:val="fr-FR"/>
        </w:rPr>
        <w:t xml:space="preserve"> </w:t>
      </w:r>
      <w:r w:rsidRPr="000D43FE">
        <w:rPr>
          <w:i/>
          <w:lang w:val="fr-FR"/>
        </w:rPr>
        <w:t>direction</w:t>
      </w:r>
      <w:r w:rsidR="00EC442C" w:rsidRPr="000D43FE">
        <w:rPr>
          <w:i/>
          <w:lang w:val="fr-FR"/>
        </w:rPr>
        <w:t xml:space="preserve"> </w:t>
      </w:r>
      <w:r w:rsidRPr="000D43FE">
        <w:rPr>
          <w:i/>
          <w:lang w:val="fr-FR"/>
        </w:rPr>
        <w:t>à</w:t>
      </w:r>
      <w:r w:rsidR="00EC442C" w:rsidRPr="000D43FE">
        <w:rPr>
          <w:i/>
          <w:lang w:val="fr-FR"/>
        </w:rPr>
        <w:t xml:space="preserve"> </w:t>
      </w:r>
      <w:r w:rsidRPr="000D43FE">
        <w:rPr>
          <w:i/>
          <w:lang w:val="fr-FR"/>
        </w:rPr>
        <w:t>commande</w:t>
      </w:r>
      <w:r w:rsidR="00EC442C" w:rsidRPr="000D43FE">
        <w:rPr>
          <w:i/>
          <w:lang w:val="fr-FR"/>
        </w:rPr>
        <w:t xml:space="preserve"> </w:t>
      </w:r>
      <w:r w:rsidRPr="000D43FE">
        <w:rPr>
          <w:i/>
          <w:lang w:val="fr-FR"/>
        </w:rPr>
        <w:t>automatique</w:t>
      </w:r>
      <w:r w:rsidR="00EC442C" w:rsidRPr="000D43FE">
        <w:rPr>
          <w:i/>
          <w:lang w:val="fr-FR"/>
        </w:rPr>
        <w:t xml:space="preserve"> </w:t>
      </w:r>
      <w:r w:rsidRPr="000D43FE">
        <w:rPr>
          <w:i/>
          <w:lang w:val="fr-FR"/>
        </w:rPr>
        <w:t>(ACSF)</w:t>
      </w:r>
      <w:r w:rsidR="000D43FE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savoir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sein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électronique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où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l’actionnement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résulter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l’évaluation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automatique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émis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bord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éventuellement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avec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l’aide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dispositifs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d’infrastructure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passifs,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créer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aider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> ;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2.3.4.1.1</w:t>
      </w:r>
      <w:r w:rsidRPr="00DE4822">
        <w:rPr>
          <w:lang w:val="fr-FR"/>
        </w:rPr>
        <w:tab/>
      </w:r>
      <w:r w:rsidR="000D43FE" w:rsidRPr="00DE4822">
        <w:rPr>
          <w:lang w:val="fr-FR"/>
        </w:rPr>
        <w:t>Une</w:t>
      </w:r>
      <w:r w:rsidR="000D43FE">
        <w:rPr>
          <w:lang w:val="fr-FR"/>
        </w:rPr>
        <w:t xml:space="preserve"> « </w:t>
      </w:r>
      <w:r w:rsidRPr="00DA0D64">
        <w:rPr>
          <w:i/>
          <w:lang w:val="fr-FR"/>
        </w:rPr>
        <w:t>ACSF</w:t>
      </w:r>
      <w:r w:rsidR="00EC442C" w:rsidRPr="00DA0D64">
        <w:rPr>
          <w:i/>
          <w:lang w:val="fr-FR"/>
        </w:rPr>
        <w:t xml:space="preserve"> </w:t>
      </w:r>
      <w:r w:rsidRPr="00DA0D64">
        <w:rPr>
          <w:i/>
          <w:lang w:val="fr-FR"/>
        </w:rPr>
        <w:t>de</w:t>
      </w:r>
      <w:r w:rsidR="00EC442C" w:rsidRPr="00DA0D64">
        <w:rPr>
          <w:i/>
          <w:lang w:val="fr-FR"/>
        </w:rPr>
        <w:t xml:space="preserve"> </w:t>
      </w:r>
      <w:r w:rsidRPr="00DA0D64">
        <w:rPr>
          <w:i/>
          <w:lang w:val="fr-FR"/>
        </w:rPr>
        <w:t>catégorie</w:t>
      </w:r>
      <w:r w:rsidR="00EC442C" w:rsidRPr="00DA0D64">
        <w:rPr>
          <w:i/>
          <w:lang w:val="fr-FR"/>
        </w:rPr>
        <w:t xml:space="preserve"> </w:t>
      </w:r>
      <w:r w:rsidRPr="00DA0D64">
        <w:rPr>
          <w:i/>
          <w:lang w:val="fr-FR"/>
        </w:rPr>
        <w:t>A</w:t>
      </w:r>
      <w:r w:rsidR="00DA0D64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savoir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opère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dépassant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10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km/h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aider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demande,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manœuvre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petite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manœuvre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stationnement</w:t>
      </w:r>
      <w:r w:rsidR="00EC442C">
        <w:rPr>
          <w:lang w:val="fr-FR"/>
        </w:rPr>
        <w:t> ;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2.3.4.1.2</w:t>
      </w:r>
      <w:r w:rsidRPr="00DE4822">
        <w:rPr>
          <w:lang w:val="fr-FR"/>
        </w:rPr>
        <w:tab/>
      </w:r>
      <w:r w:rsidR="000D43FE" w:rsidRPr="00DE4822">
        <w:rPr>
          <w:lang w:val="fr-FR"/>
        </w:rPr>
        <w:t>Une</w:t>
      </w:r>
      <w:r w:rsidR="000D43FE">
        <w:rPr>
          <w:lang w:val="fr-FR"/>
        </w:rPr>
        <w:t xml:space="preserve"> </w:t>
      </w:r>
      <w:r w:rsidR="00DA0D64">
        <w:rPr>
          <w:lang w:val="fr-FR"/>
        </w:rPr>
        <w:t>« </w:t>
      </w:r>
      <w:r w:rsidRPr="00DA0D64">
        <w:rPr>
          <w:i/>
          <w:lang w:val="fr-FR"/>
        </w:rPr>
        <w:t>ACSF</w:t>
      </w:r>
      <w:r w:rsidR="00EC442C" w:rsidRPr="00DA0D64">
        <w:rPr>
          <w:i/>
          <w:lang w:val="fr-FR"/>
        </w:rPr>
        <w:t xml:space="preserve"> </w:t>
      </w:r>
      <w:r w:rsidRPr="00DA0D64">
        <w:rPr>
          <w:i/>
          <w:lang w:val="fr-FR"/>
        </w:rPr>
        <w:t>de</w:t>
      </w:r>
      <w:r w:rsidR="00EC442C" w:rsidRPr="00DA0D64">
        <w:rPr>
          <w:i/>
          <w:lang w:val="fr-FR"/>
        </w:rPr>
        <w:t xml:space="preserve"> </w:t>
      </w:r>
      <w:r w:rsidRPr="00DA0D64">
        <w:rPr>
          <w:i/>
          <w:lang w:val="fr-FR"/>
        </w:rPr>
        <w:t>catégorie</w:t>
      </w:r>
      <w:r w:rsidR="00EC442C" w:rsidRPr="00DA0D64">
        <w:rPr>
          <w:i/>
          <w:lang w:val="fr-FR"/>
        </w:rPr>
        <w:t xml:space="preserve"> </w:t>
      </w:r>
      <w:r w:rsidR="00DA0D64" w:rsidRPr="00DA0D64">
        <w:rPr>
          <w:i/>
          <w:lang w:val="fr-FR"/>
        </w:rPr>
        <w:t>B1</w:t>
      </w:r>
      <w:r w:rsidR="00DA0D64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savoir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aide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maintenir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voie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qu’il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choisie,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influençant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déplacement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latéral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> ;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2.3.4.1.3</w:t>
      </w:r>
      <w:r w:rsidRPr="00DE4822">
        <w:rPr>
          <w:lang w:val="fr-FR"/>
        </w:rPr>
        <w:tab/>
      </w:r>
      <w:r w:rsidR="00DA0D64" w:rsidRPr="00DE4822">
        <w:rPr>
          <w:lang w:val="fr-FR"/>
        </w:rPr>
        <w:t>Une</w:t>
      </w:r>
      <w:r w:rsidR="00DA0D64">
        <w:rPr>
          <w:lang w:val="fr-FR"/>
        </w:rPr>
        <w:t xml:space="preserve"> « </w:t>
      </w:r>
      <w:r w:rsidRPr="00DA0D64">
        <w:rPr>
          <w:i/>
          <w:lang w:val="fr-FR"/>
        </w:rPr>
        <w:t>ACSF</w:t>
      </w:r>
      <w:r w:rsidR="00EC442C" w:rsidRPr="00DA0D64">
        <w:rPr>
          <w:i/>
          <w:lang w:val="fr-FR"/>
        </w:rPr>
        <w:t xml:space="preserve"> </w:t>
      </w:r>
      <w:r w:rsidRPr="00DA0D64">
        <w:rPr>
          <w:i/>
          <w:lang w:val="fr-FR"/>
        </w:rPr>
        <w:t>de</w:t>
      </w:r>
      <w:r w:rsidR="00EC442C" w:rsidRPr="00DA0D64">
        <w:rPr>
          <w:i/>
          <w:lang w:val="fr-FR"/>
        </w:rPr>
        <w:t xml:space="preserve"> </w:t>
      </w:r>
      <w:r w:rsidRPr="00DA0D64">
        <w:rPr>
          <w:i/>
          <w:lang w:val="fr-FR"/>
        </w:rPr>
        <w:t>catégorie</w:t>
      </w:r>
      <w:r w:rsidR="00EC442C" w:rsidRPr="00DA0D64">
        <w:rPr>
          <w:i/>
          <w:lang w:val="fr-FR"/>
        </w:rPr>
        <w:t xml:space="preserve"> </w:t>
      </w:r>
      <w:r w:rsidRPr="00DA0D64">
        <w:rPr>
          <w:i/>
          <w:lang w:val="fr-FR"/>
        </w:rPr>
        <w:t>B2</w:t>
      </w:r>
      <w:r w:rsidR="00DA0D64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savoir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déclenchée/activée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maintient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voie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influençant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déplacement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latéral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pendant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périodes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assez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longues,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confirmation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supplémentaire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> ;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2.3.4.1.4</w:t>
      </w:r>
      <w:r w:rsidRPr="00DE4822">
        <w:rPr>
          <w:lang w:val="fr-FR"/>
        </w:rPr>
        <w:tab/>
      </w:r>
      <w:r w:rsidR="00DA0D64" w:rsidRPr="00DE4822">
        <w:rPr>
          <w:lang w:val="fr-FR"/>
        </w:rPr>
        <w:t>Une</w:t>
      </w:r>
      <w:r w:rsidR="00DA0D64">
        <w:rPr>
          <w:lang w:val="fr-FR"/>
        </w:rPr>
        <w:t xml:space="preserve"> « </w:t>
      </w:r>
      <w:r w:rsidRPr="00DA0D64">
        <w:rPr>
          <w:i/>
          <w:lang w:val="fr-FR"/>
        </w:rPr>
        <w:t>ACSF</w:t>
      </w:r>
      <w:r w:rsidR="00EC442C" w:rsidRPr="00DA0D64">
        <w:rPr>
          <w:i/>
          <w:lang w:val="fr-FR"/>
        </w:rPr>
        <w:t xml:space="preserve"> </w:t>
      </w:r>
      <w:r w:rsidRPr="00DA0D64">
        <w:rPr>
          <w:i/>
          <w:lang w:val="fr-FR"/>
        </w:rPr>
        <w:t>de</w:t>
      </w:r>
      <w:r w:rsidR="00EC442C" w:rsidRPr="00DA0D64">
        <w:rPr>
          <w:i/>
          <w:lang w:val="fr-FR"/>
        </w:rPr>
        <w:t xml:space="preserve"> </w:t>
      </w:r>
      <w:r w:rsidRPr="00DA0D64">
        <w:rPr>
          <w:i/>
          <w:lang w:val="fr-FR"/>
        </w:rPr>
        <w:t>catégorie</w:t>
      </w:r>
      <w:r w:rsidR="00EC442C" w:rsidRPr="00DA0D64">
        <w:rPr>
          <w:i/>
          <w:lang w:val="fr-FR"/>
        </w:rPr>
        <w:t xml:space="preserve"> </w:t>
      </w:r>
      <w:r w:rsidRPr="00DA0D64">
        <w:rPr>
          <w:i/>
          <w:lang w:val="fr-FR"/>
        </w:rPr>
        <w:t>C</w:t>
      </w:r>
      <w:r w:rsidR="00DA0D64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savoir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déclenchée/activée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exécuter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manœuvre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latérale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simple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exemple,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changement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voie)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dernier</w:t>
      </w:r>
      <w:r w:rsidR="00EC442C">
        <w:rPr>
          <w:lang w:val="fr-FR"/>
        </w:rPr>
        <w:t> ;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2.3.4.1.5</w:t>
      </w:r>
      <w:r w:rsidRPr="00DE4822">
        <w:rPr>
          <w:lang w:val="fr-FR"/>
        </w:rPr>
        <w:tab/>
      </w:r>
      <w:r w:rsidR="00DA0D64" w:rsidRPr="00DE4822">
        <w:rPr>
          <w:lang w:val="fr-FR"/>
        </w:rPr>
        <w:t>Une</w:t>
      </w:r>
      <w:r w:rsidR="00DA0D64">
        <w:rPr>
          <w:lang w:val="fr-FR"/>
        </w:rPr>
        <w:t xml:space="preserve"> « </w:t>
      </w:r>
      <w:r w:rsidRPr="00DA0D64">
        <w:rPr>
          <w:i/>
          <w:lang w:val="fr-FR"/>
        </w:rPr>
        <w:t>ACSF</w:t>
      </w:r>
      <w:r w:rsidR="00EC442C" w:rsidRPr="00DA0D64">
        <w:rPr>
          <w:i/>
          <w:lang w:val="fr-FR"/>
        </w:rPr>
        <w:t xml:space="preserve"> </w:t>
      </w:r>
      <w:r w:rsidRPr="00DA0D64">
        <w:rPr>
          <w:i/>
          <w:lang w:val="fr-FR"/>
        </w:rPr>
        <w:t>de</w:t>
      </w:r>
      <w:r w:rsidR="00EC442C" w:rsidRPr="00DA0D64">
        <w:rPr>
          <w:i/>
          <w:lang w:val="fr-FR"/>
        </w:rPr>
        <w:t xml:space="preserve"> </w:t>
      </w:r>
      <w:r w:rsidRPr="00DA0D64">
        <w:rPr>
          <w:i/>
          <w:lang w:val="fr-FR"/>
        </w:rPr>
        <w:t>catégorie</w:t>
      </w:r>
      <w:r w:rsidR="00EC442C" w:rsidRPr="00DA0D64">
        <w:rPr>
          <w:i/>
          <w:lang w:val="fr-FR"/>
        </w:rPr>
        <w:t xml:space="preserve"> </w:t>
      </w:r>
      <w:r w:rsidRPr="00DA0D64">
        <w:rPr>
          <w:i/>
          <w:lang w:val="fr-FR"/>
        </w:rPr>
        <w:t>D</w:t>
      </w:r>
      <w:r w:rsidR="00DA0D64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savoir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déclenchée/activée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indiquer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possibilité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manœuvre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latérale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simple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exemple,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changement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voie),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exécute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cette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manœuvre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uniquement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après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confirmation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> ;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2.3.4.1.6</w:t>
      </w:r>
      <w:r w:rsidRPr="00DE4822">
        <w:rPr>
          <w:lang w:val="fr-FR"/>
        </w:rPr>
        <w:tab/>
      </w:r>
      <w:r w:rsidR="00DA0D64" w:rsidRPr="00DE4822">
        <w:rPr>
          <w:lang w:val="fr-FR"/>
        </w:rPr>
        <w:t>Une</w:t>
      </w:r>
      <w:r w:rsidR="00DA0D64">
        <w:rPr>
          <w:lang w:val="fr-FR"/>
        </w:rPr>
        <w:t xml:space="preserve"> « </w:t>
      </w:r>
      <w:r w:rsidRPr="00DA0D64">
        <w:rPr>
          <w:i/>
          <w:lang w:val="fr-FR"/>
        </w:rPr>
        <w:t>ACSF</w:t>
      </w:r>
      <w:r w:rsidR="00EC442C" w:rsidRPr="00DA0D64">
        <w:rPr>
          <w:i/>
          <w:lang w:val="fr-FR"/>
        </w:rPr>
        <w:t xml:space="preserve"> </w:t>
      </w:r>
      <w:r w:rsidRPr="00DA0D64">
        <w:rPr>
          <w:i/>
          <w:lang w:val="fr-FR"/>
        </w:rPr>
        <w:t>de</w:t>
      </w:r>
      <w:r w:rsidR="00EC442C" w:rsidRPr="00DA0D64">
        <w:rPr>
          <w:i/>
          <w:lang w:val="fr-FR"/>
        </w:rPr>
        <w:t xml:space="preserve"> </w:t>
      </w:r>
      <w:r w:rsidRPr="00DA0D64">
        <w:rPr>
          <w:i/>
          <w:lang w:val="fr-FR"/>
        </w:rPr>
        <w:t>catégorie</w:t>
      </w:r>
      <w:r w:rsidR="00EC442C" w:rsidRPr="00DA0D64">
        <w:rPr>
          <w:i/>
          <w:lang w:val="fr-FR"/>
        </w:rPr>
        <w:t xml:space="preserve"> </w:t>
      </w:r>
      <w:r w:rsidRPr="00DA0D64">
        <w:rPr>
          <w:i/>
          <w:lang w:val="fr-FR"/>
        </w:rPr>
        <w:t>E</w:t>
      </w:r>
      <w:r w:rsidR="00DA0D64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savoir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déclenchée/activée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déterminer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permanence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possibilité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manœuvres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exemple,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changement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voie)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exécuter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celles</w:t>
      </w:r>
      <w:r w:rsidR="004D15A8">
        <w:rPr>
          <w:lang w:val="fr-FR"/>
        </w:rPr>
        <w:t>-</w:t>
      </w:r>
      <w:r w:rsidRPr="00DE4822">
        <w:rPr>
          <w:lang w:val="fr-FR"/>
        </w:rPr>
        <w:t>ci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pendant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périodes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assez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longues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confirmation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supplémentaire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> ;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2.3.4.2</w:t>
      </w:r>
      <w:r w:rsidRPr="00DE4822">
        <w:rPr>
          <w:lang w:val="fr-FR"/>
        </w:rPr>
        <w:tab/>
      </w:r>
      <w:r w:rsidR="00DA0D64" w:rsidRPr="00DE4822">
        <w:rPr>
          <w:lang w:val="fr-FR"/>
        </w:rPr>
        <w:t>Par</w:t>
      </w:r>
      <w:r w:rsidR="00DA0D64">
        <w:rPr>
          <w:lang w:val="fr-FR"/>
        </w:rPr>
        <w:t xml:space="preserve"> « </w:t>
      </w:r>
      <w:r w:rsidRPr="00DA0D64">
        <w:rPr>
          <w:i/>
          <w:lang w:val="fr-FR"/>
        </w:rPr>
        <w:t>fonction</w:t>
      </w:r>
      <w:r w:rsidR="00EC442C" w:rsidRPr="00DA0D64">
        <w:rPr>
          <w:i/>
          <w:lang w:val="fr-FR"/>
        </w:rPr>
        <w:t xml:space="preserve"> </w:t>
      </w:r>
      <w:r w:rsidRPr="00DA0D64">
        <w:rPr>
          <w:i/>
          <w:lang w:val="fr-FR"/>
        </w:rPr>
        <w:t>de</w:t>
      </w:r>
      <w:r w:rsidR="00EC442C" w:rsidRPr="00DA0D64">
        <w:rPr>
          <w:i/>
          <w:lang w:val="fr-FR"/>
        </w:rPr>
        <w:t xml:space="preserve"> </w:t>
      </w:r>
      <w:r w:rsidRPr="00DA0D64">
        <w:rPr>
          <w:i/>
          <w:lang w:val="fr-FR"/>
        </w:rPr>
        <w:t>direction</w:t>
      </w:r>
      <w:r w:rsidR="00EC442C" w:rsidRPr="00DA0D64">
        <w:rPr>
          <w:i/>
          <w:lang w:val="fr-FR"/>
        </w:rPr>
        <w:t xml:space="preserve"> </w:t>
      </w:r>
      <w:r w:rsidRPr="00DA0D64">
        <w:rPr>
          <w:i/>
          <w:lang w:val="fr-FR"/>
        </w:rPr>
        <w:t>corrective</w:t>
      </w:r>
      <w:r w:rsidR="00EC442C" w:rsidRPr="00DA0D64">
        <w:rPr>
          <w:i/>
          <w:lang w:val="fr-FR"/>
        </w:rPr>
        <w:t xml:space="preserve"> </w:t>
      </w:r>
      <w:r w:rsidRPr="00DA0D64">
        <w:rPr>
          <w:i/>
          <w:lang w:val="fr-FR"/>
        </w:rPr>
        <w:t>(CSF)</w:t>
      </w:r>
      <w:r w:rsidR="00DA0D64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sein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électronique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laquelle,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pendant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durée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limitée,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l’évaluation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automatique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émis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bord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modifier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l’angle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braquage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plusieurs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roues,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afin</w:t>
      </w:r>
      <w:r w:rsidR="00EC442C">
        <w:rPr>
          <w:lang w:val="fr-FR"/>
        </w:rPr>
        <w:t> :</w:t>
      </w:r>
    </w:p>
    <w:p w:rsidR="00D643A6" w:rsidRPr="00DE4822" w:rsidRDefault="00D643A6" w:rsidP="005259CE">
      <w:pPr>
        <w:pStyle w:val="SingleTxtG"/>
        <w:ind w:left="2835" w:hanging="567"/>
        <w:rPr>
          <w:lang w:val="fr-FR"/>
        </w:rPr>
      </w:pPr>
      <w:r w:rsidRPr="00DE4822">
        <w:rPr>
          <w:lang w:val="fr-FR"/>
        </w:rPr>
        <w:lastRenderedPageBreak/>
        <w:t>a)</w:t>
      </w:r>
      <w:r w:rsidRPr="00DE4822">
        <w:rPr>
          <w:lang w:val="fr-FR"/>
        </w:rPr>
        <w:tab/>
      </w:r>
      <w:r w:rsidR="00C07DBC" w:rsidRPr="00DE4822">
        <w:rPr>
          <w:lang w:val="fr-FR"/>
        </w:rPr>
        <w:t>De</w:t>
      </w:r>
      <w:r w:rsidR="00C07DBC">
        <w:rPr>
          <w:lang w:val="fr-FR"/>
        </w:rPr>
        <w:t xml:space="preserve"> </w:t>
      </w:r>
      <w:r w:rsidRPr="00DE4822">
        <w:rPr>
          <w:lang w:val="fr-FR"/>
        </w:rPr>
        <w:t>compenser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changement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soudain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imprévu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force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latérale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> ;</w:t>
      </w:r>
    </w:p>
    <w:p w:rsidR="00D643A6" w:rsidRPr="00DE4822" w:rsidRDefault="00D643A6" w:rsidP="005259CE">
      <w:pPr>
        <w:pStyle w:val="SingleTxtG"/>
        <w:ind w:left="2835" w:hanging="567"/>
        <w:rPr>
          <w:lang w:val="fr-FR"/>
        </w:rPr>
      </w:pPr>
      <w:r w:rsidRPr="00DE4822">
        <w:rPr>
          <w:lang w:val="fr-FR"/>
        </w:rPr>
        <w:t>b)</w:t>
      </w:r>
      <w:r w:rsidRPr="00DE4822">
        <w:rPr>
          <w:lang w:val="fr-FR"/>
        </w:rPr>
        <w:tab/>
      </w:r>
      <w:r w:rsidR="00C07DBC" w:rsidRPr="00DE4822">
        <w:rPr>
          <w:lang w:val="fr-FR"/>
        </w:rPr>
        <w:t>D’améliorer</w:t>
      </w:r>
      <w:r w:rsidR="00C07DB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stabilité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exemple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latéral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d’adhérence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dissymétrique)</w:t>
      </w:r>
      <w:r w:rsidR="00EC442C">
        <w:rPr>
          <w:lang w:val="fr-FR"/>
        </w:rPr>
        <w:t xml:space="preserve"> ; </w:t>
      </w:r>
      <w:r w:rsidRPr="00DE4822">
        <w:rPr>
          <w:lang w:val="fr-FR"/>
        </w:rPr>
        <w:t>ou</w:t>
      </w:r>
    </w:p>
    <w:p w:rsidR="00D643A6" w:rsidRPr="00DE4822" w:rsidRDefault="00D643A6" w:rsidP="005259CE">
      <w:pPr>
        <w:pStyle w:val="SingleTxtG"/>
        <w:ind w:left="2835" w:hanging="567"/>
        <w:rPr>
          <w:lang w:val="fr-FR"/>
        </w:rPr>
      </w:pPr>
      <w:r w:rsidRPr="00DE4822">
        <w:rPr>
          <w:lang w:val="fr-FR"/>
        </w:rPr>
        <w:t>c)</w:t>
      </w:r>
      <w:r w:rsidRPr="00DE4822">
        <w:rPr>
          <w:lang w:val="fr-FR"/>
        </w:rPr>
        <w:tab/>
      </w:r>
      <w:r w:rsidR="00C07DBC" w:rsidRPr="00DE4822">
        <w:rPr>
          <w:lang w:val="fr-FR"/>
        </w:rPr>
        <w:t>De</w:t>
      </w:r>
      <w:r w:rsidR="00C07DBC">
        <w:rPr>
          <w:lang w:val="fr-FR"/>
        </w:rPr>
        <w:t xml:space="preserve"> </w:t>
      </w:r>
      <w:r w:rsidRPr="00DE4822">
        <w:rPr>
          <w:lang w:val="fr-FR"/>
        </w:rPr>
        <w:t>corriger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changement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voie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exemple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éviter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franchir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marques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routières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quitter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route)</w:t>
      </w:r>
      <w:r w:rsidR="00EC442C">
        <w:rPr>
          <w:lang w:val="fr-FR"/>
        </w:rPr>
        <w:t> ;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2.3.5</w:t>
      </w:r>
      <w:r w:rsidRPr="00DE4822">
        <w:rPr>
          <w:lang w:val="fr-FR"/>
        </w:rPr>
        <w:tab/>
      </w:r>
      <w:r w:rsidR="00C07DBC" w:rsidRPr="00DE4822">
        <w:rPr>
          <w:lang w:val="fr-FR"/>
        </w:rPr>
        <w:t>Par</w:t>
      </w:r>
      <w:r w:rsidR="00C07DBC">
        <w:rPr>
          <w:lang w:val="fr-FR"/>
        </w:rPr>
        <w:t xml:space="preserve"> « </w:t>
      </w:r>
      <w:r w:rsidRPr="00DE4822">
        <w:rPr>
          <w:i/>
          <w:lang w:val="fr-FR"/>
        </w:rPr>
        <w:t>roues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directrices</w:t>
      </w:r>
      <w:r w:rsidR="00C07DBC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l’alignement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modifié,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indirectement,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rapport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longitudinal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diriger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dernier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entend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aussi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autour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duquel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fait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pivoter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directrices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diriger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véhicule)</w:t>
      </w:r>
      <w:r w:rsidR="00EC442C">
        <w:rPr>
          <w:lang w:val="fr-FR"/>
        </w:rPr>
        <w:t> ;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2.3.6</w:t>
      </w:r>
      <w:r w:rsidRPr="00DE4822">
        <w:rPr>
          <w:lang w:val="fr-FR"/>
        </w:rPr>
        <w:tab/>
      </w:r>
      <w:r w:rsidR="00C07DBC" w:rsidRPr="00DE4822">
        <w:rPr>
          <w:lang w:val="fr-FR"/>
        </w:rPr>
        <w:t>Par</w:t>
      </w:r>
      <w:r w:rsidR="00C07DBC">
        <w:rPr>
          <w:lang w:val="fr-FR"/>
        </w:rPr>
        <w:t xml:space="preserve"> « </w:t>
      </w:r>
      <w:r w:rsidRPr="00DE4822">
        <w:rPr>
          <w:i/>
          <w:lang w:val="fr-FR"/>
        </w:rPr>
        <w:t>alimentation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en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énergie</w:t>
      </w:r>
      <w:r w:rsidR="00C07DBC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organes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l’alimentent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énergie,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régulent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cette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énergie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échéant,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conditionnent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l’emmagasinent.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entend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aussi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réservoirs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éventuels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l’agent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conduites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retour,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(sauf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fins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5.3.2.1)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l’entraînement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celui</w:t>
      </w:r>
      <w:r w:rsidR="004D15A8">
        <w:rPr>
          <w:lang w:val="fr-FR"/>
        </w:rPr>
        <w:t>-</w:t>
      </w:r>
      <w:r w:rsidRPr="00DE4822">
        <w:rPr>
          <w:lang w:val="fr-FR"/>
        </w:rPr>
        <w:t>ci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source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d’énergie</w:t>
      </w:r>
      <w:r w:rsidR="00EC442C">
        <w:rPr>
          <w:lang w:val="fr-FR"/>
        </w:rPr>
        <w:t> ;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2.3.6.1</w:t>
      </w:r>
      <w:r w:rsidRPr="00DE4822">
        <w:rPr>
          <w:lang w:val="fr-FR"/>
        </w:rPr>
        <w:tab/>
      </w:r>
      <w:r w:rsidR="00C07DBC" w:rsidRPr="00DE4822">
        <w:rPr>
          <w:lang w:val="fr-FR"/>
        </w:rPr>
        <w:t>Par</w:t>
      </w:r>
      <w:r w:rsidR="00C07DBC">
        <w:rPr>
          <w:lang w:val="fr-FR"/>
        </w:rPr>
        <w:t xml:space="preserve"> « </w:t>
      </w:r>
      <w:r w:rsidRPr="00DE4822">
        <w:rPr>
          <w:i/>
          <w:lang w:val="fr-FR"/>
        </w:rPr>
        <w:t>source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d’énergie</w:t>
      </w:r>
      <w:r w:rsidR="00C07DBC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l’alimentation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énergie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fournit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l’énergie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forme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requise</w:t>
      </w:r>
      <w:r w:rsidR="00EC442C">
        <w:rPr>
          <w:lang w:val="fr-FR"/>
        </w:rPr>
        <w:t> ;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2.3.6.2</w:t>
      </w:r>
      <w:r w:rsidRPr="00DE4822">
        <w:rPr>
          <w:lang w:val="fr-FR"/>
        </w:rPr>
        <w:tab/>
      </w:r>
      <w:r w:rsidR="00C07DBC" w:rsidRPr="00DE4822">
        <w:rPr>
          <w:lang w:val="fr-FR"/>
        </w:rPr>
        <w:t>Par</w:t>
      </w:r>
      <w:r w:rsidR="00C07DBC">
        <w:rPr>
          <w:lang w:val="fr-FR"/>
        </w:rPr>
        <w:t xml:space="preserve"> « </w:t>
      </w:r>
      <w:r w:rsidRPr="00DE4822">
        <w:rPr>
          <w:i/>
          <w:lang w:val="fr-FR"/>
        </w:rPr>
        <w:t>réservoir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d’énergie</w:t>
      </w:r>
      <w:r w:rsidR="00C07DBC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l’alimentation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énergie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laquelle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l’énergie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fournie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source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d’énergie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emmagasinée,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réservoir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fluide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pressurisé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batterie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exemple</w:t>
      </w:r>
      <w:r w:rsidR="00EC442C">
        <w:rPr>
          <w:lang w:val="fr-FR"/>
        </w:rPr>
        <w:t> ;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2.3.6.3</w:t>
      </w:r>
      <w:r w:rsidRPr="00DE4822">
        <w:rPr>
          <w:lang w:val="fr-FR"/>
        </w:rPr>
        <w:tab/>
      </w:r>
      <w:r w:rsidR="00C07DBC" w:rsidRPr="00DE4822">
        <w:rPr>
          <w:lang w:val="fr-FR"/>
        </w:rPr>
        <w:t>Par</w:t>
      </w:r>
      <w:r w:rsidR="00C07DBC">
        <w:rPr>
          <w:lang w:val="fr-FR"/>
        </w:rPr>
        <w:t xml:space="preserve"> « </w:t>
      </w:r>
      <w:r w:rsidRPr="00DE4822">
        <w:rPr>
          <w:i/>
          <w:lang w:val="fr-FR"/>
        </w:rPr>
        <w:t>réservoir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stockage</w:t>
      </w:r>
      <w:r w:rsidR="00C07DBC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l’alimentation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énergie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laquelle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l’agent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stocké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pression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atmosphérique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pression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proche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celle</w:t>
      </w:r>
      <w:r w:rsidR="004D15A8">
        <w:rPr>
          <w:lang w:val="fr-FR"/>
        </w:rPr>
        <w:t>-</w:t>
      </w:r>
      <w:r w:rsidRPr="00DE4822">
        <w:rPr>
          <w:lang w:val="fr-FR"/>
        </w:rPr>
        <w:t>ci,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exemple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réservoir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fluide</w:t>
      </w:r>
      <w:r w:rsidR="00EC442C">
        <w:rPr>
          <w:lang w:val="fr-FR"/>
        </w:rPr>
        <w:t> ;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2.4</w:t>
      </w:r>
      <w:r w:rsidRPr="00DE4822">
        <w:rPr>
          <w:lang w:val="fr-FR"/>
        </w:rPr>
        <w:tab/>
        <w:t>Paramètres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2.4.1</w:t>
      </w:r>
      <w:r w:rsidRPr="00DE4822">
        <w:rPr>
          <w:lang w:val="fr-FR"/>
        </w:rPr>
        <w:tab/>
      </w:r>
      <w:r w:rsidR="00C07DBC" w:rsidRPr="00DE4822">
        <w:rPr>
          <w:lang w:val="fr-FR"/>
        </w:rPr>
        <w:t>Par</w:t>
      </w:r>
      <w:r w:rsidR="00C07DBC">
        <w:rPr>
          <w:lang w:val="fr-FR"/>
        </w:rPr>
        <w:t xml:space="preserve"> « </w:t>
      </w:r>
      <w:r w:rsidRPr="00DE4822">
        <w:rPr>
          <w:i/>
          <w:lang w:val="fr-FR"/>
        </w:rPr>
        <w:t>effort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à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la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commande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direction</w:t>
      </w:r>
      <w:r w:rsidR="00C07DBC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force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appliquée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diriger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> ;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2.4.2</w:t>
      </w:r>
      <w:r w:rsidRPr="00DE4822">
        <w:rPr>
          <w:lang w:val="fr-FR"/>
        </w:rPr>
        <w:tab/>
      </w:r>
      <w:r w:rsidR="00C07DBC" w:rsidRPr="00DE4822">
        <w:rPr>
          <w:lang w:val="fr-FR"/>
        </w:rPr>
        <w:t>Par</w:t>
      </w:r>
      <w:r w:rsidR="00C07DBC">
        <w:rPr>
          <w:lang w:val="fr-FR"/>
        </w:rPr>
        <w:t xml:space="preserve"> « </w:t>
      </w:r>
      <w:r w:rsidRPr="00DE4822">
        <w:rPr>
          <w:i/>
          <w:lang w:val="fr-FR"/>
        </w:rPr>
        <w:t>temps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réaction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la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direction</w:t>
      </w:r>
      <w:r w:rsidR="00C07DBC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temps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s’écoule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où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commence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actionner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où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directrices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atteignent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angle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braquage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donné</w:t>
      </w:r>
      <w:r w:rsidR="00EC442C">
        <w:rPr>
          <w:lang w:val="fr-FR"/>
        </w:rPr>
        <w:t> ;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2.4.3</w:t>
      </w:r>
      <w:r w:rsidRPr="00DE4822">
        <w:rPr>
          <w:lang w:val="fr-FR"/>
        </w:rPr>
        <w:tab/>
      </w:r>
      <w:r w:rsidR="0086509F" w:rsidRPr="00DE4822">
        <w:rPr>
          <w:lang w:val="fr-FR"/>
        </w:rPr>
        <w:t>Par</w:t>
      </w:r>
      <w:r w:rsidR="0086509F">
        <w:rPr>
          <w:lang w:val="fr-FR"/>
        </w:rPr>
        <w:t xml:space="preserve"> « </w:t>
      </w:r>
      <w:r w:rsidRPr="00DE4822">
        <w:rPr>
          <w:i/>
          <w:lang w:val="fr-FR"/>
        </w:rPr>
        <w:t>angle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braquage</w:t>
      </w:r>
      <w:r w:rsidR="0086509F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l’angle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formé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projection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longitudinal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droite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d’intersection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plan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(plan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central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perpendiculaire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rotation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roue)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avec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surface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route</w:t>
      </w:r>
      <w:r w:rsidR="00EC442C">
        <w:rPr>
          <w:lang w:val="fr-FR"/>
        </w:rPr>
        <w:t> ;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2.4.4</w:t>
      </w:r>
      <w:r w:rsidRPr="00DE4822">
        <w:rPr>
          <w:lang w:val="fr-FR"/>
        </w:rPr>
        <w:tab/>
      </w:r>
      <w:r w:rsidR="0086509F" w:rsidRPr="00DE4822">
        <w:rPr>
          <w:lang w:val="fr-FR"/>
        </w:rPr>
        <w:t>Par</w:t>
      </w:r>
      <w:r w:rsidR="0086509F">
        <w:rPr>
          <w:lang w:val="fr-FR"/>
        </w:rPr>
        <w:t xml:space="preserve"> « </w:t>
      </w:r>
      <w:r w:rsidRPr="00DE4822">
        <w:rPr>
          <w:i/>
          <w:lang w:val="fr-FR"/>
        </w:rPr>
        <w:t>forces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direction</w:t>
      </w:r>
      <w:r w:rsidR="0086509F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forces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agissant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timonerie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> ;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2.4.5</w:t>
      </w:r>
      <w:r w:rsidRPr="00DE4822">
        <w:rPr>
          <w:lang w:val="fr-FR"/>
        </w:rPr>
        <w:tab/>
      </w:r>
      <w:r w:rsidR="0086509F" w:rsidRPr="00DE4822">
        <w:rPr>
          <w:lang w:val="fr-FR"/>
        </w:rPr>
        <w:t>Par</w:t>
      </w:r>
      <w:r w:rsidR="0086509F">
        <w:rPr>
          <w:lang w:val="fr-FR"/>
        </w:rPr>
        <w:t xml:space="preserve"> « </w:t>
      </w:r>
      <w:r w:rsidRPr="00DE4822">
        <w:rPr>
          <w:i/>
          <w:lang w:val="fr-FR"/>
        </w:rPr>
        <w:t>rapport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moyen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la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direction</w:t>
      </w:r>
      <w:r w:rsidR="0086509F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rapport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déplacement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angulaire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l’angle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braquage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moyen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décrit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directrices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braquage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butée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butée</w:t>
      </w:r>
      <w:r w:rsidR="00EC442C">
        <w:rPr>
          <w:lang w:val="fr-FR"/>
        </w:rPr>
        <w:t> ;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2.4.6</w:t>
      </w:r>
      <w:r w:rsidRPr="00DE4822">
        <w:rPr>
          <w:lang w:val="fr-FR"/>
        </w:rPr>
        <w:tab/>
      </w:r>
      <w:r w:rsidR="0086509F" w:rsidRPr="00DE4822">
        <w:rPr>
          <w:lang w:val="fr-FR"/>
        </w:rPr>
        <w:t>Par</w:t>
      </w:r>
      <w:r w:rsidR="0086509F">
        <w:rPr>
          <w:lang w:val="fr-FR"/>
        </w:rPr>
        <w:t xml:space="preserve"> « </w:t>
      </w:r>
      <w:r w:rsidRPr="0086509F">
        <w:rPr>
          <w:i/>
          <w:lang w:val="fr-FR"/>
        </w:rPr>
        <w:t>cercle</w:t>
      </w:r>
      <w:r w:rsidR="00EC442C" w:rsidRPr="0086509F">
        <w:rPr>
          <w:i/>
          <w:lang w:val="fr-FR"/>
        </w:rPr>
        <w:t xml:space="preserve"> </w:t>
      </w:r>
      <w:r w:rsidRPr="0086509F">
        <w:rPr>
          <w:i/>
          <w:lang w:val="fr-FR"/>
        </w:rPr>
        <w:t>de</w:t>
      </w:r>
      <w:r w:rsidR="00EC442C" w:rsidRPr="0086509F">
        <w:rPr>
          <w:i/>
          <w:lang w:val="fr-FR"/>
        </w:rPr>
        <w:t xml:space="preserve"> </w:t>
      </w:r>
      <w:r w:rsidRPr="0086509F">
        <w:rPr>
          <w:i/>
          <w:lang w:val="fr-FR"/>
        </w:rPr>
        <w:t>virage</w:t>
      </w:r>
      <w:r w:rsidR="0086509F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cercle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l’intérieur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duquel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situées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projections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points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l’exclusion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dispositifs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extérieurs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vision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indirecte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indicateurs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changement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avant,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lorsque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décrit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trajectoire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circulaire</w:t>
      </w:r>
      <w:r w:rsidR="00EC442C">
        <w:rPr>
          <w:lang w:val="fr-FR"/>
        </w:rPr>
        <w:t> ;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2.4.7</w:t>
      </w:r>
      <w:r w:rsidRPr="00DE4822">
        <w:rPr>
          <w:lang w:val="fr-FR"/>
        </w:rPr>
        <w:tab/>
      </w:r>
      <w:r w:rsidR="0086509F" w:rsidRPr="00DE4822">
        <w:rPr>
          <w:lang w:val="fr-FR"/>
        </w:rPr>
        <w:t>Par</w:t>
      </w:r>
      <w:r w:rsidR="0086509F">
        <w:rPr>
          <w:lang w:val="fr-FR"/>
        </w:rPr>
        <w:t xml:space="preserve"> « </w:t>
      </w:r>
      <w:r w:rsidRPr="00DE4822">
        <w:rPr>
          <w:i/>
          <w:lang w:val="fr-FR"/>
        </w:rPr>
        <w:t>rayon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nominal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la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commande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direction</w:t>
      </w:r>
      <w:r w:rsidR="0086509F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volant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petite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distance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centre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rotation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bord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extérieur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jante</w:t>
      </w:r>
      <w:r w:rsidR="00EC442C">
        <w:rPr>
          <w:lang w:val="fr-FR"/>
        </w:rPr>
        <w:t xml:space="preserve"> ;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forme,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c’est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distance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centre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rotation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point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où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appliqué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l’effort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S’il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existe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plusieurs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points,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prend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celui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lequel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l’effort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appliquer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grand</w:t>
      </w:r>
      <w:r w:rsidR="00EC442C">
        <w:rPr>
          <w:lang w:val="fr-FR"/>
        </w:rPr>
        <w:t> ;</w:t>
      </w:r>
    </w:p>
    <w:p w:rsidR="00D643A6" w:rsidRPr="00DE4822" w:rsidRDefault="00D643A6" w:rsidP="00EC66DF">
      <w:pPr>
        <w:pStyle w:val="SingleTxtG"/>
        <w:keepLines/>
        <w:ind w:left="2268" w:hanging="1134"/>
        <w:rPr>
          <w:lang w:val="fr-FR"/>
        </w:rPr>
      </w:pPr>
      <w:r w:rsidRPr="00DE4822">
        <w:rPr>
          <w:lang w:val="fr-FR"/>
        </w:rPr>
        <w:lastRenderedPageBreak/>
        <w:t>2.4.8</w:t>
      </w:r>
      <w:r w:rsidRPr="00DE4822">
        <w:rPr>
          <w:lang w:val="fr-FR"/>
        </w:rPr>
        <w:tab/>
      </w:r>
      <w:r w:rsidR="0086509F" w:rsidRPr="00DE4822">
        <w:rPr>
          <w:lang w:val="fr-FR"/>
        </w:rPr>
        <w:t>Par</w:t>
      </w:r>
      <w:r w:rsidR="0086509F">
        <w:rPr>
          <w:lang w:val="fr-FR"/>
        </w:rPr>
        <w:t xml:space="preserve"> « </w:t>
      </w:r>
      <w:r w:rsidRPr="00DE4822">
        <w:rPr>
          <w:i/>
          <w:lang w:val="fr-FR"/>
        </w:rPr>
        <w:t>parcage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télécommandé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(RCP)</w:t>
      </w:r>
      <w:r w:rsidR="0086509F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ACSF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catégorie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activée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exécutant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manœuvre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stationnement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manœuvre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petite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L’activation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s’effectue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télécommande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proximité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immédiate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> ;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2.4.9</w:t>
      </w:r>
      <w:r w:rsidRPr="00DE4822">
        <w:rPr>
          <w:lang w:val="fr-FR"/>
        </w:rPr>
        <w:tab/>
      </w:r>
      <w:r w:rsidR="00EC66DF" w:rsidRPr="00DE4822">
        <w:rPr>
          <w:lang w:val="fr-FR"/>
        </w:rPr>
        <w:t>Par</w:t>
      </w:r>
      <w:r w:rsidR="00EC66DF">
        <w:rPr>
          <w:lang w:val="fr-FR"/>
        </w:rPr>
        <w:t xml:space="preserve"> « </w:t>
      </w:r>
      <w:r w:rsidRPr="00DE4822">
        <w:rPr>
          <w:i/>
          <w:lang w:val="fr-FR"/>
        </w:rPr>
        <w:t>portée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maximale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indiquée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du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système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RCP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(</w:t>
      </w:r>
      <w:proofErr w:type="spellStart"/>
      <w:r w:rsidRPr="00DE4822">
        <w:rPr>
          <w:i/>
          <w:lang w:val="fr-FR"/>
        </w:rPr>
        <w:t>S</w:t>
      </w:r>
      <w:r w:rsidRPr="00DE4822">
        <w:rPr>
          <w:i/>
          <w:vertAlign w:val="subscript"/>
          <w:lang w:val="fr-FR"/>
        </w:rPr>
        <w:t>RCPmax</w:t>
      </w:r>
      <w:proofErr w:type="spellEnd"/>
      <w:r w:rsidRPr="00DE4822">
        <w:rPr>
          <w:i/>
          <w:lang w:val="fr-FR"/>
        </w:rPr>
        <w:t>)</w:t>
      </w:r>
      <w:r w:rsidR="00EC66DF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distance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maximale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point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proche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télécommande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laquelle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l’ACSF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conçue</w:t>
      </w:r>
      <w:r w:rsidR="00EC442C">
        <w:rPr>
          <w:lang w:val="fr-FR"/>
        </w:rPr>
        <w:t> ;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2.4.10</w:t>
      </w:r>
      <w:r w:rsidRPr="00DE4822">
        <w:rPr>
          <w:lang w:val="fr-FR"/>
        </w:rPr>
        <w:tab/>
      </w:r>
      <w:r w:rsidR="00EC66DF" w:rsidRPr="00DE4822">
        <w:rPr>
          <w:lang w:val="fr-FR"/>
        </w:rPr>
        <w:t>Par</w:t>
      </w:r>
      <w:r w:rsidR="00EC66DF">
        <w:rPr>
          <w:lang w:val="fr-FR"/>
        </w:rPr>
        <w:t xml:space="preserve"> « </w:t>
      </w:r>
      <w:r w:rsidRPr="00DE4822">
        <w:rPr>
          <w:i/>
          <w:lang w:val="fr-FR"/>
        </w:rPr>
        <w:t>vitesse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maximale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indiquée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(</w:t>
      </w:r>
      <w:proofErr w:type="spellStart"/>
      <w:r w:rsidRPr="00DE4822">
        <w:rPr>
          <w:i/>
          <w:lang w:val="fr-FR"/>
        </w:rPr>
        <w:t>V</w:t>
      </w:r>
      <w:r w:rsidRPr="00DE4822">
        <w:rPr>
          <w:i/>
          <w:vertAlign w:val="subscript"/>
          <w:lang w:val="fr-FR"/>
        </w:rPr>
        <w:t>smax</w:t>
      </w:r>
      <w:proofErr w:type="spellEnd"/>
      <w:r w:rsidRPr="00DE4822">
        <w:rPr>
          <w:i/>
          <w:lang w:val="fr-FR"/>
        </w:rPr>
        <w:t>)</w:t>
      </w:r>
      <w:r w:rsidR="00EC66DF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maximale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laquelle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ACSF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conçue</w:t>
      </w:r>
      <w:r w:rsidR="00EC442C">
        <w:rPr>
          <w:lang w:val="fr-FR"/>
        </w:rPr>
        <w:t> ;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2.4.11</w:t>
      </w:r>
      <w:r w:rsidRPr="00DE4822">
        <w:rPr>
          <w:lang w:val="fr-FR"/>
        </w:rPr>
        <w:tab/>
      </w:r>
      <w:r w:rsidR="00EC66DF" w:rsidRPr="00DE4822">
        <w:rPr>
          <w:lang w:val="fr-FR"/>
        </w:rPr>
        <w:t>Par</w:t>
      </w:r>
      <w:r w:rsidR="00EC66DF">
        <w:rPr>
          <w:lang w:val="fr-FR"/>
        </w:rPr>
        <w:t xml:space="preserve"> « </w:t>
      </w:r>
      <w:r w:rsidRPr="00DE4822">
        <w:rPr>
          <w:i/>
          <w:lang w:val="fr-FR"/>
        </w:rPr>
        <w:t>vitesse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minimale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indiquée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(</w:t>
      </w:r>
      <w:proofErr w:type="spellStart"/>
      <w:r w:rsidRPr="00DE4822">
        <w:rPr>
          <w:i/>
          <w:lang w:val="fr-FR"/>
        </w:rPr>
        <w:t>V</w:t>
      </w:r>
      <w:r w:rsidRPr="00DE4822">
        <w:rPr>
          <w:i/>
          <w:vertAlign w:val="subscript"/>
          <w:lang w:val="fr-FR"/>
        </w:rPr>
        <w:t>smin</w:t>
      </w:r>
      <w:proofErr w:type="spellEnd"/>
      <w:r w:rsidRPr="00DE4822">
        <w:rPr>
          <w:i/>
          <w:lang w:val="fr-FR"/>
        </w:rPr>
        <w:t>)</w:t>
      </w:r>
      <w:r w:rsidR="00EC66DF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minimale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laquelle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ACSF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conçue</w:t>
      </w:r>
      <w:r w:rsidR="00EC442C">
        <w:rPr>
          <w:lang w:val="fr-FR"/>
        </w:rPr>
        <w:t> ;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2.4.12</w:t>
      </w:r>
      <w:r w:rsidRPr="00DE4822">
        <w:rPr>
          <w:lang w:val="fr-FR"/>
        </w:rPr>
        <w:tab/>
      </w:r>
      <w:r w:rsidR="00EC66DF" w:rsidRPr="00DE4822">
        <w:rPr>
          <w:lang w:val="fr-FR"/>
        </w:rPr>
        <w:t>Par</w:t>
      </w:r>
      <w:r w:rsidR="00EC66DF">
        <w:rPr>
          <w:lang w:val="fr-FR"/>
        </w:rPr>
        <w:t xml:space="preserve"> « </w:t>
      </w:r>
      <w:r w:rsidRPr="00DE4822">
        <w:rPr>
          <w:i/>
          <w:lang w:val="fr-FR"/>
        </w:rPr>
        <w:t>accélération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latérale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maximale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indiquée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(</w:t>
      </w:r>
      <w:proofErr w:type="spellStart"/>
      <w:r w:rsidRPr="00DE4822">
        <w:rPr>
          <w:i/>
          <w:lang w:val="fr-FR"/>
        </w:rPr>
        <w:t>ay</w:t>
      </w:r>
      <w:r w:rsidRPr="00DE4822">
        <w:rPr>
          <w:i/>
          <w:vertAlign w:val="subscript"/>
          <w:lang w:val="fr-FR"/>
        </w:rPr>
        <w:t>smax</w:t>
      </w:r>
      <w:proofErr w:type="spellEnd"/>
      <w:r w:rsidRPr="00DE4822">
        <w:rPr>
          <w:i/>
          <w:lang w:val="fr-FR"/>
        </w:rPr>
        <w:t>)</w:t>
      </w:r>
      <w:r w:rsidR="00EC66DF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l’accélération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latérale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maximale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laquelle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ACSF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conçue.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2.4.13</w:t>
      </w:r>
      <w:r w:rsidRPr="00DE4822">
        <w:rPr>
          <w:lang w:val="fr-FR"/>
        </w:rPr>
        <w:tab/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ACSF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="00EC66DF">
        <w:rPr>
          <w:lang w:val="fr-FR"/>
        </w:rPr>
        <w:t>« </w:t>
      </w:r>
      <w:r w:rsidRPr="00DE4822">
        <w:rPr>
          <w:i/>
          <w:lang w:val="fr-FR"/>
        </w:rPr>
        <w:t>mode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arrêt</w:t>
      </w:r>
      <w:r w:rsidR="00EC66DF" w:rsidRPr="00EC66DF">
        <w:rPr>
          <w:lang w:val="fr-FR"/>
        </w:rPr>
        <w:t> »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(ou</w:t>
      </w:r>
      <w:r w:rsidR="00EC442C">
        <w:rPr>
          <w:lang w:val="fr-FR"/>
        </w:rPr>
        <w:t xml:space="preserve"> </w:t>
      </w:r>
      <w:r w:rsidR="00EC66DF">
        <w:rPr>
          <w:lang w:val="fr-FR"/>
        </w:rPr>
        <w:t>« </w:t>
      </w:r>
      <w:r w:rsidRPr="00DE4822">
        <w:rPr>
          <w:i/>
          <w:lang w:val="fr-FR"/>
        </w:rPr>
        <w:t>désactivée</w:t>
      </w:r>
      <w:r w:rsidR="00EC66DF">
        <w:rPr>
          <w:lang w:val="fr-FR"/>
        </w:rPr>
        <w:t> »</w:t>
      </w:r>
      <w:r w:rsidRPr="00DE4822">
        <w:rPr>
          <w:lang w:val="fr-FR"/>
        </w:rPr>
        <w:t>)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lorsqu’elle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n’est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mesure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déclencher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aider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2.4.14</w:t>
      </w:r>
      <w:r w:rsidRPr="00DE4822">
        <w:rPr>
          <w:lang w:val="fr-FR"/>
        </w:rPr>
        <w:tab/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ACSF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="00EC66DF">
        <w:rPr>
          <w:lang w:val="fr-FR"/>
        </w:rPr>
        <w:t>« </w:t>
      </w:r>
      <w:r w:rsidRPr="00DE4822">
        <w:rPr>
          <w:i/>
          <w:lang w:val="fr-FR"/>
        </w:rPr>
        <w:t>mode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veille</w:t>
      </w:r>
      <w:r w:rsidR="00EC66DF">
        <w:rPr>
          <w:lang w:val="fr-FR"/>
        </w:rPr>
        <w:t> »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lorsqu’elle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activée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conditions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réunies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qu’elle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déclenche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(conditions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délibérée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exemple).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Lorsqu’elle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mode,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ACSF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n’est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mesure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déclencher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aider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2.4.15</w:t>
      </w:r>
      <w:r w:rsidRPr="00DE4822">
        <w:rPr>
          <w:lang w:val="fr-FR"/>
        </w:rPr>
        <w:tab/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ACSF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="00EC66DF">
        <w:rPr>
          <w:lang w:val="fr-FR"/>
        </w:rPr>
        <w:t>« </w:t>
      </w:r>
      <w:r w:rsidRPr="00DE4822">
        <w:rPr>
          <w:i/>
          <w:lang w:val="fr-FR"/>
        </w:rPr>
        <w:t>mode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actif</w:t>
      </w:r>
      <w:r w:rsidR="00EC66DF">
        <w:rPr>
          <w:lang w:val="fr-FR"/>
        </w:rPr>
        <w:t> »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lorsqu’elle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activée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conditions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réunies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qu’elle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intervienne.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Lorsqu’elle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mode,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manière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continue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discontinue,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prêt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déclencher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</w:t>
      </w:r>
      <w:r w:rsidR="00776E1B">
        <w:rPr>
          <w:lang w:val="fr-FR"/>
        </w:rPr>
        <w:t>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aider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2.5</w:t>
      </w:r>
      <w:r w:rsidRPr="00DE4822">
        <w:rPr>
          <w:lang w:val="fr-FR"/>
        </w:rPr>
        <w:tab/>
        <w:t>Types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</w:p>
    <w:p w:rsidR="00D643A6" w:rsidRPr="00DE4822" w:rsidRDefault="00D643A6" w:rsidP="000476D9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Selon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manière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forces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produites,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distingue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types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suivants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> :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2.5.1</w:t>
      </w:r>
      <w:r w:rsidRPr="00DE4822">
        <w:rPr>
          <w:lang w:val="fr-FR"/>
        </w:rPr>
        <w:tab/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moteur</w:t>
      </w:r>
      <w:r w:rsidR="00EC442C">
        <w:rPr>
          <w:lang w:val="fr-FR"/>
        </w:rPr>
        <w:t> :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2.5.1.1</w:t>
      </w:r>
      <w:r w:rsidRPr="00DE4822">
        <w:rPr>
          <w:lang w:val="fr-FR"/>
        </w:rPr>
        <w:tab/>
        <w:t>Le</w:t>
      </w:r>
      <w:r w:rsidR="00EC442C">
        <w:rPr>
          <w:lang w:val="fr-FR"/>
        </w:rPr>
        <w:t xml:space="preserve"> </w:t>
      </w:r>
      <w:r w:rsidR="00D85F49">
        <w:rPr>
          <w:lang w:val="fr-FR"/>
        </w:rPr>
        <w:t>« </w:t>
      </w:r>
      <w:r w:rsidRPr="00DE4822">
        <w:rPr>
          <w:i/>
          <w:lang w:val="fr-FR"/>
        </w:rPr>
        <w:t>système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direction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principal</w:t>
      </w:r>
      <w:r w:rsidR="00D85F49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principalement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responsable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détermination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marche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comprendre</w:t>
      </w:r>
      <w:r w:rsidR="00EC442C">
        <w:rPr>
          <w:lang w:val="fr-FR"/>
        </w:rPr>
        <w:t> :</w:t>
      </w:r>
    </w:p>
    <w:p w:rsidR="00D643A6" w:rsidRPr="00DE4822" w:rsidRDefault="00D85F49" w:rsidP="00E32E15">
      <w:pPr>
        <w:pStyle w:val="SingleTxtG"/>
        <w:ind w:left="2268" w:hanging="1134"/>
        <w:rPr>
          <w:lang w:val="fr-FR"/>
        </w:rPr>
      </w:pPr>
      <w:r>
        <w:rPr>
          <w:lang w:val="fr-FR"/>
        </w:rPr>
        <w:t>2.5.1.1.1</w:t>
      </w:r>
      <w:r>
        <w:rPr>
          <w:lang w:val="fr-FR"/>
        </w:rPr>
        <w:tab/>
        <w:t>L’« </w:t>
      </w:r>
      <w:r w:rsidRPr="00DE4822">
        <w:rPr>
          <w:i/>
          <w:lang w:val="fr-FR"/>
        </w:rPr>
        <w:t>équipement</w:t>
      </w:r>
      <w:r>
        <w:rPr>
          <w:i/>
          <w:lang w:val="fr-FR"/>
        </w:rPr>
        <w:t xml:space="preserve"> </w:t>
      </w:r>
      <w:r w:rsidR="00D643A6" w:rsidRPr="00DE4822">
        <w:rPr>
          <w:i/>
          <w:lang w:val="fr-FR"/>
        </w:rPr>
        <w:t>de</w:t>
      </w:r>
      <w:r w:rsidR="00EC442C">
        <w:rPr>
          <w:i/>
          <w:lang w:val="fr-FR"/>
        </w:rPr>
        <w:t xml:space="preserve"> </w:t>
      </w:r>
      <w:r w:rsidR="00D643A6" w:rsidRPr="00DE4822">
        <w:rPr>
          <w:i/>
          <w:lang w:val="fr-FR"/>
        </w:rPr>
        <w:t>direction</w:t>
      </w:r>
      <w:r w:rsidR="00EC442C">
        <w:rPr>
          <w:i/>
          <w:lang w:val="fr-FR"/>
        </w:rPr>
        <w:t xml:space="preserve"> </w:t>
      </w:r>
      <w:r w:rsidR="00D643A6" w:rsidRPr="00DE4822">
        <w:rPr>
          <w:i/>
          <w:lang w:val="fr-FR"/>
        </w:rPr>
        <w:t>manuelle</w:t>
      </w:r>
      <w:r>
        <w:rPr>
          <w:lang w:val="fr-FR"/>
        </w:rPr>
        <w:t> »</w:t>
      </w:r>
      <w:r w:rsidR="00D643A6"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lequel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forces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résultent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uniquement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l’effort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musculaire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conducteur</w:t>
      </w:r>
      <w:r w:rsidR="00EC442C">
        <w:rPr>
          <w:lang w:val="fr-FR"/>
        </w:rPr>
        <w:t> ;</w:t>
      </w:r>
    </w:p>
    <w:p w:rsidR="00D643A6" w:rsidRPr="00DE4822" w:rsidRDefault="00D85F49" w:rsidP="00E32E15">
      <w:pPr>
        <w:pStyle w:val="SingleTxtG"/>
        <w:ind w:left="2268" w:hanging="1134"/>
        <w:rPr>
          <w:lang w:val="fr-FR"/>
        </w:rPr>
      </w:pPr>
      <w:r>
        <w:rPr>
          <w:lang w:val="fr-FR"/>
        </w:rPr>
        <w:t>2.5.1.1.2</w:t>
      </w:r>
      <w:r>
        <w:rPr>
          <w:lang w:val="fr-FR"/>
        </w:rPr>
        <w:tab/>
      </w:r>
      <w:r w:rsidR="00171974">
        <w:rPr>
          <w:lang w:val="fr-FR"/>
        </w:rPr>
        <w:t>L’</w:t>
      </w:r>
      <w:r>
        <w:rPr>
          <w:lang w:val="fr-FR"/>
        </w:rPr>
        <w:t>« </w:t>
      </w:r>
      <w:r w:rsidR="00D643A6" w:rsidRPr="00D85F49">
        <w:rPr>
          <w:i/>
          <w:lang w:val="fr-FR"/>
        </w:rPr>
        <w:t>équipement</w:t>
      </w:r>
      <w:r w:rsidR="00EC442C" w:rsidRPr="00D85F49">
        <w:rPr>
          <w:i/>
          <w:lang w:val="fr-FR"/>
        </w:rPr>
        <w:t xml:space="preserve"> </w:t>
      </w:r>
      <w:r w:rsidR="00D643A6" w:rsidRPr="00D85F49">
        <w:rPr>
          <w:i/>
          <w:lang w:val="fr-FR"/>
        </w:rPr>
        <w:t>de</w:t>
      </w:r>
      <w:r w:rsidR="00EC442C" w:rsidRPr="00D85F49">
        <w:rPr>
          <w:i/>
          <w:lang w:val="fr-FR"/>
        </w:rPr>
        <w:t xml:space="preserve"> </w:t>
      </w:r>
      <w:r w:rsidR="00D643A6" w:rsidRPr="00D85F49">
        <w:rPr>
          <w:i/>
          <w:lang w:val="fr-FR"/>
        </w:rPr>
        <w:t>direction</w:t>
      </w:r>
      <w:r w:rsidR="00EC442C" w:rsidRPr="00D85F49">
        <w:rPr>
          <w:i/>
          <w:lang w:val="fr-FR"/>
        </w:rPr>
        <w:t xml:space="preserve"> </w:t>
      </w:r>
      <w:r w:rsidR="00D643A6" w:rsidRPr="00D85F49">
        <w:rPr>
          <w:i/>
          <w:lang w:val="fr-FR"/>
        </w:rPr>
        <w:t>assistée</w:t>
      </w:r>
      <w:r>
        <w:rPr>
          <w:lang w:val="fr-FR"/>
        </w:rPr>
        <w:t> »</w:t>
      </w:r>
      <w:r w:rsidR="00D643A6"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lequel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forces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résultent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fois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l’effort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musculaire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l’alimentation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(des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alimentations)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énergie</w:t>
      </w:r>
      <w:r w:rsidR="00EC442C">
        <w:rPr>
          <w:lang w:val="fr-FR"/>
        </w:rPr>
        <w:t> ;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2.5.1.1.2.1</w:t>
      </w:r>
      <w:r w:rsidRPr="00DE4822">
        <w:rPr>
          <w:lang w:val="fr-FR"/>
        </w:rPr>
        <w:tab/>
      </w:r>
      <w:r w:rsidR="00171974" w:rsidRPr="00DE4822">
        <w:rPr>
          <w:lang w:val="fr-FR"/>
        </w:rPr>
        <w:t>L’équipement</w:t>
      </w:r>
      <w:r w:rsidR="00171974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lequel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forces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résultent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uniquement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plusieurs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alimentations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énergie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lorsque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intact,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où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forces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peuvent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résulter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l’effort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musculaire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(systèmes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assistés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intégrés),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aussi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considéré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assisté</w:t>
      </w:r>
      <w:r w:rsidR="00EC442C">
        <w:rPr>
          <w:lang w:val="fr-FR"/>
        </w:rPr>
        <w:t> ;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2.5.1.1.3</w:t>
      </w:r>
      <w:r w:rsidRPr="00DE4822">
        <w:rPr>
          <w:lang w:val="fr-FR"/>
        </w:rPr>
        <w:tab/>
      </w:r>
      <w:r w:rsidR="00D85F49" w:rsidRPr="00DE4822">
        <w:rPr>
          <w:lang w:val="fr-FR"/>
        </w:rPr>
        <w:t>L’</w:t>
      </w:r>
      <w:r w:rsidR="00D85F49">
        <w:rPr>
          <w:lang w:val="fr-FR"/>
        </w:rPr>
        <w:t>« </w:t>
      </w:r>
      <w:r w:rsidRPr="00DE4822">
        <w:rPr>
          <w:i/>
          <w:lang w:val="fr-FR"/>
        </w:rPr>
        <w:t>équipement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servodirection</w:t>
      </w:r>
      <w:r w:rsidR="00D85F49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lequel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forces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uniquement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produites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plusieurs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sources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d’énergie</w:t>
      </w:r>
      <w:r w:rsidR="00EC442C">
        <w:rPr>
          <w:lang w:val="fr-FR"/>
        </w:rPr>
        <w:t> ;</w:t>
      </w:r>
    </w:p>
    <w:p w:rsidR="00D643A6" w:rsidRPr="00DE4822" w:rsidRDefault="00D85F49" w:rsidP="00E32E15">
      <w:pPr>
        <w:pStyle w:val="SingleTxtG"/>
        <w:ind w:left="2268" w:hanging="1134"/>
        <w:rPr>
          <w:lang w:val="fr-FR"/>
        </w:rPr>
      </w:pPr>
      <w:r>
        <w:rPr>
          <w:lang w:val="fr-FR"/>
        </w:rPr>
        <w:t>2.5.1.2</w:t>
      </w:r>
      <w:r>
        <w:rPr>
          <w:lang w:val="fr-FR"/>
        </w:rPr>
        <w:tab/>
      </w:r>
      <w:r w:rsidR="00171974">
        <w:rPr>
          <w:lang w:val="fr-FR"/>
        </w:rPr>
        <w:t>L’</w:t>
      </w:r>
      <w:r>
        <w:rPr>
          <w:lang w:val="fr-FR"/>
        </w:rPr>
        <w:t>« </w:t>
      </w:r>
      <w:r w:rsidR="00D643A6" w:rsidRPr="00DE4822">
        <w:rPr>
          <w:i/>
          <w:lang w:val="fr-FR"/>
        </w:rPr>
        <w:t>équipement</w:t>
      </w:r>
      <w:r w:rsidR="00EC442C">
        <w:rPr>
          <w:i/>
          <w:lang w:val="fr-FR"/>
        </w:rPr>
        <w:t xml:space="preserve"> </w:t>
      </w:r>
      <w:r w:rsidR="00D643A6" w:rsidRPr="00DE4822">
        <w:rPr>
          <w:i/>
          <w:lang w:val="fr-FR"/>
        </w:rPr>
        <w:t>d’autodirection</w:t>
      </w:r>
      <w:r>
        <w:rPr>
          <w:lang w:val="fr-FR"/>
        </w:rPr>
        <w:t> »</w:t>
      </w:r>
      <w:r w:rsidR="00D643A6"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où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l’angle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braquage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plusieurs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roues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modifié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uniquement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jeu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forces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et/ou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moments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appliqués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point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contact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pneu/route</w:t>
      </w:r>
      <w:r w:rsidR="00EC442C">
        <w:rPr>
          <w:lang w:val="fr-FR"/>
        </w:rPr>
        <w:t> ;</w:t>
      </w:r>
    </w:p>
    <w:p w:rsidR="00D643A6" w:rsidRPr="00DE4822" w:rsidRDefault="00D643A6" w:rsidP="00D85F49">
      <w:pPr>
        <w:pStyle w:val="SingleTxtG"/>
        <w:keepLines/>
        <w:ind w:left="2268" w:hanging="1134"/>
        <w:rPr>
          <w:lang w:val="fr-FR"/>
        </w:rPr>
      </w:pPr>
      <w:r w:rsidRPr="00DE4822">
        <w:rPr>
          <w:lang w:val="fr-FR"/>
        </w:rPr>
        <w:lastRenderedPageBreak/>
        <w:t>2.5.1.3</w:t>
      </w:r>
      <w:r w:rsidRPr="00DE4822">
        <w:rPr>
          <w:lang w:val="fr-FR"/>
        </w:rPr>
        <w:tab/>
      </w:r>
      <w:r w:rsidR="00D85F49" w:rsidRPr="00DE4822">
        <w:rPr>
          <w:lang w:val="fr-FR"/>
        </w:rPr>
        <w:t>L’</w:t>
      </w:r>
      <w:r w:rsidR="00D85F49">
        <w:rPr>
          <w:lang w:val="fr-FR"/>
        </w:rPr>
        <w:t>« </w:t>
      </w:r>
      <w:r w:rsidRPr="00DE4822">
        <w:rPr>
          <w:i/>
          <w:lang w:val="fr-FR"/>
        </w:rPr>
        <w:t>équipement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direction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auxiliaire</w:t>
      </w:r>
      <w:r w:rsidR="00D85F49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lequel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plusieurs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essieux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catégories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directrices,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complément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principal,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même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opposée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et/ou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l’angle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braquage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et/ou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arrière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modifié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comportement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véhicules.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2.5.2</w:t>
      </w:r>
      <w:r w:rsidRPr="00DE4822">
        <w:rPr>
          <w:lang w:val="fr-FR"/>
        </w:rPr>
        <w:tab/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remorques</w:t>
      </w:r>
      <w:r w:rsidR="00EC442C">
        <w:rPr>
          <w:lang w:val="fr-FR"/>
        </w:rPr>
        <w:t> :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2.5.2.1</w:t>
      </w:r>
      <w:r w:rsidRPr="00DE4822">
        <w:rPr>
          <w:lang w:val="fr-FR"/>
        </w:rPr>
        <w:tab/>
      </w:r>
      <w:r w:rsidR="00171974" w:rsidRPr="00DE4822">
        <w:rPr>
          <w:lang w:val="fr-FR"/>
        </w:rPr>
        <w:t>L’</w:t>
      </w:r>
      <w:r w:rsidR="00171974">
        <w:rPr>
          <w:lang w:val="fr-FR"/>
        </w:rPr>
        <w:t>« </w:t>
      </w:r>
      <w:r w:rsidRPr="00DE4822">
        <w:rPr>
          <w:i/>
          <w:lang w:val="fr-FR"/>
        </w:rPr>
        <w:t>équipement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d’autodirection</w:t>
      </w:r>
      <w:r w:rsidR="00171974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où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l’angle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braquage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plusieurs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modifié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uniquement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jeu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forces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et/ou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moments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appliqués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point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contact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pneu/route</w:t>
      </w:r>
      <w:r w:rsidR="00EC442C">
        <w:rPr>
          <w:lang w:val="fr-FR"/>
        </w:rPr>
        <w:t> ;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2.5.2.2</w:t>
      </w:r>
      <w:r w:rsidRPr="00DE4822">
        <w:rPr>
          <w:lang w:val="fr-FR"/>
        </w:rPr>
        <w:tab/>
      </w:r>
      <w:r w:rsidR="00171974" w:rsidRPr="00DE4822">
        <w:rPr>
          <w:lang w:val="fr-FR"/>
        </w:rPr>
        <w:t>L’</w:t>
      </w:r>
      <w:r w:rsidR="00171974">
        <w:rPr>
          <w:lang w:val="fr-FR"/>
        </w:rPr>
        <w:t>« </w:t>
      </w:r>
      <w:r w:rsidRPr="00DE4822">
        <w:rPr>
          <w:i/>
          <w:lang w:val="fr-FR"/>
        </w:rPr>
        <w:t>équipement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direction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articulé</w:t>
      </w:r>
      <w:r w:rsidR="00171974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lequel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forces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produites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changement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lequel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braquage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directrices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lié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l’angle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relatif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longitudinal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celui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</w:t>
      </w:r>
      <w:r w:rsidR="00EC442C">
        <w:rPr>
          <w:lang w:val="fr-FR"/>
        </w:rPr>
        <w:t> ;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2.5.2.3</w:t>
      </w:r>
      <w:r w:rsidRPr="00DE4822">
        <w:rPr>
          <w:lang w:val="fr-FR"/>
        </w:rPr>
        <w:tab/>
      </w:r>
      <w:r w:rsidR="00171974" w:rsidRPr="00DE4822">
        <w:rPr>
          <w:lang w:val="fr-FR"/>
        </w:rPr>
        <w:t>L’</w:t>
      </w:r>
      <w:r w:rsidR="00171974">
        <w:rPr>
          <w:lang w:val="fr-FR"/>
        </w:rPr>
        <w:t>« </w:t>
      </w:r>
      <w:r w:rsidRPr="00DE4822">
        <w:rPr>
          <w:i/>
          <w:lang w:val="fr-FR"/>
        </w:rPr>
        <w:t>équipement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autodirecteur</w:t>
      </w:r>
      <w:r w:rsidR="00171974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lequel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forces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produites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changement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lequel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braquage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directrices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lié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l’angle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relatif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longitudinal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châssis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chargement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remplaçant,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longitudinal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châssis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auquel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l’essieu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essieux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fixés</w:t>
      </w:r>
      <w:r w:rsidR="00EC442C">
        <w:rPr>
          <w:lang w:val="fr-FR"/>
        </w:rPr>
        <w:t> ;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2.5.2.4</w:t>
      </w:r>
      <w:r w:rsidRPr="00DE4822">
        <w:rPr>
          <w:lang w:val="fr-FR"/>
        </w:rPr>
        <w:tab/>
      </w:r>
      <w:r w:rsidR="00171974" w:rsidRPr="00DE4822">
        <w:rPr>
          <w:lang w:val="fr-FR"/>
        </w:rPr>
        <w:t>L’</w:t>
      </w:r>
      <w:r w:rsidR="00171974">
        <w:rPr>
          <w:lang w:val="fr-FR"/>
        </w:rPr>
        <w:t>« </w:t>
      </w:r>
      <w:r w:rsidRPr="00DE4822">
        <w:rPr>
          <w:i/>
          <w:lang w:val="fr-FR"/>
        </w:rPr>
        <w:t>équipement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direction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additionnel</w:t>
      </w:r>
      <w:r w:rsidR="00171974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indépendant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principal,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grâce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auquel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agir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l’angle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braquage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plusieurs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essieux,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manière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sélective,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fins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manœuvres</w:t>
      </w:r>
      <w:r w:rsidR="00EC442C">
        <w:rPr>
          <w:lang w:val="fr-FR"/>
        </w:rPr>
        <w:t> ;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2.5.2.5</w:t>
      </w:r>
      <w:r w:rsidRPr="00DE4822">
        <w:rPr>
          <w:lang w:val="fr-FR"/>
        </w:rPr>
        <w:tab/>
      </w:r>
      <w:r w:rsidR="00171974" w:rsidRPr="00DE4822">
        <w:rPr>
          <w:lang w:val="fr-FR"/>
        </w:rPr>
        <w:t>L’</w:t>
      </w:r>
      <w:r w:rsidR="00171974">
        <w:rPr>
          <w:lang w:val="fr-FR"/>
        </w:rPr>
        <w:t>« </w:t>
      </w:r>
      <w:r w:rsidRPr="00DE4822">
        <w:rPr>
          <w:i/>
          <w:lang w:val="fr-FR"/>
        </w:rPr>
        <w:t>équipement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servodirection</w:t>
      </w:r>
      <w:r w:rsidR="00171974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lequel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forces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uniquement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produites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plusieurs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sources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d’énergie.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2.5.3</w:t>
      </w:r>
      <w:r w:rsidRPr="00DE4822">
        <w:rPr>
          <w:lang w:val="fr-FR"/>
        </w:rPr>
        <w:tab/>
        <w:t>Selon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l’agencement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directrices,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distingue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types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suivants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> :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2.5.3.1</w:t>
      </w:r>
      <w:r w:rsidRPr="00DE4822">
        <w:rPr>
          <w:lang w:val="fr-FR"/>
        </w:rPr>
        <w:tab/>
      </w:r>
      <w:r w:rsidR="00171974" w:rsidRPr="00DE4822">
        <w:rPr>
          <w:lang w:val="fr-FR"/>
        </w:rPr>
        <w:t>L’</w:t>
      </w:r>
      <w:r w:rsidR="00171974">
        <w:rPr>
          <w:lang w:val="fr-FR"/>
        </w:rPr>
        <w:t>« </w:t>
      </w:r>
      <w:r w:rsidRPr="00DE4822">
        <w:rPr>
          <w:i/>
          <w:lang w:val="fr-FR"/>
        </w:rPr>
        <w:t>équipement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à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roues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avant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directrices</w:t>
      </w:r>
      <w:r w:rsidR="00171974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lequel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seules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l’essieu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essieux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directrices.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Cette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définition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inclut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braquent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même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> ;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2.5.3.2</w:t>
      </w:r>
      <w:r w:rsidRPr="00DE4822">
        <w:rPr>
          <w:lang w:val="fr-FR"/>
        </w:rPr>
        <w:tab/>
      </w:r>
      <w:r w:rsidR="00171974" w:rsidRPr="00DE4822">
        <w:rPr>
          <w:lang w:val="fr-FR"/>
        </w:rPr>
        <w:t>L’</w:t>
      </w:r>
      <w:r w:rsidR="00171974">
        <w:rPr>
          <w:lang w:val="fr-FR"/>
        </w:rPr>
        <w:t>« </w:t>
      </w:r>
      <w:r w:rsidRPr="00DE4822">
        <w:rPr>
          <w:i/>
          <w:lang w:val="fr-FR"/>
        </w:rPr>
        <w:t>équipement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à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roues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arrière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directrices</w:t>
      </w:r>
      <w:r w:rsidR="00171974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lequel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seules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l’essieu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essieux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arrière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directrices.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Cette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définition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inclut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braquent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même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> ;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2.5.3.3</w:t>
      </w:r>
      <w:r w:rsidRPr="00DE4822">
        <w:rPr>
          <w:lang w:val="fr-FR"/>
        </w:rPr>
        <w:tab/>
      </w:r>
      <w:r w:rsidR="00171974" w:rsidRPr="00DE4822">
        <w:rPr>
          <w:lang w:val="fr-FR"/>
        </w:rPr>
        <w:t>L’</w:t>
      </w:r>
      <w:r w:rsidR="00171974">
        <w:rPr>
          <w:lang w:val="fr-FR"/>
        </w:rPr>
        <w:t>« </w:t>
      </w:r>
      <w:r w:rsidRPr="00DE4822">
        <w:rPr>
          <w:i/>
          <w:lang w:val="fr-FR"/>
        </w:rPr>
        <w:t>équipement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multi</w:t>
      </w:r>
      <w:r w:rsidR="004D15A8">
        <w:rPr>
          <w:i/>
          <w:lang w:val="fr-FR"/>
        </w:rPr>
        <w:t>-</w:t>
      </w:r>
      <w:r w:rsidRPr="00DE4822">
        <w:rPr>
          <w:i/>
          <w:lang w:val="fr-FR"/>
        </w:rPr>
        <w:t>essieux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directeurs</w:t>
      </w:r>
      <w:r w:rsidR="00171974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lequel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plusieurs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essieux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arrière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directeurs</w:t>
      </w:r>
      <w:r w:rsidR="00EC442C">
        <w:rPr>
          <w:lang w:val="fr-FR"/>
        </w:rPr>
        <w:t> ;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2.5.3.3.1</w:t>
      </w:r>
      <w:r w:rsidRPr="00DE4822">
        <w:rPr>
          <w:lang w:val="fr-FR"/>
        </w:rPr>
        <w:tab/>
      </w:r>
      <w:r w:rsidR="00171974" w:rsidRPr="00DE4822">
        <w:rPr>
          <w:lang w:val="fr-FR"/>
        </w:rPr>
        <w:t>L’</w:t>
      </w:r>
      <w:r w:rsidR="00171974">
        <w:rPr>
          <w:lang w:val="fr-FR"/>
        </w:rPr>
        <w:t>« </w:t>
      </w:r>
      <w:r w:rsidRPr="00DE4822">
        <w:rPr>
          <w:i/>
          <w:lang w:val="fr-FR"/>
        </w:rPr>
        <w:t>équipement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à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toutes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roues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directrices</w:t>
      </w:r>
      <w:r w:rsidR="00171974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lequel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directrices</w:t>
      </w:r>
      <w:r w:rsidR="00EC442C">
        <w:rPr>
          <w:lang w:val="fr-FR"/>
        </w:rPr>
        <w:t> ;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2.5.3.3.2</w:t>
      </w:r>
      <w:r w:rsidRPr="00DE4822">
        <w:rPr>
          <w:lang w:val="fr-FR"/>
        </w:rPr>
        <w:tab/>
      </w:r>
      <w:r w:rsidR="00171974" w:rsidRPr="00DE4822">
        <w:rPr>
          <w:lang w:val="fr-FR"/>
        </w:rPr>
        <w:t>L’</w:t>
      </w:r>
      <w:r w:rsidR="00171974">
        <w:rPr>
          <w:lang w:val="fr-FR"/>
        </w:rPr>
        <w:t>« </w:t>
      </w:r>
      <w:r w:rsidRPr="00DE4822">
        <w:rPr>
          <w:i/>
          <w:lang w:val="fr-FR"/>
        </w:rPr>
        <w:t>équipement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direction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par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châssis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articulé</w:t>
      </w:r>
      <w:r w:rsidR="00171974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lequel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mouvement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châssis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rapport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autres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produit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forces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2.6</w:t>
      </w:r>
      <w:r w:rsidRPr="00DE4822">
        <w:rPr>
          <w:lang w:val="fr-FR"/>
        </w:rPr>
        <w:tab/>
        <w:t>Types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timonerie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</w:p>
    <w:p w:rsidR="00D643A6" w:rsidRPr="00DE4822" w:rsidRDefault="00D643A6" w:rsidP="000476D9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distingue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plusieurs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types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timonerie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selon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transmission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forces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> :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2.6.1</w:t>
      </w:r>
      <w:r w:rsidRPr="00DE4822">
        <w:rPr>
          <w:lang w:val="fr-FR"/>
        </w:rPr>
        <w:tab/>
      </w:r>
      <w:r w:rsidR="00171974">
        <w:rPr>
          <w:lang w:val="fr-FR"/>
        </w:rPr>
        <w:t>« </w:t>
      </w:r>
      <w:r w:rsidRPr="00DE4822">
        <w:rPr>
          <w:i/>
          <w:lang w:val="fr-FR"/>
        </w:rPr>
        <w:t>Timonerie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direction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purement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mécanique</w:t>
      </w:r>
      <w:r w:rsidR="00171974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laquelle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forces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transmises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uniquement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moyens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mécaniques</w:t>
      </w:r>
      <w:r w:rsidR="00EC442C">
        <w:rPr>
          <w:lang w:val="fr-FR"/>
        </w:rPr>
        <w:t> ;</w:t>
      </w:r>
    </w:p>
    <w:p w:rsidR="00D643A6" w:rsidRPr="00DE4822" w:rsidRDefault="00171974" w:rsidP="00E32E15">
      <w:pPr>
        <w:pStyle w:val="SingleTxtG"/>
        <w:ind w:left="2268" w:hanging="1134"/>
        <w:rPr>
          <w:lang w:val="fr-FR"/>
        </w:rPr>
      </w:pPr>
      <w:r>
        <w:rPr>
          <w:lang w:val="fr-FR"/>
        </w:rPr>
        <w:t>2.6.2</w:t>
      </w:r>
      <w:r>
        <w:rPr>
          <w:lang w:val="fr-FR"/>
        </w:rPr>
        <w:tab/>
        <w:t>« </w:t>
      </w:r>
      <w:r w:rsidR="00D643A6" w:rsidRPr="00DE4822">
        <w:rPr>
          <w:i/>
          <w:lang w:val="fr-FR"/>
        </w:rPr>
        <w:t>Timonerie</w:t>
      </w:r>
      <w:r w:rsidR="00EC442C">
        <w:rPr>
          <w:i/>
          <w:lang w:val="fr-FR"/>
        </w:rPr>
        <w:t xml:space="preserve"> </w:t>
      </w:r>
      <w:r w:rsidR="00D643A6" w:rsidRPr="00DE4822">
        <w:rPr>
          <w:i/>
          <w:lang w:val="fr-FR"/>
        </w:rPr>
        <w:t>de</w:t>
      </w:r>
      <w:r w:rsidR="00EC442C">
        <w:rPr>
          <w:i/>
          <w:lang w:val="fr-FR"/>
        </w:rPr>
        <w:t xml:space="preserve"> </w:t>
      </w:r>
      <w:r w:rsidR="00D643A6" w:rsidRPr="00DE4822">
        <w:rPr>
          <w:i/>
          <w:lang w:val="fr-FR"/>
        </w:rPr>
        <w:t>direction</w:t>
      </w:r>
      <w:r w:rsidR="00EC442C">
        <w:rPr>
          <w:i/>
          <w:lang w:val="fr-FR"/>
        </w:rPr>
        <w:t xml:space="preserve"> </w:t>
      </w:r>
      <w:r w:rsidR="00D643A6" w:rsidRPr="00DE4822">
        <w:rPr>
          <w:i/>
          <w:lang w:val="fr-FR"/>
        </w:rPr>
        <w:t>purement</w:t>
      </w:r>
      <w:r w:rsidR="00EC442C">
        <w:rPr>
          <w:i/>
          <w:lang w:val="fr-FR"/>
        </w:rPr>
        <w:t xml:space="preserve"> </w:t>
      </w:r>
      <w:r w:rsidR="00D643A6" w:rsidRPr="00DE4822">
        <w:rPr>
          <w:i/>
          <w:lang w:val="fr-FR"/>
        </w:rPr>
        <w:t>hydraulique</w:t>
      </w:r>
      <w:r>
        <w:rPr>
          <w:lang w:val="fr-FR"/>
        </w:rPr>
        <w:t> »</w:t>
      </w:r>
      <w:r w:rsidR="00D643A6"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laquelle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forces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sont,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point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donné,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transmises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uniquement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moyens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hydrauliques</w:t>
      </w:r>
      <w:r w:rsidR="00EC442C">
        <w:rPr>
          <w:lang w:val="fr-FR"/>
        </w:rPr>
        <w:t> ;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lastRenderedPageBreak/>
        <w:t>2.6.3</w:t>
      </w:r>
      <w:r w:rsidRPr="00DE4822">
        <w:rPr>
          <w:lang w:val="fr-FR"/>
        </w:rPr>
        <w:tab/>
      </w:r>
      <w:r w:rsidR="00573B27">
        <w:rPr>
          <w:lang w:val="fr-FR"/>
        </w:rPr>
        <w:t>« </w:t>
      </w:r>
      <w:r w:rsidRPr="00DE4822">
        <w:rPr>
          <w:i/>
          <w:lang w:val="fr-FR"/>
        </w:rPr>
        <w:t>Timonerie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direction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purement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électrique</w:t>
      </w:r>
      <w:r w:rsidR="00573B27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laquelle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forces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point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donné,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transmises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uniquement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moyens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électriques</w:t>
      </w:r>
      <w:r w:rsidR="00EC442C">
        <w:rPr>
          <w:lang w:val="fr-FR"/>
        </w:rPr>
        <w:t> ;</w:t>
      </w:r>
    </w:p>
    <w:p w:rsidR="00D643A6" w:rsidRPr="00DE4822" w:rsidRDefault="00573B27" w:rsidP="00E32E15">
      <w:pPr>
        <w:pStyle w:val="SingleTxtG"/>
        <w:ind w:left="2268" w:hanging="1134"/>
        <w:rPr>
          <w:lang w:val="fr-FR"/>
        </w:rPr>
      </w:pPr>
      <w:r>
        <w:rPr>
          <w:lang w:val="fr-FR"/>
        </w:rPr>
        <w:t>2.6.4</w:t>
      </w:r>
      <w:r>
        <w:rPr>
          <w:lang w:val="fr-FR"/>
        </w:rPr>
        <w:tab/>
        <w:t>« </w:t>
      </w:r>
      <w:r w:rsidR="00D643A6" w:rsidRPr="00DE4822">
        <w:rPr>
          <w:i/>
          <w:lang w:val="fr-FR"/>
        </w:rPr>
        <w:t>Timonerie</w:t>
      </w:r>
      <w:r w:rsidR="00EC442C">
        <w:rPr>
          <w:i/>
          <w:lang w:val="fr-FR"/>
        </w:rPr>
        <w:t xml:space="preserve"> </w:t>
      </w:r>
      <w:r w:rsidR="00D643A6" w:rsidRPr="00DE4822">
        <w:rPr>
          <w:i/>
          <w:lang w:val="fr-FR"/>
        </w:rPr>
        <w:t>de</w:t>
      </w:r>
      <w:r w:rsidR="00EC442C">
        <w:rPr>
          <w:i/>
          <w:lang w:val="fr-FR"/>
        </w:rPr>
        <w:t xml:space="preserve"> </w:t>
      </w:r>
      <w:r w:rsidR="00D643A6" w:rsidRPr="00DE4822">
        <w:rPr>
          <w:i/>
          <w:lang w:val="fr-FR"/>
        </w:rPr>
        <w:t>direction</w:t>
      </w:r>
      <w:r w:rsidR="00EC442C">
        <w:rPr>
          <w:i/>
          <w:lang w:val="fr-FR"/>
        </w:rPr>
        <w:t xml:space="preserve"> </w:t>
      </w:r>
      <w:r w:rsidR="00D643A6" w:rsidRPr="00DE4822">
        <w:rPr>
          <w:i/>
          <w:lang w:val="fr-FR"/>
        </w:rPr>
        <w:t>mixte</w:t>
      </w:r>
      <w:r>
        <w:rPr>
          <w:lang w:val="fr-FR"/>
        </w:rPr>
        <w:t> »</w:t>
      </w:r>
      <w:r w:rsidR="00D643A6"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laquelle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partie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forces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transmise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l’un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moyens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susmentionnés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l’autre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partie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autre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ces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moyens.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Cependant,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si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partie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mécanique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timonerie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sert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uniquement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indiquer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l’angle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braquage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qu’elle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trop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faible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transmettre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l’ensemble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forces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direction,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ce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considéré,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selon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cas,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comme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timonerie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purement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hydraulique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purement</w:t>
      </w:r>
      <w:r w:rsidR="00EC442C">
        <w:rPr>
          <w:lang w:val="fr-FR"/>
        </w:rPr>
        <w:t xml:space="preserve"> </w:t>
      </w:r>
      <w:r w:rsidR="00D643A6" w:rsidRPr="00DE4822">
        <w:rPr>
          <w:lang w:val="fr-FR"/>
        </w:rPr>
        <w:t>électrique.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2.7</w:t>
      </w:r>
      <w:r w:rsidRPr="00DE4822">
        <w:rPr>
          <w:lang w:val="fr-FR"/>
        </w:rPr>
        <w:tab/>
        <w:t>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entend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="00573B27">
        <w:rPr>
          <w:lang w:val="fr-FR"/>
        </w:rPr>
        <w:t>« </w:t>
      </w:r>
      <w:r w:rsidR="00573B27" w:rsidRPr="00573B27">
        <w:rPr>
          <w:i/>
          <w:lang w:val="fr-FR"/>
        </w:rPr>
        <w:t>l</w:t>
      </w:r>
      <w:r w:rsidRPr="00573B27">
        <w:rPr>
          <w:i/>
          <w:lang w:val="fr-FR"/>
        </w:rPr>
        <w:t>igne</w:t>
      </w:r>
      <w:r w:rsidR="00EC442C" w:rsidRPr="00573B27">
        <w:rPr>
          <w:i/>
          <w:lang w:val="fr-FR"/>
        </w:rPr>
        <w:t xml:space="preserve"> </w:t>
      </w:r>
      <w:r w:rsidRPr="00573B27">
        <w:rPr>
          <w:i/>
          <w:lang w:val="fr-FR"/>
        </w:rPr>
        <w:t>de</w:t>
      </w:r>
      <w:r w:rsidR="00EC442C" w:rsidRPr="00573B27">
        <w:rPr>
          <w:i/>
          <w:lang w:val="fr-FR"/>
        </w:rPr>
        <w:t xml:space="preserve"> </w:t>
      </w:r>
      <w:r w:rsidRPr="00573B27">
        <w:rPr>
          <w:i/>
          <w:lang w:val="fr-FR"/>
        </w:rPr>
        <w:t>commande</w:t>
      </w:r>
      <w:r w:rsidR="00EC442C" w:rsidRPr="00573B27">
        <w:rPr>
          <w:i/>
          <w:lang w:val="fr-FR"/>
        </w:rPr>
        <w:t xml:space="preserve"> </w:t>
      </w:r>
      <w:r w:rsidRPr="00573B27">
        <w:rPr>
          <w:i/>
          <w:lang w:val="fr-FR"/>
        </w:rPr>
        <w:t>électrique</w:t>
      </w:r>
      <w:r w:rsidR="00573B27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connexion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fournit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englobe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câblages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raccords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comprend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organes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nécessaires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communication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données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l’alimentation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énergie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timonerie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remorque.</w:t>
      </w:r>
    </w:p>
    <w:p w:rsidR="00D643A6" w:rsidRPr="00DE4822" w:rsidRDefault="00D643A6" w:rsidP="00C20735">
      <w:pPr>
        <w:pStyle w:val="HChG"/>
        <w:ind w:left="2268"/>
        <w:rPr>
          <w:lang w:val="fr-FR"/>
        </w:rPr>
      </w:pPr>
      <w:r w:rsidRPr="00DE4822">
        <w:rPr>
          <w:lang w:val="fr-FR"/>
        </w:rPr>
        <w:t>3.</w:t>
      </w:r>
      <w:r w:rsidRPr="00DE4822">
        <w:rPr>
          <w:lang w:val="fr-FR"/>
        </w:rPr>
        <w:tab/>
        <w:t>Demande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d’homologation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3.1</w:t>
      </w:r>
      <w:r w:rsidRPr="00DE4822">
        <w:rPr>
          <w:lang w:val="fr-FR"/>
        </w:rPr>
        <w:tab/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type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concerne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constructeur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représentant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dûment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accrédité.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3.2</w:t>
      </w:r>
      <w:r w:rsidRPr="00DE4822">
        <w:rPr>
          <w:lang w:val="fr-FR"/>
        </w:rPr>
        <w:tab/>
        <w:t>Elle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accompagnée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pièces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mentionnées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ci</w:t>
      </w:r>
      <w:r w:rsidR="004D15A8">
        <w:rPr>
          <w:lang w:val="fr-FR"/>
        </w:rPr>
        <w:t>-</w:t>
      </w:r>
      <w:r w:rsidRPr="00DE4822">
        <w:rPr>
          <w:lang w:val="fr-FR"/>
        </w:rPr>
        <w:t>après,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triple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exemplaire,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informations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suivantes</w:t>
      </w:r>
      <w:r w:rsidR="00EC442C">
        <w:rPr>
          <w:lang w:val="fr-FR"/>
        </w:rPr>
        <w:t> :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3.2.1</w:t>
      </w:r>
      <w:r w:rsidRPr="00DE4822">
        <w:rPr>
          <w:lang w:val="fr-FR"/>
        </w:rPr>
        <w:tab/>
      </w:r>
      <w:r w:rsidR="00573B27" w:rsidRPr="00DE4822">
        <w:rPr>
          <w:lang w:val="fr-FR"/>
        </w:rPr>
        <w:t>Description</w:t>
      </w:r>
      <w:r w:rsidR="00573B27">
        <w:rPr>
          <w:lang w:val="fr-FR"/>
        </w:rPr>
        <w:t xml:space="preserve"> </w:t>
      </w:r>
      <w:r w:rsidRPr="00DE4822">
        <w:rPr>
          <w:lang w:val="fr-FR"/>
        </w:rPr>
        <w:t>détaillée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type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concerne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points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visés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2.2,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avec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indication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type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> ;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3.2.2</w:t>
      </w:r>
      <w:r w:rsidRPr="00DE4822">
        <w:rPr>
          <w:lang w:val="fr-FR"/>
        </w:rPr>
        <w:tab/>
      </w:r>
      <w:r w:rsidR="00573B27" w:rsidRPr="00DE4822">
        <w:rPr>
          <w:lang w:val="fr-FR"/>
        </w:rPr>
        <w:t>Brève</w:t>
      </w:r>
      <w:r w:rsidR="00573B27">
        <w:rPr>
          <w:lang w:val="fr-FR"/>
        </w:rPr>
        <w:t xml:space="preserve"> </w:t>
      </w:r>
      <w:r w:rsidRPr="00DE4822">
        <w:rPr>
          <w:lang w:val="fr-FR"/>
        </w:rPr>
        <w:t>description,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assortie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schéma,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l’ensemble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montrant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position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divers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organes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agissent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> ;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3.2.3</w:t>
      </w:r>
      <w:r w:rsidRPr="00DE4822">
        <w:rPr>
          <w:lang w:val="fr-FR"/>
        </w:rPr>
        <w:tab/>
      </w:r>
      <w:r w:rsidR="00573B27" w:rsidRPr="00DE4822">
        <w:rPr>
          <w:lang w:val="fr-FR"/>
        </w:rPr>
        <w:t>Dans</w:t>
      </w:r>
      <w:r w:rsidR="00573B27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d’équipements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servodirection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visés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l’annexe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6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aperçu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conception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mécanismes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sûreté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intégrés,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redondances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dispositifs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d’avertissement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nécessaires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sûr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véhicule.</w:t>
      </w:r>
      <w:r w:rsidR="00EC442C">
        <w:rPr>
          <w:lang w:val="fr-FR"/>
        </w:rPr>
        <w:t xml:space="preserve"> </w:t>
      </w:r>
    </w:p>
    <w:p w:rsidR="00D643A6" w:rsidRPr="00DE4822" w:rsidRDefault="00D643A6" w:rsidP="000476D9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fichiers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techniques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nécessaires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concernant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tels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pouvoir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examinés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l’autorité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chargée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type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et/ou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service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technique.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examen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confidentiel.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3.3</w:t>
      </w:r>
      <w:r w:rsidRPr="00DE4822">
        <w:rPr>
          <w:lang w:val="fr-FR"/>
        </w:rPr>
        <w:tab/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représentatif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type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homologuer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service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technique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chargé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réaliser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essais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d’homologation.</w:t>
      </w:r>
    </w:p>
    <w:p w:rsidR="00D643A6" w:rsidRPr="00DE4822" w:rsidRDefault="00D643A6" w:rsidP="00C20735">
      <w:pPr>
        <w:pStyle w:val="HChG"/>
        <w:ind w:left="2268"/>
        <w:rPr>
          <w:lang w:val="fr-FR"/>
        </w:rPr>
      </w:pPr>
      <w:r w:rsidRPr="00DE4822">
        <w:rPr>
          <w:lang w:val="fr-FR"/>
        </w:rPr>
        <w:t>4.</w:t>
      </w:r>
      <w:r w:rsidRPr="00DE4822">
        <w:rPr>
          <w:lang w:val="fr-FR"/>
        </w:rPr>
        <w:tab/>
        <w:t>Homologation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4.1</w:t>
      </w:r>
      <w:r w:rsidRPr="00DE4822">
        <w:rPr>
          <w:lang w:val="fr-FR"/>
        </w:rPr>
        <w:tab/>
        <w:t>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application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satisfait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celui</w:t>
      </w:r>
      <w:r w:rsidR="004D15A8">
        <w:rPr>
          <w:lang w:val="fr-FR"/>
        </w:rPr>
        <w:t>-</w:t>
      </w:r>
      <w:r w:rsidRPr="00DE4822">
        <w:rPr>
          <w:lang w:val="fr-FR"/>
        </w:rPr>
        <w:t>ci,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type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accordée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concerne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4.1.1</w:t>
      </w:r>
      <w:r w:rsidRPr="00DE4822">
        <w:rPr>
          <w:lang w:val="fr-FR"/>
        </w:rPr>
        <w:tab/>
        <w:t>Avant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accordée,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l’autorité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compétente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vérifier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dispositions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satisfaisantes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prises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assurer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contrôle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efficace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conformité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production,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énoncé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7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4.2</w:t>
      </w:r>
      <w:r w:rsidRPr="00DE4822">
        <w:rPr>
          <w:lang w:val="fr-FR"/>
        </w:rPr>
        <w:tab/>
        <w:t>Chaque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type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homologué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reçoit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numéro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d’homologation,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premiers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chiffres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(actuellement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02)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indiquent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série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d’amendements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correspondant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récentes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modifications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techniques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majeures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apportées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délivrance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l’homologation.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même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contractante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attribuer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numéro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type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lastRenderedPageBreak/>
        <w:t>même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type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avec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différent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celui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décrit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documents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3.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4.3</w:t>
      </w:r>
      <w:r w:rsidRPr="00DE4822">
        <w:rPr>
          <w:lang w:val="fr-FR"/>
        </w:rPr>
        <w:tab/>
        <w:t>L’homologation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l’extension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refus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type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application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notifié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l’Accord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1958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appliquant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moyen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fiche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conforme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modèle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reproduit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l’annexe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1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4.4</w:t>
      </w:r>
      <w:r w:rsidRPr="00DE4822">
        <w:rPr>
          <w:lang w:val="fr-FR"/>
        </w:rPr>
        <w:tab/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conforme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type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homologué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application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apposé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manière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bien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visible,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endroit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aisé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d’accès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indiqué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fiche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d’homologation,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marque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internationale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composée</w:t>
      </w:r>
      <w:r w:rsidR="00EC442C">
        <w:rPr>
          <w:lang w:val="fr-FR"/>
        </w:rPr>
        <w:t> :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4.4.1</w:t>
      </w:r>
      <w:r w:rsidRPr="00DE4822">
        <w:rPr>
          <w:lang w:val="fr-FR"/>
        </w:rPr>
        <w:tab/>
      </w:r>
      <w:r w:rsidR="00B77763" w:rsidRPr="00DE4822">
        <w:rPr>
          <w:lang w:val="fr-FR"/>
        </w:rPr>
        <w:t>D’un</w:t>
      </w:r>
      <w:r w:rsidR="00B77763">
        <w:rPr>
          <w:lang w:val="fr-FR"/>
        </w:rPr>
        <w:t xml:space="preserve"> </w:t>
      </w:r>
      <w:r w:rsidRPr="00DE4822">
        <w:rPr>
          <w:lang w:val="fr-FR"/>
        </w:rPr>
        <w:t>cercle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l’intérieur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duquel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placée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lettre</w:t>
      </w:r>
      <w:r w:rsidR="00EC442C">
        <w:rPr>
          <w:lang w:val="fr-FR"/>
        </w:rPr>
        <w:t xml:space="preserve"> </w:t>
      </w:r>
      <w:r w:rsidR="00573B27">
        <w:rPr>
          <w:lang w:val="fr-FR"/>
        </w:rPr>
        <w:t>« </w:t>
      </w:r>
      <w:r w:rsidRPr="00DE4822">
        <w:rPr>
          <w:lang w:val="fr-FR"/>
        </w:rPr>
        <w:t>E</w:t>
      </w:r>
      <w:r w:rsidR="00573B27">
        <w:rPr>
          <w:lang w:val="fr-FR"/>
        </w:rPr>
        <w:t> »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suivie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numéro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distinctif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pays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accordé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l’homologation</w:t>
      </w:r>
      <w:r w:rsidRPr="00DE4822">
        <w:rPr>
          <w:rStyle w:val="FootnoteReference"/>
        </w:rPr>
        <w:footnoteReference w:id="4"/>
      </w:r>
      <w:r w:rsidR="00EC442C">
        <w:rPr>
          <w:lang w:val="fr-FR"/>
        </w:rPr>
        <w:t> ;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4.4.2</w:t>
      </w:r>
      <w:r w:rsidRPr="00DE4822">
        <w:rPr>
          <w:lang w:val="fr-FR"/>
        </w:rPr>
        <w:tab/>
      </w:r>
      <w:r w:rsidR="00B77763" w:rsidRPr="00DE4822">
        <w:rPr>
          <w:lang w:val="fr-FR"/>
        </w:rPr>
        <w:t>Du</w:t>
      </w:r>
      <w:r w:rsidR="00B77763">
        <w:rPr>
          <w:lang w:val="fr-FR"/>
        </w:rPr>
        <w:t xml:space="preserve"> </w:t>
      </w:r>
      <w:r w:rsidRPr="00DE4822">
        <w:rPr>
          <w:lang w:val="fr-FR"/>
        </w:rPr>
        <w:t>numéro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suivi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lettre</w:t>
      </w:r>
      <w:r w:rsidR="00EC442C">
        <w:rPr>
          <w:lang w:val="fr-FR"/>
        </w:rPr>
        <w:t xml:space="preserve"> </w:t>
      </w:r>
      <w:r w:rsidR="00573B27">
        <w:rPr>
          <w:lang w:val="fr-FR"/>
        </w:rPr>
        <w:t>« </w:t>
      </w:r>
      <w:r w:rsidRPr="00DE4822">
        <w:rPr>
          <w:lang w:val="fr-FR"/>
        </w:rPr>
        <w:t>R</w:t>
      </w:r>
      <w:r w:rsidR="00573B27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tiret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numéro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d’homologation,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placé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droite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cercle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prévu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4.4.1.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4.5</w:t>
      </w:r>
      <w:r w:rsidRPr="00DE4822">
        <w:rPr>
          <w:lang w:val="fr-FR"/>
        </w:rPr>
        <w:tab/>
        <w:t>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conforme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type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homologué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application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plusieurs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autres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joints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annexe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l’Accord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pays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même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accordé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application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n’est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nécessaire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répéter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symbole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4.4.1</w:t>
      </w:r>
      <w:r w:rsidR="00EC442C">
        <w:rPr>
          <w:lang w:val="fr-FR"/>
        </w:rPr>
        <w:t xml:space="preserve"> ;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pareil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numéros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symboles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additionnels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lesquels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accordée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pays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accordé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application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inscrits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4D15A8">
        <w:rPr>
          <w:lang w:val="fr-FR"/>
        </w:rPr>
        <w:t>-</w:t>
      </w:r>
      <w:r w:rsidRPr="00DE4822">
        <w:rPr>
          <w:lang w:val="fr-FR"/>
        </w:rPr>
        <w:t>dessous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l’autre,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droite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symbole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4.4.1.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4.6</w:t>
      </w:r>
      <w:r w:rsidRPr="00DE4822">
        <w:rPr>
          <w:lang w:val="fr-FR"/>
        </w:rPr>
        <w:tab/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marque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nettement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lisible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indélébile.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4.7</w:t>
      </w:r>
      <w:r w:rsidRPr="00DE4822">
        <w:rPr>
          <w:lang w:val="fr-FR"/>
        </w:rPr>
        <w:tab/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marque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placée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plaque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signalétique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apposée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constructeur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proximité.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4.8</w:t>
      </w:r>
      <w:r w:rsidRPr="00DE4822">
        <w:rPr>
          <w:lang w:val="fr-FR"/>
        </w:rPr>
        <w:tab/>
        <w:t>L’annexe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2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donne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exemples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marques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d’homologation.</w:t>
      </w:r>
    </w:p>
    <w:p w:rsidR="00D643A6" w:rsidRPr="00DE4822" w:rsidRDefault="00D643A6" w:rsidP="00C20735">
      <w:pPr>
        <w:pStyle w:val="HChG"/>
        <w:ind w:left="2268"/>
        <w:rPr>
          <w:lang w:val="fr-FR"/>
        </w:rPr>
      </w:pPr>
      <w:r w:rsidRPr="00DE4822">
        <w:rPr>
          <w:lang w:val="fr-FR"/>
        </w:rPr>
        <w:t>5.</w:t>
      </w:r>
      <w:r w:rsidRPr="00DE4822">
        <w:rPr>
          <w:lang w:val="fr-FR"/>
        </w:rPr>
        <w:tab/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relatives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construction</w:t>
      </w:r>
    </w:p>
    <w:p w:rsidR="00D643A6" w:rsidRPr="00DE4822" w:rsidRDefault="00D643A6" w:rsidP="00E32E15">
      <w:pPr>
        <w:pStyle w:val="SingleTxtG"/>
        <w:ind w:left="2268" w:hanging="1134"/>
        <w:rPr>
          <w:u w:val="single"/>
          <w:lang w:val="fr-FR"/>
        </w:rPr>
      </w:pPr>
      <w:r w:rsidRPr="00DE4822">
        <w:rPr>
          <w:lang w:val="fr-FR"/>
        </w:rPr>
        <w:t>5.1</w:t>
      </w:r>
      <w:r w:rsidRPr="00DE4822">
        <w:rPr>
          <w:lang w:val="fr-FR"/>
        </w:rPr>
        <w:tab/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générales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5.1.1</w:t>
      </w:r>
      <w:r w:rsidRPr="00DE4822">
        <w:rPr>
          <w:lang w:val="fr-FR"/>
        </w:rPr>
        <w:tab/>
        <w:t>L’équipement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permettre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conduite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facile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sûre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jusqu’à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maximale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construction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jusqu’à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maximale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techniquement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autorisée.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type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rappel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automatique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lorsqu’il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soumis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essais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conformément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6.2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avec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intact.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satisfaire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6.2,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celles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6.3.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pourvu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auxiliaire,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aussi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satisfaire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l’annexe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4.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équipées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timoneries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hydrauliques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également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satisfaire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l’annexe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5.1.2</w:t>
      </w:r>
      <w:r w:rsidRPr="00DE4822">
        <w:rPr>
          <w:lang w:val="fr-FR"/>
        </w:rPr>
        <w:tab/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pouvoir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rouler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ligne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droite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correction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anormale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trajectoire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vibration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excessive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maximale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construction.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5.1.3</w:t>
      </w:r>
      <w:r w:rsidRPr="00DE4822">
        <w:rPr>
          <w:lang w:val="fr-FR"/>
        </w:rPr>
        <w:tab/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d’actionnement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correspondre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changement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voulu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y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avoir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relation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continue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l’angle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l’angle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braquage.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s’appliquent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comportent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lastRenderedPageBreak/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automatique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corrective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équipements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auxiliaires.</w:t>
      </w:r>
    </w:p>
    <w:p w:rsidR="00D643A6" w:rsidRPr="00DE4822" w:rsidRDefault="00D643A6" w:rsidP="000476D9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peuvent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aussi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s’appliquer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nécessairement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servodirection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lorsque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l’arrêt,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manœuvres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exécutées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dépassant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15</w:t>
      </w:r>
      <w:r w:rsidR="00D26D9C">
        <w:rPr>
          <w:lang w:val="fr-FR"/>
        </w:rPr>
        <w:t> </w:t>
      </w:r>
      <w:r w:rsidRPr="00DE4822">
        <w:rPr>
          <w:lang w:val="fr-FR"/>
        </w:rPr>
        <w:t>km/h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lorsque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n’est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activé.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5.1.4</w:t>
      </w:r>
      <w:r w:rsidRPr="00DE4822">
        <w:rPr>
          <w:lang w:val="fr-FR"/>
        </w:rPr>
        <w:tab/>
        <w:t>L’équipement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conçu,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construit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monté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manière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qu’il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puisse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supporter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contraintes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résultant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l’utilisation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normale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combinaison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véhicules.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L’angle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braquage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maximal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limité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aucune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timonerie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sauf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expressément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prévu.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Sauf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indication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contraire,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considère,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fins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qu’il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produire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essieux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même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boggie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constituent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seul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même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essieu.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5.1.5</w:t>
      </w:r>
      <w:r w:rsidRPr="00DE4822">
        <w:rPr>
          <w:lang w:val="fr-FR"/>
        </w:rPr>
        <w:tab/>
        <w:t>L’efficacité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y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compris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lignes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altérée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champs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magnétiques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électriques.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Cette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condition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remplie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s’il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satisfait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techniques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dispositions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transitoires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ONU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</w:t>
      </w:r>
      <w:r w:rsidRPr="00DE4822">
        <w:rPr>
          <w:vertAlign w:val="superscript"/>
          <w:lang w:val="fr-FR"/>
        </w:rPr>
        <w:t>o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10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appliquant</w:t>
      </w:r>
      <w:r w:rsidR="00EC442C">
        <w:rPr>
          <w:lang w:val="fr-FR"/>
        </w:rPr>
        <w:t> :</w:t>
      </w:r>
    </w:p>
    <w:p w:rsidR="00D643A6" w:rsidRPr="00DE4822" w:rsidRDefault="00D643A6" w:rsidP="005259CE">
      <w:pPr>
        <w:pStyle w:val="SingleTxtG"/>
        <w:ind w:left="2835" w:hanging="567"/>
        <w:rPr>
          <w:lang w:val="fr-FR"/>
        </w:rPr>
      </w:pPr>
      <w:r w:rsidRPr="00DE4822">
        <w:rPr>
          <w:lang w:val="fr-FR"/>
        </w:rPr>
        <w:t>a)</w:t>
      </w:r>
      <w:r w:rsidRPr="00DE4822">
        <w:rPr>
          <w:lang w:val="fr-FR"/>
        </w:rPr>
        <w:tab/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série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03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d’amendements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dépourvus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raccordement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recharge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rechargeable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stockage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l’énergie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(batteries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traction)</w:t>
      </w:r>
      <w:r w:rsidR="00EC442C">
        <w:rPr>
          <w:lang w:val="fr-FR"/>
        </w:rPr>
        <w:t> ;</w:t>
      </w:r>
    </w:p>
    <w:p w:rsidR="00D643A6" w:rsidRPr="00DE4822" w:rsidRDefault="00D643A6" w:rsidP="005259CE">
      <w:pPr>
        <w:pStyle w:val="SingleTxtG"/>
        <w:ind w:left="2835" w:hanging="567"/>
        <w:rPr>
          <w:lang w:val="fr-FR"/>
        </w:rPr>
      </w:pPr>
      <w:r w:rsidRPr="00DE4822">
        <w:rPr>
          <w:lang w:val="fr-FR"/>
        </w:rPr>
        <w:t>b)</w:t>
      </w:r>
      <w:r w:rsidRPr="00DE4822">
        <w:rPr>
          <w:lang w:val="fr-FR"/>
        </w:rPr>
        <w:tab/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série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04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d’amendements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équipés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raccordement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recharge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rechargeable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stockage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l’énergie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(batteries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traction).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5.1.6</w:t>
      </w:r>
      <w:r w:rsidRPr="00DE4822">
        <w:rPr>
          <w:lang w:val="fr-FR"/>
        </w:rPr>
        <w:tab/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actifs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d’aide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conduite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homologués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conformément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lorsque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cette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nuit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principal.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outre,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ils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conçus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façon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puisse,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moment,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délibérément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neutraliser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cette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5.1.6.1</w:t>
      </w:r>
      <w:r w:rsidRPr="00DE4822">
        <w:rPr>
          <w:lang w:val="fr-FR"/>
        </w:rPr>
        <w:tab/>
        <w:t>Tout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corrective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satisfaire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l’annexe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6.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5.1.6.1.1</w:t>
      </w:r>
      <w:r w:rsidRPr="00DE4822">
        <w:rPr>
          <w:lang w:val="fr-FR"/>
        </w:rPr>
        <w:tab/>
        <w:t>Chaque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intervention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corrective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immédiatement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indiquée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visuel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s’affichant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pendant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moins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1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durée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l’intervention,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longue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périodes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étant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retenue.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5.1.6.1.2</w:t>
      </w:r>
      <w:r w:rsidRPr="00DE4822">
        <w:rPr>
          <w:lang w:val="fr-FR"/>
        </w:rPr>
        <w:tab/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intervention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corrective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fondée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l’évaluation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l’emplacement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marques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limites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voie,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supplémentaires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suivantes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s’appliquent</w:t>
      </w:r>
      <w:r w:rsidR="00EC442C">
        <w:rPr>
          <w:lang w:val="fr-FR"/>
        </w:rPr>
        <w:t> :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5.1.6.1.2.1</w:t>
      </w:r>
      <w:r w:rsidRPr="00DE4822">
        <w:rPr>
          <w:lang w:val="fr-FR"/>
        </w:rPr>
        <w:tab/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intervention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durant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> :</w:t>
      </w:r>
    </w:p>
    <w:p w:rsidR="00D643A6" w:rsidRPr="00DE4822" w:rsidRDefault="00D643A6" w:rsidP="00D559A4">
      <w:pPr>
        <w:pStyle w:val="SingleTxtG"/>
        <w:ind w:left="2835" w:hanging="567"/>
        <w:rPr>
          <w:lang w:val="fr-FR"/>
        </w:rPr>
      </w:pPr>
      <w:r w:rsidRPr="00DE4822">
        <w:rPr>
          <w:lang w:val="fr-FR"/>
        </w:rPr>
        <w:t>a)</w:t>
      </w:r>
      <w:r w:rsidRPr="00DE4822">
        <w:rPr>
          <w:lang w:val="fr-FR"/>
        </w:rPr>
        <w:tab/>
        <w:t>10</w:t>
      </w:r>
      <w:r w:rsidR="00D26D9C">
        <w:rPr>
          <w:lang w:val="fr-FR"/>
        </w:rPr>
        <w:t> </w:t>
      </w:r>
      <w:r w:rsidRPr="00DE4822">
        <w:rPr>
          <w:lang w:val="fr-FR"/>
        </w:rPr>
        <w:t>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catégories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</w:t>
      </w:r>
      <w:r w:rsidRPr="00DE4822">
        <w:rPr>
          <w:vertAlign w:val="subscript"/>
          <w:lang w:val="fr-FR"/>
        </w:rPr>
        <w:t>1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</w:t>
      </w:r>
      <w:r w:rsidRPr="00DE4822">
        <w:rPr>
          <w:vertAlign w:val="subscript"/>
          <w:lang w:val="fr-FR"/>
        </w:rPr>
        <w:t>1</w:t>
      </w:r>
      <w:r w:rsidR="00C11C8D" w:rsidRPr="00C11C8D">
        <w:t> ;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</w:p>
    <w:p w:rsidR="00D643A6" w:rsidRPr="00DE4822" w:rsidRDefault="00D643A6" w:rsidP="00D559A4">
      <w:pPr>
        <w:pStyle w:val="SingleTxtG"/>
        <w:ind w:left="2835" w:hanging="567"/>
        <w:rPr>
          <w:lang w:val="fr-FR"/>
        </w:rPr>
      </w:pPr>
      <w:r w:rsidRPr="00DE4822">
        <w:rPr>
          <w:lang w:val="fr-FR"/>
        </w:rPr>
        <w:t>b)</w:t>
      </w:r>
      <w:r w:rsidRPr="00DE4822">
        <w:rPr>
          <w:lang w:val="fr-FR"/>
        </w:rPr>
        <w:tab/>
        <w:t>30</w:t>
      </w:r>
      <w:r w:rsidR="00D26D9C">
        <w:rPr>
          <w:lang w:val="fr-FR"/>
        </w:rPr>
        <w:t> </w:t>
      </w:r>
      <w:r w:rsidRPr="00DE4822">
        <w:rPr>
          <w:lang w:val="fr-FR"/>
        </w:rPr>
        <w:t>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catégories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</w:t>
      </w:r>
      <w:r w:rsidRPr="00DE4822">
        <w:rPr>
          <w:vertAlign w:val="subscript"/>
          <w:lang w:val="fr-FR"/>
        </w:rPr>
        <w:t>2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</w:t>
      </w:r>
      <w:r w:rsidRPr="00DE4822">
        <w:rPr>
          <w:vertAlign w:val="subscript"/>
          <w:lang w:val="fr-FR"/>
        </w:rPr>
        <w:t>3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</w:t>
      </w:r>
      <w:r w:rsidRPr="00DE4822">
        <w:rPr>
          <w:vertAlign w:val="subscript"/>
          <w:lang w:val="fr-FR"/>
        </w:rPr>
        <w:t>2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</w:t>
      </w:r>
      <w:r w:rsidRPr="00DE4822">
        <w:rPr>
          <w:vertAlign w:val="subscript"/>
          <w:lang w:val="fr-FR"/>
        </w:rPr>
        <w:t>3</w:t>
      </w:r>
      <w:r w:rsidRPr="00DE4822">
        <w:rPr>
          <w:lang w:val="fr-FR"/>
        </w:rPr>
        <w:t>,</w:t>
      </w:r>
    </w:p>
    <w:p w:rsidR="00D643A6" w:rsidRPr="00DE4822" w:rsidRDefault="00D643A6" w:rsidP="000476D9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d’avertissement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sonore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émis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jusqu’à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fin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l’intervention.</w:t>
      </w:r>
      <w:r w:rsidR="00EC442C">
        <w:rPr>
          <w:lang w:val="fr-FR"/>
        </w:rPr>
        <w:t xml:space="preserve"> 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5.1.6.1.2.2</w:t>
      </w:r>
      <w:r w:rsidRPr="00DE4822">
        <w:rPr>
          <w:lang w:val="fr-FR"/>
        </w:rPr>
        <w:tab/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interventions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consécutives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produisant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intervalle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glissant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180</w:t>
      </w:r>
      <w:r w:rsidR="00D26D9C">
        <w:rPr>
          <w:lang w:val="fr-FR"/>
        </w:rPr>
        <w:t> </w:t>
      </w:r>
      <w:r w:rsidRPr="00DE4822">
        <w:rPr>
          <w:lang w:val="fr-FR"/>
        </w:rPr>
        <w:t>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l’absence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durant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l’intervention,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d’avertissement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sonore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émis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cours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deuxième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intervention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intervention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intervalle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glissant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180</w:t>
      </w:r>
      <w:r w:rsidR="00D26D9C">
        <w:rPr>
          <w:lang w:val="fr-FR"/>
        </w:rPr>
        <w:t> </w:t>
      </w:r>
      <w:r w:rsidRPr="00DE4822">
        <w:rPr>
          <w:lang w:val="fr-FR"/>
        </w:rPr>
        <w:t>s.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troisième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intervention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durant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interventions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suivantes),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sonore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poursuivre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pendant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moins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10</w:t>
      </w:r>
      <w:r w:rsidR="00D26D9C">
        <w:rPr>
          <w:lang w:val="fr-FR"/>
        </w:rPr>
        <w:t> </w:t>
      </w:r>
      <w:r w:rsidRPr="00DE4822">
        <w:rPr>
          <w:lang w:val="fr-FR"/>
        </w:rPr>
        <w:t>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d’avertissement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précédent.</w:t>
      </w:r>
      <w:r w:rsidR="00EC442C">
        <w:rPr>
          <w:lang w:val="fr-FR"/>
        </w:rPr>
        <w:t xml:space="preserve"> 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BD1FBA">
        <w:rPr>
          <w:lang w:val="fr-FR"/>
        </w:rPr>
        <w:lastRenderedPageBreak/>
        <w:t>5.1.6.1.3</w:t>
      </w:r>
      <w:r w:rsidRPr="00BD1FBA">
        <w:rPr>
          <w:lang w:val="fr-FR"/>
        </w:rPr>
        <w:tab/>
        <w:t>La</w:t>
      </w:r>
      <w:r w:rsidR="00EC442C" w:rsidRPr="00BD1FBA">
        <w:rPr>
          <w:lang w:val="fr-FR"/>
        </w:rPr>
        <w:t xml:space="preserve"> </w:t>
      </w:r>
      <w:r w:rsidRPr="00BD1FBA">
        <w:rPr>
          <w:lang w:val="fr-FR"/>
        </w:rPr>
        <w:t>force</w:t>
      </w:r>
      <w:r w:rsidR="00EC442C" w:rsidRPr="00BD1FBA">
        <w:rPr>
          <w:lang w:val="fr-FR"/>
        </w:rPr>
        <w:t xml:space="preserve"> </w:t>
      </w:r>
      <w:r w:rsidRPr="00BD1FBA">
        <w:rPr>
          <w:lang w:val="fr-FR"/>
        </w:rPr>
        <w:t>à</w:t>
      </w:r>
      <w:r w:rsidR="00EC442C" w:rsidRPr="00BD1FBA">
        <w:rPr>
          <w:lang w:val="fr-FR"/>
        </w:rPr>
        <w:t xml:space="preserve"> </w:t>
      </w:r>
      <w:r w:rsidRPr="00BD1FBA">
        <w:rPr>
          <w:lang w:val="fr-FR"/>
        </w:rPr>
        <w:t>exercer</w:t>
      </w:r>
      <w:r w:rsidR="00EC442C" w:rsidRPr="00BD1FBA">
        <w:rPr>
          <w:lang w:val="fr-FR"/>
        </w:rPr>
        <w:t xml:space="preserve"> </w:t>
      </w:r>
      <w:r w:rsidRPr="00BD1FBA">
        <w:rPr>
          <w:lang w:val="fr-FR"/>
        </w:rPr>
        <w:t>sur</w:t>
      </w:r>
      <w:r w:rsidR="00EC442C" w:rsidRPr="00BD1FBA">
        <w:rPr>
          <w:lang w:val="fr-FR"/>
        </w:rPr>
        <w:t xml:space="preserve"> </w:t>
      </w:r>
      <w:r w:rsidRPr="00BD1FBA">
        <w:rPr>
          <w:lang w:val="fr-FR"/>
        </w:rPr>
        <w:t>la</w:t>
      </w:r>
      <w:r w:rsidR="00EC442C" w:rsidRPr="00BD1FBA">
        <w:rPr>
          <w:lang w:val="fr-FR"/>
        </w:rPr>
        <w:t xml:space="preserve"> </w:t>
      </w:r>
      <w:r w:rsidRPr="00BD1FBA">
        <w:rPr>
          <w:lang w:val="fr-FR"/>
        </w:rPr>
        <w:t>commande</w:t>
      </w:r>
      <w:r w:rsidR="00EC442C" w:rsidRPr="00BD1FBA">
        <w:rPr>
          <w:lang w:val="fr-FR"/>
        </w:rPr>
        <w:t xml:space="preserve"> </w:t>
      </w:r>
      <w:r w:rsidRPr="00BD1FBA">
        <w:rPr>
          <w:lang w:val="fr-FR"/>
        </w:rPr>
        <w:t>de</w:t>
      </w:r>
      <w:r w:rsidR="00EC442C" w:rsidRPr="00BD1FBA">
        <w:rPr>
          <w:lang w:val="fr-FR"/>
        </w:rPr>
        <w:t xml:space="preserve"> </w:t>
      </w:r>
      <w:r w:rsidRPr="00BD1FBA">
        <w:rPr>
          <w:lang w:val="fr-FR"/>
        </w:rPr>
        <w:t>direction</w:t>
      </w:r>
      <w:r w:rsidR="00EC442C" w:rsidRPr="00BD1FBA">
        <w:rPr>
          <w:lang w:val="fr-FR"/>
        </w:rPr>
        <w:t xml:space="preserve"> </w:t>
      </w:r>
      <w:r w:rsidRPr="00BD1FBA">
        <w:rPr>
          <w:lang w:val="fr-FR"/>
        </w:rPr>
        <w:t>pour</w:t>
      </w:r>
      <w:r w:rsidR="00EC442C" w:rsidRPr="00BD1FBA">
        <w:rPr>
          <w:lang w:val="fr-FR"/>
        </w:rPr>
        <w:t xml:space="preserve"> </w:t>
      </w:r>
      <w:r w:rsidRPr="00BD1FBA">
        <w:rPr>
          <w:lang w:val="fr-FR"/>
        </w:rPr>
        <w:t>neutraliser</w:t>
      </w:r>
      <w:r w:rsidR="00EC442C" w:rsidRPr="00BD1FBA">
        <w:rPr>
          <w:lang w:val="fr-FR"/>
        </w:rPr>
        <w:t xml:space="preserve"> </w:t>
      </w:r>
      <w:r w:rsidRPr="00BD1FBA">
        <w:rPr>
          <w:lang w:val="fr-FR"/>
        </w:rPr>
        <w:t>le</w:t>
      </w:r>
      <w:r w:rsidR="00EC442C" w:rsidRPr="00BD1FBA">
        <w:rPr>
          <w:lang w:val="fr-FR"/>
        </w:rPr>
        <w:t xml:space="preserve"> </w:t>
      </w:r>
      <w:r w:rsidRPr="00BD1FBA">
        <w:rPr>
          <w:lang w:val="fr-FR"/>
        </w:rPr>
        <w:t>contrôle</w:t>
      </w:r>
      <w:r w:rsidR="00EC442C" w:rsidRPr="00BD1FBA">
        <w:rPr>
          <w:lang w:val="fr-FR"/>
        </w:rPr>
        <w:t xml:space="preserve"> </w:t>
      </w:r>
      <w:r w:rsidRPr="00BD1FBA">
        <w:rPr>
          <w:lang w:val="fr-FR"/>
        </w:rPr>
        <w:t>de</w:t>
      </w:r>
      <w:r w:rsidR="00EC442C" w:rsidRPr="00BD1FBA">
        <w:rPr>
          <w:lang w:val="fr-FR"/>
        </w:rPr>
        <w:t xml:space="preserve"> </w:t>
      </w:r>
      <w:r w:rsidRPr="00BD1FBA">
        <w:rPr>
          <w:lang w:val="fr-FR"/>
        </w:rPr>
        <w:t>la</w:t>
      </w:r>
      <w:r w:rsidR="00EC442C" w:rsidRPr="00BD1FBA">
        <w:rPr>
          <w:lang w:val="fr-FR"/>
        </w:rPr>
        <w:t xml:space="preserve"> </w:t>
      </w:r>
      <w:r w:rsidRPr="00BD1FBA">
        <w:rPr>
          <w:lang w:val="fr-FR"/>
        </w:rPr>
        <w:t>trajectoire</w:t>
      </w:r>
      <w:r w:rsidR="00EC442C" w:rsidRPr="00BD1FBA">
        <w:rPr>
          <w:lang w:val="fr-FR"/>
        </w:rPr>
        <w:t xml:space="preserve"> </w:t>
      </w:r>
      <w:r w:rsidRPr="00BD1FBA">
        <w:rPr>
          <w:lang w:val="fr-FR"/>
        </w:rPr>
        <w:t>effectué</w:t>
      </w:r>
      <w:r w:rsidR="00EC442C" w:rsidRPr="00BD1FBA">
        <w:rPr>
          <w:lang w:val="fr-FR"/>
        </w:rPr>
        <w:t xml:space="preserve"> </w:t>
      </w:r>
      <w:r w:rsidRPr="00BD1FBA">
        <w:rPr>
          <w:lang w:val="fr-FR"/>
        </w:rPr>
        <w:t>par</w:t>
      </w:r>
      <w:r w:rsidR="00EC442C" w:rsidRPr="00BD1FBA">
        <w:rPr>
          <w:lang w:val="fr-FR"/>
        </w:rPr>
        <w:t xml:space="preserve"> </w:t>
      </w:r>
      <w:r w:rsidRPr="00BD1FBA">
        <w:rPr>
          <w:lang w:val="fr-FR"/>
        </w:rPr>
        <w:t>le</w:t>
      </w:r>
      <w:r w:rsidR="00EC442C" w:rsidRPr="00BD1FBA">
        <w:rPr>
          <w:lang w:val="fr-FR"/>
        </w:rPr>
        <w:t xml:space="preserve"> </w:t>
      </w:r>
      <w:r w:rsidRPr="00BD1FBA">
        <w:rPr>
          <w:lang w:val="fr-FR"/>
        </w:rPr>
        <w:t>système</w:t>
      </w:r>
      <w:r w:rsidR="00EC442C" w:rsidRPr="00BD1FBA">
        <w:rPr>
          <w:lang w:val="fr-FR"/>
        </w:rPr>
        <w:t xml:space="preserve"> </w:t>
      </w:r>
      <w:r w:rsidRPr="00BD1FBA">
        <w:rPr>
          <w:lang w:val="fr-FR"/>
        </w:rPr>
        <w:t>ne</w:t>
      </w:r>
      <w:r w:rsidR="00EC442C" w:rsidRPr="00BD1FBA">
        <w:rPr>
          <w:lang w:val="fr-FR"/>
        </w:rPr>
        <w:t xml:space="preserve"> </w:t>
      </w:r>
      <w:r w:rsidRPr="00BD1FBA">
        <w:rPr>
          <w:lang w:val="fr-FR"/>
        </w:rPr>
        <w:t>doit</w:t>
      </w:r>
      <w:r w:rsidR="00EC442C" w:rsidRPr="00BD1FBA">
        <w:rPr>
          <w:lang w:val="fr-FR"/>
        </w:rPr>
        <w:t xml:space="preserve"> </w:t>
      </w:r>
      <w:r w:rsidRPr="00BD1FBA">
        <w:rPr>
          <w:lang w:val="fr-FR"/>
        </w:rPr>
        <w:t>pas</w:t>
      </w:r>
      <w:r w:rsidR="00EC442C" w:rsidRPr="00BD1FBA">
        <w:rPr>
          <w:lang w:val="fr-FR"/>
        </w:rPr>
        <w:t xml:space="preserve"> </w:t>
      </w:r>
      <w:r w:rsidRPr="00BD1FBA">
        <w:rPr>
          <w:lang w:val="fr-FR"/>
        </w:rPr>
        <w:t>être</w:t>
      </w:r>
      <w:r w:rsidR="00EC442C" w:rsidRPr="00BD1FBA">
        <w:rPr>
          <w:lang w:val="fr-FR"/>
        </w:rPr>
        <w:t xml:space="preserve"> </w:t>
      </w:r>
      <w:r w:rsidRPr="00BD1FBA">
        <w:rPr>
          <w:lang w:val="fr-FR"/>
        </w:rPr>
        <w:t>supérieure</w:t>
      </w:r>
      <w:r w:rsidR="00EC442C" w:rsidRPr="00BD1FBA">
        <w:rPr>
          <w:lang w:val="fr-FR"/>
        </w:rPr>
        <w:t xml:space="preserve"> </w:t>
      </w:r>
      <w:r w:rsidRPr="00BD1FBA">
        <w:rPr>
          <w:lang w:val="fr-FR"/>
        </w:rPr>
        <w:t>à</w:t>
      </w:r>
      <w:r w:rsidR="00EC442C" w:rsidRPr="00BD1FBA">
        <w:rPr>
          <w:lang w:val="fr-FR"/>
        </w:rPr>
        <w:t xml:space="preserve"> </w:t>
      </w:r>
      <w:r w:rsidRPr="00BD1FBA">
        <w:rPr>
          <w:lang w:val="fr-FR"/>
        </w:rPr>
        <w:t>50</w:t>
      </w:r>
      <w:r w:rsidR="00D26D9C" w:rsidRPr="00BD1FBA">
        <w:rPr>
          <w:lang w:val="fr-FR"/>
        </w:rPr>
        <w:t> </w:t>
      </w:r>
      <w:r w:rsidRPr="00BD1FBA">
        <w:rPr>
          <w:lang w:val="fr-FR"/>
        </w:rPr>
        <w:t>N</w:t>
      </w:r>
      <w:r w:rsidR="00EC442C" w:rsidRPr="00BD1FBA">
        <w:rPr>
          <w:lang w:val="fr-FR"/>
        </w:rPr>
        <w:t xml:space="preserve"> </w:t>
      </w:r>
      <w:r w:rsidRPr="00BD1FBA">
        <w:rPr>
          <w:lang w:val="fr-FR"/>
        </w:rPr>
        <w:t>dans</w:t>
      </w:r>
      <w:r w:rsidR="00EC442C" w:rsidRPr="00BD1FBA">
        <w:rPr>
          <w:lang w:val="fr-FR"/>
        </w:rPr>
        <w:t xml:space="preserve"> </w:t>
      </w:r>
      <w:r w:rsidRPr="00BD1FBA">
        <w:rPr>
          <w:lang w:val="fr-FR"/>
        </w:rPr>
        <w:t>toutes</w:t>
      </w:r>
      <w:r w:rsidR="00EC442C" w:rsidRPr="00BD1FBA">
        <w:rPr>
          <w:lang w:val="fr-FR"/>
        </w:rPr>
        <w:t xml:space="preserve"> </w:t>
      </w:r>
      <w:r w:rsidRPr="00BD1FBA">
        <w:rPr>
          <w:lang w:val="fr-FR"/>
        </w:rPr>
        <w:t>les</w:t>
      </w:r>
      <w:r w:rsidR="00EC442C" w:rsidRPr="00BD1FBA">
        <w:rPr>
          <w:lang w:val="fr-FR"/>
        </w:rPr>
        <w:t xml:space="preserve"> </w:t>
      </w:r>
      <w:r w:rsidRPr="00BD1FBA">
        <w:rPr>
          <w:lang w:val="fr-FR"/>
        </w:rPr>
        <w:t>opérations</w:t>
      </w:r>
      <w:r w:rsidR="00EC442C" w:rsidRPr="00BD1FBA">
        <w:rPr>
          <w:lang w:val="fr-FR"/>
        </w:rPr>
        <w:t xml:space="preserve"> </w:t>
      </w:r>
      <w:r w:rsidRPr="00BD1FBA">
        <w:rPr>
          <w:lang w:val="fr-FR"/>
        </w:rPr>
        <w:t>de</w:t>
      </w:r>
      <w:r w:rsidR="00EC442C" w:rsidRPr="00BD1FBA">
        <w:rPr>
          <w:lang w:val="fr-FR"/>
        </w:rPr>
        <w:t xml:space="preserve"> </w:t>
      </w:r>
      <w:r w:rsidRPr="00BD1FBA">
        <w:rPr>
          <w:lang w:val="fr-FR"/>
        </w:rPr>
        <w:t>la</w:t>
      </w:r>
      <w:r w:rsidR="00EC442C" w:rsidRPr="00BD1FBA">
        <w:rPr>
          <w:lang w:val="fr-FR"/>
        </w:rPr>
        <w:t xml:space="preserve"> </w:t>
      </w:r>
      <w:r w:rsidRPr="00BD1FBA">
        <w:rPr>
          <w:lang w:val="fr-FR"/>
        </w:rPr>
        <w:t>fonction</w:t>
      </w:r>
      <w:r w:rsidR="00EC442C" w:rsidRPr="00BD1FBA">
        <w:rPr>
          <w:lang w:val="fr-FR"/>
        </w:rPr>
        <w:t xml:space="preserve"> </w:t>
      </w:r>
      <w:r w:rsidRPr="00BD1FBA">
        <w:rPr>
          <w:lang w:val="fr-FR"/>
        </w:rPr>
        <w:t>de</w:t>
      </w:r>
      <w:r w:rsidR="00EC442C" w:rsidRPr="00BD1FBA">
        <w:rPr>
          <w:lang w:val="fr-FR"/>
        </w:rPr>
        <w:t xml:space="preserve"> </w:t>
      </w:r>
      <w:r w:rsidRPr="00BD1FBA">
        <w:rPr>
          <w:lang w:val="fr-FR"/>
        </w:rPr>
        <w:t>direction</w:t>
      </w:r>
      <w:r w:rsidR="00EC442C" w:rsidRPr="00BD1FBA">
        <w:rPr>
          <w:lang w:val="fr-FR"/>
        </w:rPr>
        <w:t xml:space="preserve"> </w:t>
      </w:r>
      <w:r w:rsidRPr="00BD1FBA">
        <w:rPr>
          <w:lang w:val="fr-FR"/>
        </w:rPr>
        <w:t>corrective.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5.1.6.1.4</w:t>
      </w:r>
      <w:r w:rsidRPr="00DE4822">
        <w:rPr>
          <w:lang w:val="fr-FR"/>
        </w:rPr>
        <w:tab/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5.1.6.1.1,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5.1.6.1.2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5.1.6.1.3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ci</w:t>
      </w:r>
      <w:r w:rsidR="004D15A8">
        <w:rPr>
          <w:lang w:val="fr-FR"/>
        </w:rPr>
        <w:t>-</w:t>
      </w:r>
      <w:r w:rsidRPr="00DE4822">
        <w:rPr>
          <w:lang w:val="fr-FR"/>
        </w:rPr>
        <w:t>dessus,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dépendent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l’évaluation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l’emplacement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marques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routières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limites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voie,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vérifiées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conformément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l’essai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essais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pertinents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décrits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l’annexe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8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5.1.7</w:t>
      </w:r>
      <w:r w:rsidRPr="00DE4822">
        <w:rPr>
          <w:lang w:val="fr-FR"/>
        </w:rPr>
        <w:tab/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tracteurs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équipés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raccord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destiné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alimenter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énergie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utilisant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l’énergie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alimenter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satisfaire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pertinentes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l’annexe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7.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5.1.8</w:t>
      </w:r>
      <w:r w:rsidRPr="00DE4822">
        <w:rPr>
          <w:lang w:val="fr-FR"/>
        </w:rPr>
        <w:tab/>
        <w:t>Timonerie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5.1.8.1</w:t>
      </w:r>
      <w:r w:rsidRPr="00DE4822">
        <w:rPr>
          <w:lang w:val="fr-FR"/>
        </w:rPr>
        <w:tab/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dispositifs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réglage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géométrie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tels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qu’après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réglage,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éléments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réglables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soient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solidement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fixés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autres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dispositifs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verrouillage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appropriés.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5.1.8.2</w:t>
      </w:r>
      <w:r w:rsidRPr="00DE4822">
        <w:rPr>
          <w:lang w:val="fr-FR"/>
        </w:rPr>
        <w:tab/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timoneries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peuvent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déconnectées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s’adapter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différentes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configurations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(semi</w:t>
      </w:r>
      <w:r w:rsidR="004D15A8">
        <w:rPr>
          <w:lang w:val="fr-FR"/>
        </w:rPr>
        <w:t>-</w:t>
      </w:r>
      <w:r w:rsidRPr="00DE4822">
        <w:rPr>
          <w:lang w:val="fr-FR"/>
        </w:rPr>
        <w:t>remorques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extensibles,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exemple)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comporter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dispositifs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verrouillage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assurent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repositionnement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exact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organes.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Lorsque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verrouillage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automatique,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y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avoir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verrou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sécurité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supplémentaire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actionné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manuellement.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5.1.9</w:t>
      </w:r>
      <w:r w:rsidRPr="00DE4822">
        <w:rPr>
          <w:lang w:val="fr-FR"/>
        </w:rPr>
        <w:tab/>
        <w:t>Roues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directrices</w:t>
      </w:r>
    </w:p>
    <w:p w:rsidR="00D643A6" w:rsidRPr="00DE4822" w:rsidRDefault="00D643A6" w:rsidP="000476D9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arrière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seules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directrices.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Cette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s’applique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semi</w:t>
      </w:r>
      <w:r w:rsidR="004D15A8">
        <w:rPr>
          <w:lang w:val="fr-FR"/>
        </w:rPr>
        <w:t>-</w:t>
      </w:r>
      <w:r w:rsidRPr="00DE4822">
        <w:rPr>
          <w:lang w:val="fr-FR"/>
        </w:rPr>
        <w:t>remorques.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5.1.10</w:t>
      </w:r>
      <w:r w:rsidRPr="00DE4822">
        <w:rPr>
          <w:lang w:val="fr-FR"/>
        </w:rPr>
        <w:tab/>
        <w:t>Alimentation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énergie</w:t>
      </w:r>
    </w:p>
    <w:p w:rsidR="00D643A6" w:rsidRPr="00DE4822" w:rsidRDefault="00D643A6" w:rsidP="000476D9">
      <w:pPr>
        <w:pStyle w:val="SingleTxtG"/>
        <w:ind w:left="2268"/>
        <w:rPr>
          <w:b/>
          <w:bCs/>
          <w:lang w:val="fr-FR"/>
        </w:rPr>
      </w:pP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même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source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d’énergie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utilisée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alimenter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d’autres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systèmes.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Toutefois,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quelconque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ayant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même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source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d’énergie,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assurée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conformément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pertinentes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relatives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énoncées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5.3.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5.1.11</w:t>
      </w:r>
      <w:r w:rsidRPr="00DE4822">
        <w:rPr>
          <w:lang w:val="fr-FR"/>
        </w:rPr>
        <w:tab/>
        <w:t>Systèmes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</w:p>
    <w:p w:rsidR="00D643A6" w:rsidRPr="00DE4822" w:rsidRDefault="00D643A6" w:rsidP="000476D9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l’annexe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6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appliquées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aspects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relatifs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sécurité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électronique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assurent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timonerie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partie,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y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compris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actifs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d’aide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conduite.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Toutefois,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utilisent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garantir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niveau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élevé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stabilité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l’objet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l’annexe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6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mesure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où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ils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effet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tels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fournis,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ils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désactivés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durant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essais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type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B766B9">
        <w:rPr>
          <w:lang w:val="fr-FR"/>
        </w:rPr>
        <w:t> </w:t>
      </w:r>
      <w:r w:rsidRPr="00DE4822">
        <w:rPr>
          <w:lang w:val="fr-FR"/>
        </w:rPr>
        <w:t>direction.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5.2</w:t>
      </w:r>
      <w:r w:rsidRPr="00DE4822">
        <w:rPr>
          <w:lang w:val="fr-FR"/>
        </w:rPr>
        <w:tab/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particulières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remorques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5.2.1</w:t>
      </w:r>
      <w:r w:rsidRPr="00DE4822">
        <w:rPr>
          <w:lang w:val="fr-FR"/>
        </w:rPr>
        <w:tab/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l’exception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semi</w:t>
      </w:r>
      <w:r w:rsidR="004D15A8">
        <w:rPr>
          <w:lang w:val="fr-FR"/>
        </w:rPr>
        <w:t>-</w:t>
      </w:r>
      <w:r w:rsidRPr="00DE4822">
        <w:rPr>
          <w:lang w:val="fr-FR"/>
        </w:rPr>
        <w:t>remorques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essieu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central)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essieu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directrices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ainsi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semi</w:t>
      </w:r>
      <w:r w:rsidR="00BD1FBA">
        <w:rPr>
          <w:lang w:val="fr-FR"/>
        </w:rPr>
        <w:noBreakHyphen/>
      </w:r>
      <w:r w:rsidRPr="00DE4822">
        <w:rPr>
          <w:lang w:val="fr-FR"/>
        </w:rPr>
        <w:t>remorques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essieu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central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moins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essieu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directrices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satisfaire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énoncées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6.3.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Toutefois,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d’autodirection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dispensées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l’essai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prévu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6.3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répartition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charge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essieux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directeurs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essieux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autodirigés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égale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supérieure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1,6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conditions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charge.</w:t>
      </w:r>
    </w:p>
    <w:p w:rsidR="00D643A6" w:rsidRPr="00DE4822" w:rsidRDefault="00D643A6" w:rsidP="000476D9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Toutefois,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d’autodirection,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répartition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charge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essieux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directeurs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essieux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directeurs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articulés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essieux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directeurs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friction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moins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1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conditions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B766B9">
        <w:rPr>
          <w:lang w:val="fr-FR"/>
        </w:rPr>
        <w:t> </w:t>
      </w:r>
      <w:r w:rsidRPr="00DE4822">
        <w:rPr>
          <w:lang w:val="fr-FR"/>
        </w:rPr>
        <w:t>charge.</w:t>
      </w:r>
    </w:p>
    <w:p w:rsidR="00D643A6" w:rsidRPr="00DE4822" w:rsidRDefault="00D643A6" w:rsidP="00E32E15">
      <w:pPr>
        <w:pStyle w:val="SingleTxtG"/>
        <w:ind w:left="2268" w:hanging="1134"/>
      </w:pPr>
      <w:r w:rsidRPr="00DE4822">
        <w:lastRenderedPageBreak/>
        <w:t>5.2.2</w:t>
      </w:r>
      <w:r w:rsidRPr="00DE4822">
        <w:tab/>
        <w:t>Lorsque</w:t>
      </w:r>
      <w:r w:rsidR="00EC442C">
        <w:t xml:space="preserve"> </w:t>
      </w:r>
      <w:r w:rsidRPr="00DE4822">
        <w:t>le</w:t>
      </w:r>
      <w:r w:rsidR="00EC442C">
        <w:t xml:space="preserve"> </w:t>
      </w:r>
      <w:r w:rsidRPr="00DE4822">
        <w:t>tracteur</w:t>
      </w:r>
      <w:r w:rsidR="00EC442C">
        <w:t xml:space="preserve"> </w:t>
      </w:r>
      <w:r w:rsidRPr="00DE4822">
        <w:t>d’un</w:t>
      </w:r>
      <w:r w:rsidR="00EC442C">
        <w:t xml:space="preserve"> </w:t>
      </w:r>
      <w:r w:rsidRPr="00DE4822">
        <w:t>ensemble</w:t>
      </w:r>
      <w:r w:rsidR="00EC442C">
        <w:t xml:space="preserve"> </w:t>
      </w:r>
      <w:r w:rsidRPr="00DE4822">
        <w:t>de</w:t>
      </w:r>
      <w:r w:rsidR="00EC442C">
        <w:t xml:space="preserve"> </w:t>
      </w:r>
      <w:r w:rsidRPr="00DE4822">
        <w:t>véhicules</w:t>
      </w:r>
      <w:r w:rsidR="00EC442C">
        <w:t xml:space="preserve"> </w:t>
      </w:r>
      <w:r w:rsidRPr="00DE4822">
        <w:t>roule</w:t>
      </w:r>
      <w:r w:rsidR="00EC442C">
        <w:t xml:space="preserve"> </w:t>
      </w:r>
      <w:r w:rsidRPr="00DE4822">
        <w:t>en</w:t>
      </w:r>
      <w:r w:rsidR="00EC442C">
        <w:t xml:space="preserve"> </w:t>
      </w:r>
      <w:r w:rsidRPr="00DE4822">
        <w:t>ligne</w:t>
      </w:r>
      <w:r w:rsidR="00EC442C">
        <w:t xml:space="preserve"> </w:t>
      </w:r>
      <w:r w:rsidRPr="00DE4822">
        <w:t>droite,</w:t>
      </w:r>
      <w:r w:rsidR="00EC442C">
        <w:t xml:space="preserve"> </w:t>
      </w:r>
      <w:r w:rsidRPr="00DE4822">
        <w:t>la</w:t>
      </w:r>
      <w:r w:rsidR="00EC442C">
        <w:t xml:space="preserve"> </w:t>
      </w:r>
      <w:r w:rsidRPr="00DE4822">
        <w:t>remorque</w:t>
      </w:r>
      <w:r w:rsidR="00EC442C">
        <w:t xml:space="preserve"> </w:t>
      </w:r>
      <w:r w:rsidRPr="00DE4822">
        <w:t>doit</w:t>
      </w:r>
      <w:r w:rsidR="00EC442C">
        <w:t xml:space="preserve"> </w:t>
      </w:r>
      <w:r w:rsidRPr="00DE4822">
        <w:t>rester</w:t>
      </w:r>
      <w:r w:rsidR="00EC442C">
        <w:t xml:space="preserve"> </w:t>
      </w:r>
      <w:r w:rsidRPr="00DE4822">
        <w:t>dans</w:t>
      </w:r>
      <w:r w:rsidR="00EC442C">
        <w:t xml:space="preserve"> </w:t>
      </w:r>
      <w:r w:rsidRPr="00DE4822">
        <w:t>son</w:t>
      </w:r>
      <w:r w:rsidR="00EC442C">
        <w:t xml:space="preserve"> </w:t>
      </w:r>
      <w:r w:rsidRPr="00DE4822">
        <w:t>alignement.</w:t>
      </w:r>
      <w:r w:rsidR="00EC442C">
        <w:t xml:space="preserve"> </w:t>
      </w:r>
      <w:r w:rsidRPr="00DE4822">
        <w:t>Si</w:t>
      </w:r>
      <w:r w:rsidR="00EC442C">
        <w:t xml:space="preserve"> </w:t>
      </w:r>
      <w:r w:rsidRPr="00DE4822">
        <w:t>l’alignement</w:t>
      </w:r>
      <w:r w:rsidR="00EC442C">
        <w:t xml:space="preserve"> </w:t>
      </w:r>
      <w:r w:rsidRPr="00DE4822">
        <w:t>n’est</w:t>
      </w:r>
      <w:r w:rsidR="00EC442C">
        <w:t xml:space="preserve"> </w:t>
      </w:r>
      <w:r w:rsidRPr="00DE4822">
        <w:t>pas</w:t>
      </w:r>
      <w:r w:rsidR="00EC442C">
        <w:t xml:space="preserve"> </w:t>
      </w:r>
      <w:r w:rsidRPr="00DE4822">
        <w:t>assuré</w:t>
      </w:r>
      <w:r w:rsidR="00EC442C">
        <w:t xml:space="preserve"> </w:t>
      </w:r>
      <w:r w:rsidRPr="00DE4822">
        <w:t>automatiquement,</w:t>
      </w:r>
      <w:r w:rsidR="00EC442C">
        <w:t xml:space="preserve"> </w:t>
      </w:r>
      <w:r w:rsidRPr="00DE4822">
        <w:t>la</w:t>
      </w:r>
      <w:r w:rsidR="00EC442C">
        <w:t xml:space="preserve"> </w:t>
      </w:r>
      <w:r w:rsidRPr="00DE4822">
        <w:t>remorque</w:t>
      </w:r>
      <w:r w:rsidR="00EC442C">
        <w:t xml:space="preserve"> </w:t>
      </w:r>
      <w:r w:rsidRPr="00DE4822">
        <w:t>doit</w:t>
      </w:r>
      <w:r w:rsidR="00EC442C">
        <w:t xml:space="preserve"> </w:t>
      </w:r>
      <w:r w:rsidRPr="00DE4822">
        <w:t>être</w:t>
      </w:r>
      <w:r w:rsidR="00EC442C">
        <w:t xml:space="preserve"> </w:t>
      </w:r>
      <w:r w:rsidRPr="00DE4822">
        <w:t>équipée</w:t>
      </w:r>
      <w:r w:rsidR="00EC442C">
        <w:t xml:space="preserve"> </w:t>
      </w:r>
      <w:r w:rsidRPr="00DE4822">
        <w:t>d’un</w:t>
      </w:r>
      <w:r w:rsidR="00EC442C">
        <w:t xml:space="preserve"> </w:t>
      </w:r>
      <w:r w:rsidRPr="00DE4822">
        <w:t>dispositif</w:t>
      </w:r>
      <w:r w:rsidR="00EC442C">
        <w:t xml:space="preserve"> </w:t>
      </w:r>
      <w:r w:rsidRPr="00DE4822">
        <w:t>d’ajustement</w:t>
      </w:r>
      <w:r w:rsidR="00EC442C">
        <w:t xml:space="preserve"> </w:t>
      </w:r>
      <w:r w:rsidRPr="00DE4822">
        <w:t>adapté.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5.3</w:t>
      </w:r>
      <w:r w:rsidRPr="00DE4822">
        <w:rPr>
          <w:lang w:val="fr-FR"/>
        </w:rPr>
        <w:tab/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relatives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performances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5.3.1</w:t>
      </w:r>
      <w:r w:rsidRPr="00DE4822">
        <w:rPr>
          <w:lang w:val="fr-FR"/>
        </w:rPr>
        <w:tab/>
        <w:t>Généralités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5.3.1.1</w:t>
      </w:r>
      <w:r w:rsidRPr="00DE4822">
        <w:rPr>
          <w:lang w:val="fr-FR"/>
        </w:rPr>
        <w:tab/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fins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directrices,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mécaniques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timonerie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considérées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sujettes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elles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largement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dimensionnées,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aisément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accessibles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l’entretien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caractéristiques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sécurité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moins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égales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celles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d’autres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organes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essentiels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exemple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freins.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risquerait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d’entraîner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perte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maîtrise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faite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métal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matériau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possédant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caractéristiques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équivalentes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soumise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aucune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déformation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notable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pendant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normal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5.3.1.2</w:t>
      </w:r>
      <w:r w:rsidRPr="00DE4822">
        <w:rPr>
          <w:lang w:val="fr-FR"/>
        </w:rPr>
        <w:tab/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également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satisfait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5.1.2,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5.1.3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6.2.1,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respectifs.</w:t>
      </w:r>
    </w:p>
    <w:p w:rsidR="00D643A6" w:rsidRPr="00DE4822" w:rsidRDefault="00D643A6" w:rsidP="000476D9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l’occurrence,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5.1.3</w:t>
      </w:r>
      <w:r w:rsidR="00EC442C">
        <w:rPr>
          <w:b/>
          <w:bCs/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s’appliquer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servodirection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lorsque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l’arrêt.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5.3.1.3</w:t>
      </w:r>
      <w:r w:rsidRPr="00DE4822">
        <w:rPr>
          <w:lang w:val="fr-FR"/>
        </w:rPr>
        <w:tab/>
        <w:t>Toute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timonerie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n’est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exclusivement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mécanique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clairement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signalée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indiqué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5.4.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changement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rapport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moyen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admis,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condition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l’effort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dépasse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valeurs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6.2.6.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5.3.1.4</w:t>
      </w:r>
      <w:r w:rsidRPr="00DE4822">
        <w:rPr>
          <w:lang w:val="fr-FR"/>
        </w:rPr>
        <w:tab/>
        <w:t>Lorsque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freinage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utilisent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même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source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d’énergie,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celle</w:t>
      </w:r>
      <w:r w:rsidR="004D15A8">
        <w:rPr>
          <w:lang w:val="fr-FR"/>
        </w:rPr>
        <w:t>-</w:t>
      </w:r>
      <w:r w:rsidRPr="00DE4822">
        <w:rPr>
          <w:lang w:val="fr-FR"/>
        </w:rPr>
        <w:t>ci,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prioritaire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pouvoir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satisfaire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5.3.2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5.3.3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selon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outre,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l’efficacité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freinage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inférieure,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dès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premier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coup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frein,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l’efficacité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frein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service,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qu’elle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définie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2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l’annexe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3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Règlement.</w:t>
      </w:r>
    </w:p>
    <w:p w:rsidR="00D643A6" w:rsidRPr="00B766B9" w:rsidRDefault="00D643A6" w:rsidP="00E32E15">
      <w:pPr>
        <w:pStyle w:val="SingleTxtG"/>
        <w:ind w:left="2268" w:hanging="1134"/>
        <w:rPr>
          <w:spacing w:val="-1"/>
          <w:lang w:val="fr-FR"/>
        </w:rPr>
      </w:pPr>
      <w:r w:rsidRPr="00DE4822">
        <w:rPr>
          <w:lang w:val="fr-FR"/>
        </w:rPr>
        <w:t>5.3.1.5</w:t>
      </w:r>
      <w:r w:rsidRPr="00DE4822">
        <w:rPr>
          <w:lang w:val="fr-FR"/>
        </w:rPr>
        <w:tab/>
      </w:r>
      <w:r w:rsidRPr="00B766B9">
        <w:rPr>
          <w:spacing w:val="-1"/>
          <w:lang w:val="fr-FR"/>
        </w:rPr>
        <w:t>Lorsque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le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système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de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freinage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et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le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système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de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direction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utilisent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la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même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alimentation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en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énergie,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en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cas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de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défaillance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de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celle</w:t>
      </w:r>
      <w:r w:rsidR="004D15A8">
        <w:rPr>
          <w:spacing w:val="-1"/>
          <w:lang w:val="fr-FR"/>
        </w:rPr>
        <w:t>-</w:t>
      </w:r>
      <w:r w:rsidRPr="00B766B9">
        <w:rPr>
          <w:spacing w:val="-1"/>
          <w:lang w:val="fr-FR"/>
        </w:rPr>
        <w:t>ci,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le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système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de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direction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est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prioritaire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et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doit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pouvoir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satisfaire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aux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prescriptions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des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paragraphes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5.3.2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ou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5.3.3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selon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le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cas.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En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outre,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l’efficacité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de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freinage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doit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être,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dès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le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premier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coup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de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frein,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conforme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aux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prescriptions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du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paragraphe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3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de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l’annexe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3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du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présent</w:t>
      </w:r>
      <w:r w:rsidR="00EC442C" w:rsidRPr="00B766B9">
        <w:rPr>
          <w:spacing w:val="-1"/>
          <w:lang w:val="fr-FR"/>
        </w:rPr>
        <w:t xml:space="preserve"> </w:t>
      </w:r>
      <w:r w:rsidRPr="00B766B9">
        <w:rPr>
          <w:spacing w:val="-1"/>
          <w:lang w:val="fr-FR"/>
        </w:rPr>
        <w:t>Règlement.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5.3.1.6</w:t>
      </w:r>
      <w:r w:rsidRPr="00DE4822">
        <w:rPr>
          <w:lang w:val="fr-FR"/>
        </w:rPr>
        <w:tab/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relatives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l’efficacité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freinage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énoncées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5.3.1.4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5.3.1.5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ci</w:t>
      </w:r>
      <w:r w:rsidR="004D15A8">
        <w:rPr>
          <w:lang w:val="fr-FR"/>
        </w:rPr>
        <w:t>-</w:t>
      </w:r>
      <w:r w:rsidRPr="00DE4822">
        <w:rPr>
          <w:lang w:val="fr-FR"/>
        </w:rPr>
        <w:t>dessus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s’appliquent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freinage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qu’il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possible,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l’absence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réserve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d’énergie,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respecter,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avec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frein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service,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sécurité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applicables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freinage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secours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mentionnées</w:t>
      </w:r>
      <w:r w:rsidR="00EC442C">
        <w:rPr>
          <w:lang w:val="fr-FR"/>
        </w:rPr>
        <w:t> :</w:t>
      </w:r>
    </w:p>
    <w:p w:rsidR="00D643A6" w:rsidRPr="00DE4822" w:rsidRDefault="00D643A6" w:rsidP="00D559A4">
      <w:pPr>
        <w:pStyle w:val="SingleTxtG"/>
        <w:ind w:left="2835" w:hanging="567"/>
        <w:rPr>
          <w:lang w:val="fr-FR"/>
        </w:rPr>
      </w:pPr>
      <w:r w:rsidRPr="00DE4822">
        <w:rPr>
          <w:lang w:val="fr-FR"/>
        </w:rPr>
        <w:t>a)</w:t>
      </w:r>
      <w:r w:rsidRPr="00DE4822">
        <w:rPr>
          <w:lang w:val="fr-FR"/>
        </w:rPr>
        <w:tab/>
      </w:r>
      <w:r w:rsidR="00B766B9" w:rsidRPr="00DE4822">
        <w:rPr>
          <w:lang w:val="fr-FR"/>
        </w:rPr>
        <w:t>Au</w:t>
      </w:r>
      <w:r w:rsidR="00B766B9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2.2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l’annexe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3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ONU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</w:t>
      </w:r>
      <w:r w:rsidRPr="00DE4822">
        <w:rPr>
          <w:vertAlign w:val="superscript"/>
          <w:lang w:val="fr-FR"/>
        </w:rPr>
        <w:t>o</w:t>
      </w:r>
      <w:r w:rsidR="00B766B9">
        <w:rPr>
          <w:lang w:val="fr-FR"/>
        </w:rPr>
        <w:t> </w:t>
      </w:r>
      <w:r w:rsidRPr="00DE4822">
        <w:rPr>
          <w:lang w:val="fr-FR"/>
        </w:rPr>
        <w:t>13</w:t>
      </w:r>
      <w:r w:rsidR="004D15A8">
        <w:rPr>
          <w:lang w:val="fr-FR"/>
        </w:rPr>
        <w:t>-</w:t>
      </w:r>
      <w:r w:rsidRPr="00DE4822">
        <w:rPr>
          <w:lang w:val="fr-FR"/>
        </w:rPr>
        <w:t>H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catégories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</w:t>
      </w:r>
      <w:r w:rsidRPr="00DE4822">
        <w:rPr>
          <w:vertAlign w:val="subscript"/>
          <w:lang w:val="fr-FR"/>
        </w:rPr>
        <w:t>1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</w:t>
      </w:r>
      <w:r w:rsidRPr="00DE4822">
        <w:rPr>
          <w:vertAlign w:val="subscript"/>
          <w:lang w:val="fr-FR"/>
        </w:rPr>
        <w:t>1</w:t>
      </w:r>
      <w:r w:rsidRPr="00DE4822">
        <w:rPr>
          <w:lang w:val="fr-FR"/>
        </w:rPr>
        <w:t>)</w:t>
      </w:r>
      <w:r w:rsidR="00EC442C">
        <w:rPr>
          <w:lang w:val="fr-FR"/>
        </w:rPr>
        <w:t> ;</w:t>
      </w:r>
    </w:p>
    <w:p w:rsidR="00D643A6" w:rsidRPr="00DE4822" w:rsidRDefault="00D643A6" w:rsidP="00D559A4">
      <w:pPr>
        <w:pStyle w:val="SingleTxtG"/>
        <w:ind w:left="2835" w:hanging="567"/>
        <w:rPr>
          <w:lang w:val="fr-FR"/>
        </w:rPr>
      </w:pPr>
      <w:r w:rsidRPr="00DE4822">
        <w:rPr>
          <w:lang w:val="fr-FR"/>
        </w:rPr>
        <w:t>b)</w:t>
      </w:r>
      <w:r w:rsidRPr="00DE4822">
        <w:rPr>
          <w:lang w:val="fr-FR"/>
        </w:rPr>
        <w:tab/>
      </w:r>
      <w:r w:rsidR="00B766B9" w:rsidRPr="00DE4822">
        <w:rPr>
          <w:lang w:val="fr-FR"/>
        </w:rPr>
        <w:t>Au</w:t>
      </w:r>
      <w:r w:rsidR="00B766B9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2.2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l’annexe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4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ONU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</w:t>
      </w:r>
      <w:r w:rsidRPr="00DE4822">
        <w:rPr>
          <w:vertAlign w:val="superscript"/>
          <w:lang w:val="fr-FR"/>
        </w:rPr>
        <w:t>o</w:t>
      </w:r>
      <w:r w:rsidR="00B766B9">
        <w:rPr>
          <w:lang w:val="fr-FR"/>
        </w:rPr>
        <w:t> </w:t>
      </w:r>
      <w:r w:rsidRPr="00DE4822">
        <w:rPr>
          <w:lang w:val="fr-FR"/>
        </w:rPr>
        <w:t>13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catégories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</w:t>
      </w:r>
      <w:r w:rsidRPr="00DE4822">
        <w:rPr>
          <w:vertAlign w:val="subscript"/>
          <w:lang w:val="fr-FR"/>
        </w:rPr>
        <w:t>2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</w:t>
      </w:r>
      <w:r w:rsidRPr="00DE4822">
        <w:rPr>
          <w:vertAlign w:val="subscript"/>
          <w:lang w:val="fr-FR"/>
        </w:rPr>
        <w:t>3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N).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5.3.1.7</w:t>
      </w:r>
      <w:r w:rsidRPr="00DE4822">
        <w:rPr>
          <w:lang w:val="fr-FR"/>
        </w:rPr>
        <w:tab/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également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satisfait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5.2.2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6.3.4.1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direction.</w:t>
      </w:r>
    </w:p>
    <w:p w:rsidR="00D643A6" w:rsidRPr="00DE4822" w:rsidRDefault="00D643A6" w:rsidP="00B766B9">
      <w:pPr>
        <w:pStyle w:val="SingleTxtG"/>
        <w:keepNext/>
        <w:ind w:left="2268" w:hanging="1134"/>
        <w:rPr>
          <w:lang w:val="fr-FR"/>
        </w:rPr>
      </w:pPr>
      <w:r w:rsidRPr="00DE4822">
        <w:rPr>
          <w:lang w:val="fr-FR"/>
        </w:rPr>
        <w:lastRenderedPageBreak/>
        <w:t>5.3.2</w:t>
      </w:r>
      <w:r w:rsidRPr="00DE4822">
        <w:rPr>
          <w:lang w:val="fr-FR"/>
        </w:rPr>
        <w:tab/>
        <w:t>Systèmes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assistée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5.3.2.1</w:t>
      </w:r>
      <w:r w:rsidRPr="00DE4822">
        <w:rPr>
          <w:lang w:val="fr-FR"/>
        </w:rPr>
        <w:tab/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d’arrêt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timonerie,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l’exception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énumérées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5.3.1.1,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y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avoir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changement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immédiat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l’angle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braquage.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supérieure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10</w:t>
      </w:r>
      <w:r w:rsidR="00B766B9">
        <w:rPr>
          <w:lang w:val="fr-FR"/>
        </w:rPr>
        <w:t> </w:t>
      </w:r>
      <w:r w:rsidRPr="00DE4822">
        <w:rPr>
          <w:lang w:val="fr-FR"/>
        </w:rPr>
        <w:t>km/h,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satisfait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énoncées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6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concernant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défaillant.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5.3.3</w:t>
      </w:r>
      <w:r w:rsidRPr="00DE4822">
        <w:rPr>
          <w:lang w:val="fr-FR"/>
        </w:rPr>
        <w:tab/>
        <w:t>Systèmes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servodirection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5.3.3.1</w:t>
      </w:r>
      <w:r w:rsidRPr="00DE4822">
        <w:rPr>
          <w:lang w:val="fr-FR"/>
        </w:rPr>
        <w:tab/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conçu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manière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puisse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indéfiniment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10</w:t>
      </w:r>
      <w:r w:rsidR="00C11C8D">
        <w:rPr>
          <w:lang w:val="fr-FR"/>
        </w:rPr>
        <w:t> </w:t>
      </w:r>
      <w:r w:rsidRPr="00DE4822">
        <w:rPr>
          <w:lang w:val="fr-FR"/>
        </w:rPr>
        <w:t>km/h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nécessitant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l’enclenchement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d’avertissement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visé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5.4.2.1.1.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5.3.3.2</w:t>
      </w:r>
      <w:r w:rsidRPr="00DE4822">
        <w:rPr>
          <w:lang w:val="fr-FR"/>
        </w:rPr>
        <w:tab/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timonerie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l’exception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énumérées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5.1.4,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encore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possible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diriger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selon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critères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énoncés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6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intact.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5.3.3.3</w:t>
      </w:r>
      <w:r w:rsidRPr="00DE4822">
        <w:rPr>
          <w:lang w:val="fr-FR"/>
        </w:rPr>
        <w:tab/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source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d’alimentation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énergie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timonerie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possible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réaliser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moins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24</w:t>
      </w:r>
      <w:r w:rsidR="00B766B9">
        <w:rPr>
          <w:lang w:val="fr-FR"/>
        </w:rPr>
        <w:t> </w:t>
      </w:r>
      <w:r w:rsidRPr="00DE4822">
        <w:rPr>
          <w:lang w:val="fr-FR"/>
        </w:rPr>
        <w:t>manœuvres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forme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huit,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boucle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diamètre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40</w:t>
      </w:r>
      <w:r w:rsidR="00B766B9">
        <w:rPr>
          <w:lang w:val="fr-FR"/>
        </w:rPr>
        <w:t> m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10</w:t>
      </w:r>
      <w:r w:rsidR="00B766B9">
        <w:rPr>
          <w:lang w:val="fr-FR"/>
        </w:rPr>
        <w:t> </w:t>
      </w:r>
      <w:r w:rsidRPr="00DE4822">
        <w:rPr>
          <w:lang w:val="fr-FR"/>
        </w:rPr>
        <w:t>km/h,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selon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critères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énoncés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6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intact.</w:t>
      </w:r>
      <w:r w:rsidR="00B766B9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manœuvres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d’essai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commencer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niveau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stockage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d’énergie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indiqué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5.3.3.5.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5.3.3.4</w:t>
      </w:r>
      <w:r w:rsidRPr="00DE4822">
        <w:rPr>
          <w:lang w:val="fr-FR"/>
        </w:rPr>
        <w:tab/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timonerie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d’alimentation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énergie,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l’exception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énumérées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5.3.1.1,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y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avoir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changement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immédiat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l’angle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braquage.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supérieure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10</w:t>
      </w:r>
      <w:r w:rsidR="00290E92">
        <w:rPr>
          <w:lang w:val="fr-FR"/>
        </w:rPr>
        <w:t> </w:t>
      </w:r>
      <w:r w:rsidRPr="00DE4822">
        <w:rPr>
          <w:lang w:val="fr-FR"/>
        </w:rPr>
        <w:t>km/h,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satisfait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6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concernant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après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réalisation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moins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25</w:t>
      </w:r>
      <w:r w:rsidR="00290E92">
        <w:rPr>
          <w:lang w:val="fr-FR"/>
        </w:rPr>
        <w:t> </w:t>
      </w:r>
      <w:r w:rsidRPr="00DE4822">
        <w:rPr>
          <w:lang w:val="fr-FR"/>
        </w:rPr>
        <w:t>manœuvres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forme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huit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minimale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10</w:t>
      </w:r>
      <w:r w:rsidR="00290E92">
        <w:rPr>
          <w:lang w:val="fr-FR"/>
        </w:rPr>
        <w:t> </w:t>
      </w:r>
      <w:r w:rsidRPr="00DE4822">
        <w:rPr>
          <w:lang w:val="fr-FR"/>
        </w:rPr>
        <w:t>km/h,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boucle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ayant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diamètre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40</w:t>
      </w:r>
      <w:r w:rsidR="00290E92">
        <w:rPr>
          <w:lang w:val="fr-FR"/>
        </w:rPr>
        <w:t> m</w:t>
      </w:r>
      <w:r w:rsidRPr="00DE4822">
        <w:rPr>
          <w:lang w:val="fr-FR"/>
        </w:rPr>
        <w:t>.</w:t>
      </w:r>
    </w:p>
    <w:p w:rsidR="00D643A6" w:rsidRPr="00DE4822" w:rsidRDefault="00D643A6" w:rsidP="000476D9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manœuvres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d’essai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commencer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niveau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stockage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d’énergie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indiqué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5.3.3.5.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5.3.3.5</w:t>
      </w:r>
      <w:r w:rsidRPr="00DE4822">
        <w:rPr>
          <w:lang w:val="fr-FR"/>
        </w:rPr>
        <w:tab/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niveau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d’énergie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devant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utilisé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essais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visés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5.3.3.3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5.3.3.4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niveau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stockage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d’énergie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duquel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signalée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conducteur.</w:t>
      </w:r>
    </w:p>
    <w:p w:rsidR="00D643A6" w:rsidRPr="00DE4822" w:rsidRDefault="00D643A6" w:rsidP="000476D9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alimentation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visés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l’annexe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6,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niveau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correspondre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scénario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possible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indiqué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constructeur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documentation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conformément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l’annexe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6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tenir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effets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température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vieillissement,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exemple,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rendement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batterie.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5.4</w:t>
      </w:r>
      <w:r w:rsidRPr="00DE4822">
        <w:rPr>
          <w:lang w:val="fr-FR"/>
        </w:rPr>
        <w:tab/>
        <w:t>Signaux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d’avertissement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5.4.1</w:t>
      </w:r>
      <w:r w:rsidRPr="00DE4822">
        <w:rPr>
          <w:lang w:val="fr-FR"/>
        </w:rPr>
        <w:tab/>
        <w:t>Dispositions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générales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5.4.1.1</w:t>
      </w:r>
      <w:r w:rsidRPr="00DE4822">
        <w:rPr>
          <w:lang w:val="fr-FR"/>
        </w:rPr>
        <w:tab/>
        <w:t>Tout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entrave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n’est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nature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exclusivement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mécanique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clairement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signalé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véhicule.</w:t>
      </w:r>
    </w:p>
    <w:p w:rsidR="00D643A6" w:rsidRPr="00DE4822" w:rsidRDefault="00D643A6" w:rsidP="000476D9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Nonobstant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dispositions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5.1.2,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l’application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délibérée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vibrations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servir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d’indication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supplémentaire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système.</w:t>
      </w:r>
    </w:p>
    <w:p w:rsidR="00D643A6" w:rsidRPr="00DE4822" w:rsidRDefault="00D643A6" w:rsidP="000476D9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moteur,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considère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accroissement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l’effort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constitue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d’avertissement</w:t>
      </w:r>
      <w:r w:rsidR="00EC442C">
        <w:rPr>
          <w:lang w:val="fr-FR"/>
        </w:rPr>
        <w:t xml:space="preserve"> ;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indicateur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mécanique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admis.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5.4.1.2</w:t>
      </w:r>
      <w:r w:rsidRPr="00DE4822">
        <w:rPr>
          <w:lang w:val="fr-FR"/>
        </w:rPr>
        <w:tab/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d’avertissement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visuels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visibles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même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lumière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jour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différenciables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dispositif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d’avertissement</w:t>
      </w:r>
      <w:r w:rsidR="00EC442C">
        <w:rPr>
          <w:lang w:val="fr-FR"/>
        </w:rPr>
        <w:t xml:space="preserve"> ;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état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voyants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pouvoir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aisément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vérifié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depuis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lastRenderedPageBreak/>
        <w:t>siège</w:t>
      </w:r>
      <w:r w:rsidR="00EC442C">
        <w:rPr>
          <w:lang w:val="fr-FR"/>
        </w:rPr>
        <w:t xml:space="preserve"> ;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éléments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dispositifs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d’avertissement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nuire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l’efficacité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5.4.1.3</w:t>
      </w:r>
      <w:r w:rsidRPr="00DE4822">
        <w:rPr>
          <w:lang w:val="fr-FR"/>
        </w:rPr>
        <w:tab/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avertissement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sonore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consister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continu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intermittent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message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vocal.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S’il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s’agit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message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vocal,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constructeur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veiller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langues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lesquelles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formulé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soient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celles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marché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lequel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commercialisé.</w:t>
      </w:r>
    </w:p>
    <w:p w:rsidR="000476D9" w:rsidRDefault="00D643A6" w:rsidP="000476D9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d’avertissement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sonores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facilement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reconnus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conducteur.</w:t>
      </w:r>
    </w:p>
    <w:p w:rsidR="00D643A6" w:rsidRPr="00DE4822" w:rsidRDefault="00D643A6" w:rsidP="00D559A4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5.4.1.4</w:t>
      </w:r>
      <w:r w:rsidRPr="00DE4822">
        <w:rPr>
          <w:lang w:val="fr-FR"/>
        </w:rPr>
        <w:tab/>
        <w:t>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même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source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d’énergie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utilisée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alimenter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d’autres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prévenu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moyen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d’avertissement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sonore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visuel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lorsque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l’énergie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fluide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stocké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réservoir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baisse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jusqu’à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atteindre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niveau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susceptible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d’entraîner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accroissement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l’effort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d’avertissement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combiné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dispositif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destiné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avertir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freins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lorsque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freinage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utilise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même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source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d’énergie.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pouvoir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aisément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vérifier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signal.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5.4.2</w:t>
      </w:r>
      <w:r w:rsidRPr="00DE4822">
        <w:rPr>
          <w:lang w:val="fr-FR"/>
        </w:rPr>
        <w:tab/>
        <w:t>Dispositions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particulières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applicables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servodirection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5.4.2.1</w:t>
      </w:r>
      <w:r w:rsidRPr="00DE4822">
        <w:rPr>
          <w:lang w:val="fr-FR"/>
        </w:rPr>
        <w:tab/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capables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donner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d’avertissement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suit</w:t>
      </w:r>
      <w:r w:rsidR="00EC442C">
        <w:rPr>
          <w:lang w:val="fr-FR"/>
        </w:rPr>
        <w:t> :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5.4.2.1.1</w:t>
      </w:r>
      <w:r w:rsidRPr="00DE4822">
        <w:rPr>
          <w:lang w:val="fr-FR"/>
        </w:rPr>
        <w:tab/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voyant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rouge,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indiquant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définies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5.3.1.3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principal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direction.</w:t>
      </w:r>
      <w:r w:rsidR="00EC442C">
        <w:rPr>
          <w:lang w:val="fr-FR"/>
        </w:rPr>
        <w:t xml:space="preserve"> 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5.4.2.1.2</w:t>
      </w:r>
      <w:r w:rsidRPr="00DE4822">
        <w:rPr>
          <w:lang w:val="fr-FR"/>
        </w:rPr>
        <w:tab/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échéant,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voyant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jaune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indiquant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détectée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n’est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indiquée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voyant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rouge.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5.4.2.1.3</w:t>
      </w:r>
      <w:r w:rsidRPr="00DE4822">
        <w:rPr>
          <w:lang w:val="fr-FR"/>
        </w:rPr>
        <w:tab/>
        <w:t>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symbole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utilisé,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conforme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symbole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J</w:t>
      </w:r>
      <w:r w:rsidR="00290E92">
        <w:rPr>
          <w:lang w:val="fr-FR"/>
        </w:rPr>
        <w:t> </w:t>
      </w:r>
      <w:r w:rsidRPr="00DE4822">
        <w:rPr>
          <w:lang w:val="fr-FR"/>
        </w:rPr>
        <w:t>04,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numéro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d’enregistrement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ISO/CEI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7000</w:t>
      </w:r>
      <w:r w:rsidR="004D15A8">
        <w:rPr>
          <w:lang w:val="fr-FR"/>
        </w:rPr>
        <w:t>-</w:t>
      </w:r>
      <w:r w:rsidRPr="00DE4822">
        <w:rPr>
          <w:lang w:val="fr-FR"/>
        </w:rPr>
        <w:t>2441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défini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norme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ISO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2575</w:t>
      </w:r>
      <w:r w:rsidR="00EC442C">
        <w:rPr>
          <w:lang w:val="fr-FR"/>
        </w:rPr>
        <w:t>:</w:t>
      </w:r>
      <w:r w:rsidRPr="00DE4822">
        <w:rPr>
          <w:lang w:val="fr-FR"/>
        </w:rPr>
        <w:t>2000.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5.4.2.1.4</w:t>
      </w:r>
      <w:r w:rsidRPr="00DE4822">
        <w:rPr>
          <w:lang w:val="fr-FR"/>
        </w:rPr>
        <w:tab/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voyants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susmentionnés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s’allumer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lorsque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direction)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tension.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Lorsque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l’arrêt,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voyant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s’éteigne,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vérifier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qu’il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n’existe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aucune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spécifiées.</w:t>
      </w:r>
    </w:p>
    <w:p w:rsidR="00D643A6" w:rsidRPr="00DE4822" w:rsidRDefault="00D643A6" w:rsidP="00D559A4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spécifiées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activer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d’avertissement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susmentionné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détectées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lorsque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l’arrêt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enregistrées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après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détection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affichées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démarrage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contacteur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d’allumage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(démarrage)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position</w:t>
      </w:r>
      <w:r w:rsidR="00EC442C">
        <w:rPr>
          <w:lang w:val="fr-FR"/>
        </w:rPr>
        <w:t xml:space="preserve"> </w:t>
      </w:r>
      <w:r w:rsidR="00290E92">
        <w:rPr>
          <w:lang w:val="fr-FR"/>
        </w:rPr>
        <w:t>« </w:t>
      </w:r>
      <w:r w:rsidRPr="00DE4822">
        <w:rPr>
          <w:lang w:val="fr-FR"/>
        </w:rPr>
        <w:t>on</w:t>
      </w:r>
      <w:r w:rsidR="00290E92">
        <w:rPr>
          <w:lang w:val="fr-FR"/>
        </w:rPr>
        <w:t> »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(marche),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persiste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5.4.3</w:t>
      </w:r>
      <w:r w:rsidRPr="00DE4822">
        <w:rPr>
          <w:lang w:val="fr-FR"/>
        </w:rPr>
        <w:tab/>
        <w:t>Lorsqu’un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additionnel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service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et/ou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l’angle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braquage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créé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n’est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retourné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position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conduite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normale,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d’avertissement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donné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conducteur.</w:t>
      </w:r>
    </w:p>
    <w:p w:rsidR="00D643A6" w:rsidRPr="00DE4822" w:rsidRDefault="00D643A6" w:rsidP="00E32E15">
      <w:pPr>
        <w:pStyle w:val="SingleTxtG"/>
        <w:ind w:left="2268" w:hanging="1134"/>
        <w:rPr>
          <w:u w:val="single"/>
          <w:lang w:val="fr-FR"/>
        </w:rPr>
      </w:pPr>
      <w:r w:rsidRPr="00DE4822">
        <w:rPr>
          <w:lang w:val="fr-FR"/>
        </w:rPr>
        <w:t>5.5</w:t>
      </w:r>
      <w:r w:rsidRPr="00DE4822">
        <w:rPr>
          <w:lang w:val="fr-FR"/>
        </w:rPr>
        <w:tab/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relatives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contrôle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technique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périodique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5.5.1</w:t>
      </w:r>
      <w:r w:rsidRPr="00DE4822">
        <w:rPr>
          <w:lang w:val="fr-FR"/>
        </w:rPr>
        <w:tab/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mesure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possible,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réserve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accord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constructeur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l’autorité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type,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installation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conçus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sorte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démontage,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puisse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vérifié,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nécessaire,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moyen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d’instruments,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méthodes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matériels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d’essai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courants.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5.5.2</w:t>
      </w:r>
      <w:r w:rsidRPr="00DE4822">
        <w:rPr>
          <w:lang w:val="fr-FR"/>
        </w:rPr>
        <w:tab/>
        <w:t>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possible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vérifier,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selon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méthode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simple,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électroniques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information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spéciale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nécessaire,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fournie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gratuitement.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lastRenderedPageBreak/>
        <w:t>5.5.2.1</w:t>
      </w:r>
      <w:r w:rsidRPr="00DE4822">
        <w:rPr>
          <w:lang w:val="fr-FR"/>
        </w:rPr>
        <w:tab/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type,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moyens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œuvre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assurer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protection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modification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simple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autorisée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méthodes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vérification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choisies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constructeur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(signal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d’avertissement,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exemple)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décrits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titre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confidentiel.</w:t>
      </w:r>
    </w:p>
    <w:p w:rsidR="00D643A6" w:rsidRPr="00DE4822" w:rsidRDefault="00D643A6" w:rsidP="00D559A4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défaut,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satisfait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cette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relative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protection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lorsqu’il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existe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moyen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secondaire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vérifier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systèmes.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5.6</w:t>
      </w:r>
      <w:r w:rsidRPr="00DE4822">
        <w:rPr>
          <w:lang w:val="fr-FR"/>
        </w:rPr>
        <w:tab/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applicables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ACSF</w:t>
      </w:r>
    </w:p>
    <w:p w:rsidR="00D643A6" w:rsidRPr="00DE4822" w:rsidRDefault="00D643A6" w:rsidP="00D559A4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ACSF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satisfaire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l’annexe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6.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5.6.1</w:t>
      </w:r>
      <w:r w:rsidRPr="00DE4822">
        <w:rPr>
          <w:lang w:val="fr-FR"/>
        </w:rPr>
        <w:tab/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spéciales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applicables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ACSF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catégorie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</w:t>
      </w:r>
    </w:p>
    <w:p w:rsidR="00D643A6" w:rsidRPr="00DE4822" w:rsidRDefault="00D643A6" w:rsidP="00D559A4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Tout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ACSF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catégorie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satisfaire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suivantes.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5.6.1.1</w:t>
      </w:r>
      <w:r w:rsidRPr="00DE4822">
        <w:rPr>
          <w:lang w:val="fr-FR"/>
        </w:rPr>
        <w:tab/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générales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5.6.1.1.1</w:t>
      </w:r>
      <w:r w:rsidRPr="00DE4822">
        <w:rPr>
          <w:lang w:val="fr-FR"/>
        </w:rPr>
        <w:tab/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fonctionner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jusqu’à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10</w:t>
      </w:r>
      <w:r w:rsidR="00114B63">
        <w:rPr>
          <w:lang w:val="fr-FR"/>
        </w:rPr>
        <w:t> </w:t>
      </w:r>
      <w:r w:rsidRPr="00DE4822">
        <w:rPr>
          <w:lang w:val="fr-FR"/>
        </w:rPr>
        <w:t>km/h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(tolérance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+2</w:t>
      </w:r>
      <w:r w:rsidR="00114B63">
        <w:rPr>
          <w:lang w:val="fr-FR"/>
        </w:rPr>
        <w:t> </w:t>
      </w:r>
      <w:r w:rsidRPr="00DE4822">
        <w:rPr>
          <w:lang w:val="fr-FR"/>
        </w:rPr>
        <w:t>km/h).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5.6.1.1.2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ab/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s’activer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qu’après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délibérée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conditions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nécessaires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remplies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(toutes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associées,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exemple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freinage,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l’accélération,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caméra/le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radar/le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lidar,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etc.,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état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marche).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5.6.1.1.3</w:t>
      </w:r>
      <w:r w:rsidRPr="00DE4822">
        <w:rPr>
          <w:lang w:val="fr-FR"/>
        </w:rPr>
        <w:tab/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pouvoir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désactiver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moment.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5.6.1.1.4</w:t>
      </w:r>
      <w:r w:rsidRPr="00DE4822">
        <w:rPr>
          <w:lang w:val="fr-FR"/>
        </w:rPr>
        <w:tab/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où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inclut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l’accélérateur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et/ou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freins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dernier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équipé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moyen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détecter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obstacles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(autres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piétons,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exemple)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zone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manœuvre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d’immobiliser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immédiatement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éviter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collision</w:t>
      </w:r>
      <w:r w:rsidRPr="00DE4822">
        <w:rPr>
          <w:rStyle w:val="FootnoteReference"/>
        </w:rPr>
        <w:footnoteReference w:id="5"/>
      </w:r>
      <w:r w:rsidRPr="00DE4822">
        <w:rPr>
          <w:lang w:val="fr-FR"/>
        </w:rPr>
        <w:t>.</w:t>
      </w:r>
      <w:r w:rsidR="00EC442C">
        <w:rPr>
          <w:lang w:val="fr-FR"/>
        </w:rPr>
        <w:t xml:space="preserve"> 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5.6.1.1.5</w:t>
      </w:r>
      <w:r w:rsidRPr="00DE4822">
        <w:rPr>
          <w:lang w:val="fr-FR"/>
        </w:rPr>
        <w:tab/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averti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l’activation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désactivation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signalée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avertissement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bref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distinct,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émis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moyen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visuel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sonore,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encore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haptique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(sauf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manœuvres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stationnement).</w:t>
      </w:r>
      <w:r w:rsidR="00EC442C">
        <w:rPr>
          <w:lang w:val="fr-FR"/>
        </w:rPr>
        <w:t xml:space="preserve"> </w:t>
      </w:r>
    </w:p>
    <w:p w:rsidR="00D643A6" w:rsidRPr="00DE4822" w:rsidRDefault="00D643A6" w:rsidP="00D559A4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parcage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télécommandé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(RCP),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ci</w:t>
      </w:r>
      <w:r w:rsidR="004D15A8">
        <w:rPr>
          <w:lang w:val="fr-FR"/>
        </w:rPr>
        <w:t>-</w:t>
      </w:r>
      <w:r w:rsidRPr="00DE4822">
        <w:rPr>
          <w:lang w:val="fr-FR"/>
        </w:rPr>
        <w:t>dessus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relatives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l’avertissement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remplies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visuel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moins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dispositif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télécommande.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5.6.1.2</w:t>
      </w:r>
      <w:r w:rsidRPr="00DE4822">
        <w:rPr>
          <w:lang w:val="fr-FR"/>
        </w:rPr>
        <w:tab/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supplémentaires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applicables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parcage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télécommandé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5.6.1.2.1</w:t>
      </w:r>
      <w:r w:rsidRPr="00DE4822">
        <w:rPr>
          <w:lang w:val="fr-FR"/>
        </w:rPr>
        <w:tab/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manœuvre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stationnement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déclenchée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contrôlée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l’accélération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freinage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moyen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télécommande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possible.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5.6.1.2.2</w:t>
      </w:r>
      <w:r w:rsidRPr="00DE4822">
        <w:rPr>
          <w:lang w:val="fr-FR"/>
        </w:rPr>
        <w:tab/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actionner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télécommande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façon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continue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pendant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durée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manœuvre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stationnement.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5.6.1.2.3</w:t>
      </w:r>
      <w:r w:rsidRPr="00DE4822">
        <w:rPr>
          <w:lang w:val="fr-FR"/>
        </w:rPr>
        <w:tab/>
        <w:t>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l’actionnement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interrompu,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distance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télécommande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dépasse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portée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indiquée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RCP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</w:t>
      </w:r>
      <w:proofErr w:type="spellStart"/>
      <w:r w:rsidRPr="00DE4822">
        <w:rPr>
          <w:lang w:val="fr-FR"/>
        </w:rPr>
        <w:t>S</w:t>
      </w:r>
      <w:r w:rsidRPr="00DE4822">
        <w:rPr>
          <w:vertAlign w:val="subscript"/>
          <w:lang w:val="fr-FR"/>
        </w:rPr>
        <w:t>RCPmax</w:t>
      </w:r>
      <w:proofErr w:type="spellEnd"/>
      <w:r w:rsidRPr="00DE4822">
        <w:rPr>
          <w:lang w:val="fr-FR"/>
        </w:rPr>
        <w:t>),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encore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télécommande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s’interrompt,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s’immobiliser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immédiatement.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5.6.1.2.4</w:t>
      </w:r>
      <w:r w:rsidRPr="00DE4822">
        <w:rPr>
          <w:lang w:val="fr-FR"/>
        </w:rPr>
        <w:tab/>
        <w:t>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porte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coffre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s’ouvre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cours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manœuvre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stationnement,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s’immobiliser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immédiatement.</w:t>
      </w:r>
      <w:r w:rsidR="00EC442C">
        <w:rPr>
          <w:lang w:val="fr-FR"/>
        </w:rPr>
        <w:t xml:space="preserve"> 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lastRenderedPageBreak/>
        <w:t>5.6.1.2.5</w:t>
      </w:r>
      <w:r w:rsidRPr="00DE4822">
        <w:rPr>
          <w:lang w:val="fr-FR"/>
        </w:rPr>
        <w:tab/>
        <w:t>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atteint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emplacement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stationnement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définitif,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automatiquement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confirmation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contact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éteint,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frein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stationnement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automatiquement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enclenché.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5.6.1.2.6</w:t>
      </w:r>
      <w:r w:rsidRPr="00DE4822">
        <w:rPr>
          <w:lang w:val="fr-FR"/>
        </w:rPr>
        <w:tab/>
        <w:t>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s’immobilise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cours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manœuvre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stationnement,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RCP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empêcher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déplacement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incontrôlé.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5.6.1.2.7</w:t>
      </w:r>
      <w:r w:rsidRPr="00DE4822">
        <w:rPr>
          <w:lang w:val="fr-FR"/>
        </w:rPr>
        <w:tab/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portée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indiquée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RCP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dépasser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6</w:t>
      </w:r>
      <w:r w:rsidR="00114B63">
        <w:rPr>
          <w:lang w:val="fr-FR"/>
        </w:rPr>
        <w:t> </w:t>
      </w:r>
      <w:r w:rsidRPr="00DE4822">
        <w:rPr>
          <w:lang w:val="fr-FR"/>
        </w:rPr>
        <w:t>m.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5.6.1.2.8</w:t>
      </w:r>
      <w:r w:rsidRPr="00DE4822">
        <w:rPr>
          <w:lang w:val="fr-FR"/>
        </w:rPr>
        <w:tab/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conçu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empêcher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activation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autorisés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parcage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télécommandé,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ainsi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interventions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5.6.1.3</w:t>
      </w:r>
      <w:r w:rsidRPr="00DE4822">
        <w:rPr>
          <w:lang w:val="fr-FR"/>
        </w:rPr>
        <w:tab/>
        <w:t>Données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d’information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5.6.1.3.1</w:t>
      </w:r>
      <w:r w:rsidRPr="00DE4822">
        <w:rPr>
          <w:lang w:val="fr-FR"/>
        </w:rPr>
        <w:tab/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données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suivantes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fournies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service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technique,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avec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dossier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d’information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visé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l’annexe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6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type</w:t>
      </w:r>
      <w:r w:rsidR="00EC442C">
        <w:rPr>
          <w:lang w:val="fr-FR"/>
        </w:rPr>
        <w:t> :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5.6.1.3.1.1</w:t>
      </w:r>
      <w:r w:rsidRPr="00DE4822">
        <w:rPr>
          <w:lang w:val="fr-FR"/>
        </w:rPr>
        <w:tab/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valeur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indiquée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portée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RCP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</w:t>
      </w:r>
      <w:proofErr w:type="spellStart"/>
      <w:r w:rsidRPr="00DE4822">
        <w:rPr>
          <w:lang w:val="fr-FR"/>
        </w:rPr>
        <w:t>S</w:t>
      </w:r>
      <w:r w:rsidRPr="00DE4822">
        <w:rPr>
          <w:vertAlign w:val="subscript"/>
          <w:lang w:val="fr-FR"/>
        </w:rPr>
        <w:t>RCPmax</w:t>
      </w:r>
      <w:proofErr w:type="spellEnd"/>
      <w:r w:rsidRPr="00DE4822">
        <w:rPr>
          <w:lang w:val="fr-FR"/>
        </w:rPr>
        <w:t>)</w:t>
      </w:r>
      <w:r w:rsidR="00EC442C">
        <w:rPr>
          <w:lang w:val="fr-FR"/>
        </w:rPr>
        <w:t> ;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5.6.1.3.1.2</w:t>
      </w:r>
      <w:r w:rsidRPr="00DE4822">
        <w:rPr>
          <w:lang w:val="fr-FR"/>
        </w:rPr>
        <w:tab/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conditions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lesquelles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activé,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c’est</w:t>
      </w:r>
      <w:r w:rsidR="004D15A8">
        <w:rPr>
          <w:lang w:val="fr-FR"/>
        </w:rPr>
        <w:t>-</w:t>
      </w:r>
      <w:r w:rsidRPr="00DE4822">
        <w:rPr>
          <w:lang w:val="fr-FR"/>
        </w:rPr>
        <w:t>à</w:t>
      </w:r>
      <w:r w:rsidR="004D15A8">
        <w:rPr>
          <w:lang w:val="fr-FR"/>
        </w:rPr>
        <w:t>-</w:t>
      </w:r>
      <w:r w:rsidRPr="00DE4822">
        <w:rPr>
          <w:lang w:val="fr-FR"/>
        </w:rPr>
        <w:t>dire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lorsque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conditions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remplies</w:t>
      </w:r>
      <w:r w:rsidR="00EC442C">
        <w:rPr>
          <w:lang w:val="fr-FR"/>
        </w:rPr>
        <w:t> ;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5.6.1.3.1.3</w:t>
      </w:r>
      <w:r w:rsidRPr="00DE4822">
        <w:rPr>
          <w:lang w:val="fr-FR"/>
        </w:rPr>
        <w:tab/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RCP,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constructeur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expliquer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service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technique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protégé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activation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autorisée.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5.6.2</w:t>
      </w:r>
      <w:r w:rsidRPr="00DE4822">
        <w:rPr>
          <w:lang w:val="fr-FR"/>
        </w:rPr>
        <w:tab/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spéciales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applicables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ACSF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catégorie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B1</w:t>
      </w:r>
    </w:p>
    <w:p w:rsidR="00D643A6" w:rsidRPr="00DE4822" w:rsidRDefault="00D643A6" w:rsidP="00D559A4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Tout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ACSF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catégorie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B1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satisfaire,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cadre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conditions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limites,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ci</w:t>
      </w:r>
      <w:r w:rsidR="004D15A8">
        <w:rPr>
          <w:lang w:val="fr-FR"/>
        </w:rPr>
        <w:t>-</w:t>
      </w:r>
      <w:r w:rsidRPr="00DE4822">
        <w:rPr>
          <w:lang w:val="fr-FR"/>
        </w:rPr>
        <w:t>après.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5.6.2.1</w:t>
      </w:r>
      <w:r w:rsidRPr="00DE4822">
        <w:rPr>
          <w:lang w:val="fr-FR"/>
        </w:rPr>
        <w:tab/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générales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5.6.2.1.1</w:t>
      </w:r>
      <w:r w:rsidRPr="00DE4822">
        <w:rPr>
          <w:lang w:val="fr-FR"/>
        </w:rPr>
        <w:tab/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activé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veiller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franchisse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marques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routières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lorsque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l’accélération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latérale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inférieure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l’accélération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latérale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maximale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indiquée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constructeur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</w:t>
      </w:r>
      <w:proofErr w:type="spellStart"/>
      <w:r w:rsidRPr="00DE4822">
        <w:rPr>
          <w:lang w:val="fr-FR"/>
        </w:rPr>
        <w:t>ay</w:t>
      </w:r>
      <w:r w:rsidRPr="00DE4822">
        <w:rPr>
          <w:vertAlign w:val="subscript"/>
          <w:lang w:val="fr-FR"/>
        </w:rPr>
        <w:t>smax</w:t>
      </w:r>
      <w:proofErr w:type="spellEnd"/>
      <w:r w:rsidRPr="00DE4822">
        <w:rPr>
          <w:lang w:val="fr-FR"/>
        </w:rPr>
        <w:t>).</w:t>
      </w:r>
    </w:p>
    <w:p w:rsidR="00D643A6" w:rsidRPr="00DE4822" w:rsidRDefault="00D643A6" w:rsidP="00D559A4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dépasser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valeur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indiquée</w:t>
      </w:r>
      <w:r w:rsidR="00EC442C">
        <w:rPr>
          <w:lang w:val="fr-FR"/>
        </w:rPr>
        <w:t xml:space="preserve"> </w:t>
      </w:r>
      <w:proofErr w:type="spellStart"/>
      <w:r w:rsidRPr="00DE4822">
        <w:rPr>
          <w:lang w:val="fr-FR"/>
        </w:rPr>
        <w:t>ay</w:t>
      </w:r>
      <w:r w:rsidRPr="00DE4822">
        <w:rPr>
          <w:vertAlign w:val="subscript"/>
          <w:lang w:val="fr-FR"/>
        </w:rPr>
        <w:t>smax</w:t>
      </w:r>
      <w:proofErr w:type="spellEnd"/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0,3m/s</w:t>
      </w:r>
      <w:r w:rsidRPr="00DE4822">
        <w:rPr>
          <w:vertAlign w:val="superscript"/>
          <w:lang w:val="fr-FR"/>
        </w:rPr>
        <w:t>2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n’excédant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valeur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maximale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indiquée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tableau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5.6.2.1.3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5.6.2.1.2</w:t>
      </w:r>
      <w:r w:rsidRPr="00DE4822">
        <w:rPr>
          <w:lang w:val="fr-FR"/>
        </w:rPr>
        <w:tab/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équipé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dispositif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permettant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d’activer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(mode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veille)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désactiver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(mode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arrêt)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Celui</w:t>
      </w:r>
      <w:r w:rsidR="004D15A8">
        <w:rPr>
          <w:lang w:val="fr-FR"/>
        </w:rPr>
        <w:t>-</w:t>
      </w:r>
      <w:r w:rsidRPr="00DE4822">
        <w:rPr>
          <w:lang w:val="fr-FR"/>
        </w:rPr>
        <w:t>ci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pouvoir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désactivé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simple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ainsi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désactivé,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possible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réactiver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délibérée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5.6.2.1.3</w:t>
      </w:r>
      <w:r w:rsidRPr="00DE4822">
        <w:rPr>
          <w:lang w:val="fr-FR"/>
        </w:rPr>
        <w:tab/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conçu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façon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empêcher,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pendant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utilisation,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intervention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excessive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afin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puisse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garder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maîtrise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éviter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comportement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imprévu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cette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fin,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satisfait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ci</w:t>
      </w:r>
      <w:r w:rsidR="00AB4628">
        <w:rPr>
          <w:lang w:val="fr-FR"/>
        </w:rPr>
        <w:noBreakHyphen/>
      </w:r>
      <w:r w:rsidRPr="00DE4822">
        <w:rPr>
          <w:lang w:val="fr-FR"/>
        </w:rPr>
        <w:t>après</w:t>
      </w:r>
      <w:r w:rsidR="00EC442C">
        <w:rPr>
          <w:lang w:val="fr-FR"/>
        </w:rPr>
        <w:t> :</w:t>
      </w:r>
    </w:p>
    <w:p w:rsidR="00D643A6" w:rsidRPr="00DE4822" w:rsidRDefault="00D643A6" w:rsidP="000476D9">
      <w:pPr>
        <w:pStyle w:val="SingleTxtG"/>
        <w:ind w:left="2835" w:hanging="567"/>
        <w:rPr>
          <w:lang w:val="fr-FR"/>
        </w:rPr>
      </w:pPr>
      <w:r w:rsidRPr="00DE4822">
        <w:rPr>
          <w:lang w:val="fr-FR"/>
        </w:rPr>
        <w:t>a)</w:t>
      </w:r>
      <w:r w:rsidRPr="00DE4822">
        <w:rPr>
          <w:lang w:val="fr-FR"/>
        </w:rPr>
        <w:tab/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force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exercer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neutraliser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contrôle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trajectoire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effectué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supérieure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50</w:t>
      </w:r>
      <w:r w:rsidR="00114B63">
        <w:rPr>
          <w:lang w:val="fr-FR"/>
        </w:rPr>
        <w:t> </w:t>
      </w:r>
      <w:r w:rsidRPr="00DE4822">
        <w:rPr>
          <w:lang w:val="fr-FR"/>
        </w:rPr>
        <w:t>N</w:t>
      </w:r>
      <w:r w:rsidR="00EC442C">
        <w:rPr>
          <w:lang w:val="fr-FR"/>
        </w:rPr>
        <w:t> ;</w:t>
      </w:r>
    </w:p>
    <w:p w:rsidR="00D643A6" w:rsidRPr="00DE4822" w:rsidRDefault="00D643A6" w:rsidP="000476D9">
      <w:pPr>
        <w:pStyle w:val="SingleTxtG"/>
        <w:ind w:left="2835" w:hanging="567"/>
        <w:rPr>
          <w:lang w:val="fr-FR"/>
        </w:rPr>
      </w:pPr>
      <w:r w:rsidRPr="00DE4822">
        <w:rPr>
          <w:lang w:val="fr-FR"/>
        </w:rPr>
        <w:t>b)</w:t>
      </w:r>
      <w:r w:rsidRPr="00DE4822">
        <w:rPr>
          <w:lang w:val="fr-FR"/>
        </w:rPr>
        <w:tab/>
        <w:t>L’accélération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latérale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maximale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indiquée,</w:t>
      </w:r>
      <w:r w:rsidR="00EC442C">
        <w:rPr>
          <w:lang w:val="fr-FR"/>
        </w:rPr>
        <w:t xml:space="preserve"> </w:t>
      </w:r>
      <w:proofErr w:type="spellStart"/>
      <w:r w:rsidRPr="00DE4822">
        <w:rPr>
          <w:lang w:val="fr-FR"/>
        </w:rPr>
        <w:t>ay</w:t>
      </w:r>
      <w:r w:rsidRPr="00DE4822">
        <w:rPr>
          <w:vertAlign w:val="subscript"/>
          <w:lang w:val="fr-FR"/>
        </w:rPr>
        <w:t>smax</w:t>
      </w:r>
      <w:proofErr w:type="spellEnd"/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situer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limites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définies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tableau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suivant</w:t>
      </w:r>
      <w:r w:rsidR="00EC442C">
        <w:rPr>
          <w:lang w:val="fr-FR"/>
        </w:rPr>
        <w:t> :</w:t>
      </w:r>
    </w:p>
    <w:p w:rsidR="00D643A6" w:rsidRPr="00DE4822" w:rsidRDefault="00D643A6" w:rsidP="00ED2173">
      <w:pPr>
        <w:pStyle w:val="Heading1"/>
        <w:spacing w:after="120"/>
        <w:rPr>
          <w:lang w:val="fr-FR"/>
        </w:rPr>
      </w:pPr>
      <w:r w:rsidRPr="00DE4822">
        <w:rPr>
          <w:lang w:val="fr-FR"/>
        </w:rPr>
        <w:lastRenderedPageBreak/>
        <w:t>Tableau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1</w:t>
      </w:r>
    </w:p>
    <w:p w:rsidR="00086E31" w:rsidRDefault="00ED2173" w:rsidP="00ED2173">
      <w:pPr>
        <w:pStyle w:val="SingleTxtG"/>
        <w:keepNext/>
      </w:pPr>
      <w:r w:rsidRPr="00DE4822">
        <w:rPr>
          <w:b/>
          <w:lang w:val="fr-FR"/>
        </w:rPr>
        <w:t>Pour</w:t>
      </w:r>
      <w:r>
        <w:rPr>
          <w:b/>
          <w:lang w:val="fr-FR"/>
        </w:rPr>
        <w:t xml:space="preserve"> </w:t>
      </w:r>
      <w:r w:rsidRPr="00DE4822">
        <w:rPr>
          <w:b/>
          <w:lang w:val="fr-FR"/>
        </w:rPr>
        <w:t>les</w:t>
      </w:r>
      <w:r>
        <w:rPr>
          <w:b/>
          <w:lang w:val="fr-FR"/>
        </w:rPr>
        <w:t xml:space="preserve"> </w:t>
      </w:r>
      <w:r w:rsidRPr="00DE4822">
        <w:rPr>
          <w:b/>
          <w:lang w:val="fr-FR"/>
        </w:rPr>
        <w:t>véhicules</w:t>
      </w:r>
      <w:r>
        <w:rPr>
          <w:b/>
          <w:lang w:val="fr-FR"/>
        </w:rPr>
        <w:t xml:space="preserve"> </w:t>
      </w:r>
      <w:r w:rsidRPr="00DE4822">
        <w:rPr>
          <w:b/>
          <w:lang w:val="fr-FR"/>
        </w:rPr>
        <w:t>des</w:t>
      </w:r>
      <w:r>
        <w:rPr>
          <w:b/>
          <w:lang w:val="fr-FR"/>
        </w:rPr>
        <w:t xml:space="preserve"> </w:t>
      </w:r>
      <w:r w:rsidRPr="00DE4822">
        <w:rPr>
          <w:b/>
          <w:lang w:val="fr-FR"/>
        </w:rPr>
        <w:t>catégories</w:t>
      </w:r>
      <w:r>
        <w:rPr>
          <w:b/>
          <w:lang w:val="fr-FR"/>
        </w:rPr>
        <w:t xml:space="preserve"> </w:t>
      </w:r>
      <w:r w:rsidRPr="00DE4822">
        <w:rPr>
          <w:b/>
          <w:lang w:val="fr-FR"/>
        </w:rPr>
        <w:t>M</w:t>
      </w:r>
      <w:r w:rsidRPr="00DE4822">
        <w:rPr>
          <w:b/>
          <w:vertAlign w:val="subscript"/>
          <w:lang w:val="fr-FR"/>
        </w:rPr>
        <w:t>1</w:t>
      </w:r>
      <w:r>
        <w:rPr>
          <w:b/>
          <w:lang w:val="fr-FR"/>
        </w:rPr>
        <w:t xml:space="preserve"> </w:t>
      </w:r>
      <w:r w:rsidRPr="00DE4822">
        <w:rPr>
          <w:b/>
          <w:lang w:val="fr-FR"/>
        </w:rPr>
        <w:t>et</w:t>
      </w:r>
      <w:r>
        <w:rPr>
          <w:b/>
          <w:lang w:val="fr-FR"/>
        </w:rPr>
        <w:t xml:space="preserve"> </w:t>
      </w:r>
      <w:r w:rsidRPr="00DE4822">
        <w:rPr>
          <w:b/>
          <w:lang w:val="fr-FR"/>
        </w:rPr>
        <w:t>N</w:t>
      </w:r>
      <w:r w:rsidRPr="00DE4822">
        <w:rPr>
          <w:b/>
          <w:vertAlign w:val="subscript"/>
          <w:lang w:val="fr-FR"/>
        </w:rPr>
        <w:t>1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3"/>
        <w:gridCol w:w="1196"/>
        <w:gridCol w:w="1197"/>
        <w:gridCol w:w="1197"/>
        <w:gridCol w:w="1197"/>
      </w:tblGrid>
      <w:tr w:rsidR="00086E31" w:rsidRPr="00086E31" w:rsidTr="00B7682C">
        <w:trPr>
          <w:tblHeader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A6" w:rsidRPr="00086E31" w:rsidRDefault="00D643A6" w:rsidP="004B0C37">
            <w:pPr>
              <w:keepNext/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lang w:val="fr-FR" w:eastAsia="de-DE"/>
              </w:rPr>
            </w:pPr>
            <w:r w:rsidRPr="00086E31">
              <w:rPr>
                <w:i/>
                <w:sz w:val="16"/>
                <w:lang w:val="fr-FR" w:eastAsia="de-DE"/>
              </w:rPr>
              <w:t>Plage</w:t>
            </w:r>
            <w:r w:rsidR="00EC442C" w:rsidRPr="00086E31">
              <w:rPr>
                <w:i/>
                <w:sz w:val="16"/>
                <w:lang w:val="fr-FR" w:eastAsia="de-DE"/>
              </w:rPr>
              <w:t xml:space="preserve"> </w:t>
            </w:r>
            <w:r w:rsidRPr="00086E31">
              <w:rPr>
                <w:i/>
                <w:sz w:val="16"/>
                <w:lang w:val="fr-FR" w:eastAsia="de-DE"/>
              </w:rPr>
              <w:t>de</w:t>
            </w:r>
            <w:r w:rsidR="00EC442C" w:rsidRPr="00086E31">
              <w:rPr>
                <w:i/>
                <w:sz w:val="16"/>
                <w:lang w:val="fr-FR" w:eastAsia="de-DE"/>
              </w:rPr>
              <w:t xml:space="preserve"> </w:t>
            </w:r>
            <w:r w:rsidRPr="00086E31">
              <w:rPr>
                <w:i/>
                <w:sz w:val="16"/>
                <w:lang w:val="fr-FR" w:eastAsia="de-DE"/>
              </w:rPr>
              <w:t>vitesses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6" w:rsidRPr="00086E31" w:rsidRDefault="00D643A6" w:rsidP="004B0C37">
            <w:pPr>
              <w:keepNext/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FR" w:eastAsia="de-DE"/>
              </w:rPr>
            </w:pPr>
            <w:r w:rsidRPr="00086E31">
              <w:rPr>
                <w:i/>
                <w:sz w:val="16"/>
                <w:lang w:val="fr-FR" w:eastAsia="de-DE"/>
              </w:rPr>
              <w:t>10</w:t>
            </w:r>
            <w:r w:rsidR="004D15A8">
              <w:rPr>
                <w:i/>
                <w:sz w:val="16"/>
                <w:lang w:val="fr-FR" w:eastAsia="de-DE"/>
              </w:rPr>
              <w:t>-</w:t>
            </w:r>
            <w:r w:rsidRPr="00086E31">
              <w:rPr>
                <w:i/>
                <w:sz w:val="16"/>
                <w:lang w:val="fr-FR" w:eastAsia="de-DE"/>
              </w:rPr>
              <w:t>60</w:t>
            </w:r>
            <w:r w:rsidR="00EC442C" w:rsidRPr="00086E31">
              <w:rPr>
                <w:i/>
                <w:sz w:val="16"/>
                <w:lang w:val="fr-FR" w:eastAsia="de-DE"/>
              </w:rPr>
              <w:t xml:space="preserve"> </w:t>
            </w:r>
            <w:r w:rsidRPr="00086E31">
              <w:rPr>
                <w:i/>
                <w:sz w:val="16"/>
                <w:lang w:val="fr-FR" w:eastAsia="de-DE"/>
              </w:rPr>
              <w:t>km/h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6" w:rsidRPr="00086E31" w:rsidRDefault="00D643A6" w:rsidP="004B0C37">
            <w:pPr>
              <w:keepNext/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FR" w:eastAsia="de-DE"/>
              </w:rPr>
            </w:pPr>
            <w:r w:rsidRPr="00086E31">
              <w:rPr>
                <w:i/>
                <w:sz w:val="16"/>
                <w:lang w:val="fr-FR" w:eastAsia="de-DE"/>
              </w:rPr>
              <w:t>&gt;60</w:t>
            </w:r>
            <w:r w:rsidR="004D15A8">
              <w:rPr>
                <w:i/>
                <w:sz w:val="16"/>
                <w:lang w:val="fr-FR" w:eastAsia="de-DE"/>
              </w:rPr>
              <w:t>-</w:t>
            </w:r>
            <w:r w:rsidRPr="00086E31">
              <w:rPr>
                <w:i/>
                <w:sz w:val="16"/>
                <w:lang w:val="fr-FR" w:eastAsia="de-DE"/>
              </w:rPr>
              <w:t>100</w:t>
            </w:r>
            <w:r w:rsidR="00EC442C" w:rsidRPr="00086E31">
              <w:rPr>
                <w:i/>
                <w:sz w:val="16"/>
                <w:lang w:val="fr-FR" w:eastAsia="de-DE"/>
              </w:rPr>
              <w:t xml:space="preserve"> </w:t>
            </w:r>
            <w:r w:rsidRPr="00086E31">
              <w:rPr>
                <w:i/>
                <w:sz w:val="16"/>
                <w:lang w:val="fr-FR" w:eastAsia="de-DE"/>
              </w:rPr>
              <w:t>km/h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6" w:rsidRPr="00086E31" w:rsidRDefault="00D643A6" w:rsidP="004B0C37">
            <w:pPr>
              <w:keepNext/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FR" w:eastAsia="de-DE"/>
              </w:rPr>
            </w:pPr>
            <w:r w:rsidRPr="00086E31">
              <w:rPr>
                <w:i/>
                <w:sz w:val="16"/>
                <w:lang w:val="fr-FR" w:eastAsia="de-DE"/>
              </w:rPr>
              <w:t>&gt;100</w:t>
            </w:r>
            <w:r w:rsidR="004D15A8">
              <w:rPr>
                <w:i/>
                <w:sz w:val="16"/>
                <w:lang w:val="fr-FR" w:eastAsia="de-DE"/>
              </w:rPr>
              <w:t>-</w:t>
            </w:r>
            <w:r w:rsidRPr="00086E31">
              <w:rPr>
                <w:i/>
                <w:sz w:val="16"/>
                <w:lang w:val="fr-FR" w:eastAsia="de-DE"/>
              </w:rPr>
              <w:t>130</w:t>
            </w:r>
            <w:r w:rsidR="00EC442C" w:rsidRPr="00086E31">
              <w:rPr>
                <w:i/>
                <w:sz w:val="16"/>
                <w:lang w:val="fr-FR" w:eastAsia="de-DE"/>
              </w:rPr>
              <w:t xml:space="preserve"> </w:t>
            </w:r>
            <w:r w:rsidRPr="00086E31">
              <w:rPr>
                <w:i/>
                <w:sz w:val="16"/>
                <w:lang w:val="fr-FR" w:eastAsia="de-DE"/>
              </w:rPr>
              <w:t>km/h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6" w:rsidRPr="00086E31" w:rsidRDefault="00D643A6" w:rsidP="004B0C37">
            <w:pPr>
              <w:keepNext/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FR" w:eastAsia="de-DE"/>
              </w:rPr>
            </w:pPr>
            <w:r w:rsidRPr="00086E31">
              <w:rPr>
                <w:i/>
                <w:sz w:val="16"/>
                <w:lang w:val="fr-FR" w:eastAsia="de-DE"/>
              </w:rPr>
              <w:t>&gt;130</w:t>
            </w:r>
            <w:r w:rsidR="00EC442C" w:rsidRPr="00086E31">
              <w:rPr>
                <w:i/>
                <w:sz w:val="16"/>
                <w:lang w:val="fr-FR" w:eastAsia="de-DE"/>
              </w:rPr>
              <w:t xml:space="preserve"> </w:t>
            </w:r>
            <w:r w:rsidRPr="00086E31">
              <w:rPr>
                <w:i/>
                <w:sz w:val="16"/>
                <w:lang w:val="fr-FR" w:eastAsia="de-DE"/>
              </w:rPr>
              <w:t>km/h</w:t>
            </w:r>
          </w:p>
        </w:tc>
      </w:tr>
      <w:tr w:rsidR="004B0C37" w:rsidRPr="00086E31" w:rsidTr="00B7682C">
        <w:tc>
          <w:tcPr>
            <w:tcW w:w="25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3A6" w:rsidRPr="00A46FEA" w:rsidRDefault="00D643A6" w:rsidP="004B0C37">
            <w:pPr>
              <w:suppressAutoHyphens w:val="0"/>
              <w:spacing w:before="40" w:after="40" w:line="220" w:lineRule="exact"/>
              <w:ind w:left="57" w:right="57"/>
              <w:rPr>
                <w:spacing w:val="-1"/>
                <w:sz w:val="18"/>
                <w:szCs w:val="18"/>
                <w:lang w:val="fr-FR" w:eastAsia="de-DE"/>
              </w:rPr>
            </w:pPr>
            <w:r w:rsidRPr="00A46FEA">
              <w:rPr>
                <w:spacing w:val="-1"/>
                <w:sz w:val="18"/>
                <w:szCs w:val="18"/>
                <w:lang w:val="fr-FR" w:eastAsia="de-DE"/>
              </w:rPr>
              <w:t>Valeur</w:t>
            </w:r>
            <w:r w:rsidR="00EC442C" w:rsidRPr="00A46FEA">
              <w:rPr>
                <w:spacing w:val="-1"/>
                <w:sz w:val="18"/>
                <w:szCs w:val="18"/>
                <w:lang w:val="fr-FR" w:eastAsia="de-DE"/>
              </w:rPr>
              <w:t xml:space="preserve"> </w:t>
            </w:r>
            <w:r w:rsidRPr="00A46FEA">
              <w:rPr>
                <w:spacing w:val="-1"/>
                <w:sz w:val="18"/>
                <w:szCs w:val="18"/>
                <w:lang w:val="fr-FR" w:eastAsia="de-DE"/>
              </w:rPr>
              <w:t>maximale</w:t>
            </w:r>
            <w:r w:rsidR="00EC442C" w:rsidRPr="00A46FEA">
              <w:rPr>
                <w:spacing w:val="-1"/>
                <w:sz w:val="18"/>
                <w:szCs w:val="18"/>
                <w:lang w:val="fr-FR" w:eastAsia="de-DE"/>
              </w:rPr>
              <w:t xml:space="preserve"> </w:t>
            </w:r>
            <w:r w:rsidRPr="00A46FEA">
              <w:rPr>
                <w:spacing w:val="-1"/>
                <w:sz w:val="18"/>
                <w:szCs w:val="18"/>
                <w:lang w:val="fr-FR" w:eastAsia="de-DE"/>
              </w:rPr>
              <w:t>de</w:t>
            </w:r>
            <w:r w:rsidR="00EC442C" w:rsidRPr="00A46FEA">
              <w:rPr>
                <w:spacing w:val="-1"/>
                <w:sz w:val="18"/>
                <w:szCs w:val="18"/>
                <w:lang w:val="fr-FR" w:eastAsia="de-DE"/>
              </w:rPr>
              <w:t xml:space="preserve"> </w:t>
            </w:r>
            <w:r w:rsidRPr="00A46FEA">
              <w:rPr>
                <w:spacing w:val="-1"/>
                <w:sz w:val="18"/>
                <w:szCs w:val="18"/>
                <w:lang w:val="fr-FR" w:eastAsia="de-DE"/>
              </w:rPr>
              <w:t>l’accélération</w:t>
            </w:r>
            <w:r w:rsidR="00EC442C" w:rsidRPr="00A46FEA">
              <w:rPr>
                <w:spacing w:val="-1"/>
                <w:sz w:val="18"/>
                <w:szCs w:val="18"/>
                <w:lang w:val="fr-FR" w:eastAsia="de-DE"/>
              </w:rPr>
              <w:t xml:space="preserve"> </w:t>
            </w:r>
            <w:r w:rsidRPr="00A46FEA">
              <w:rPr>
                <w:spacing w:val="-1"/>
                <w:sz w:val="18"/>
                <w:szCs w:val="18"/>
                <w:lang w:val="fr-FR" w:eastAsia="de-DE"/>
              </w:rPr>
              <w:t>latérale</w:t>
            </w:r>
            <w:r w:rsidR="00EC442C" w:rsidRPr="00A46FEA">
              <w:rPr>
                <w:spacing w:val="-1"/>
                <w:sz w:val="18"/>
                <w:szCs w:val="18"/>
                <w:lang w:val="fr-FR" w:eastAsia="de-DE"/>
              </w:rPr>
              <w:t xml:space="preserve"> </w:t>
            </w:r>
            <w:r w:rsidRPr="00A46FEA">
              <w:rPr>
                <w:spacing w:val="-1"/>
                <w:sz w:val="18"/>
                <w:szCs w:val="18"/>
                <w:lang w:val="fr-FR" w:eastAsia="de-DE"/>
              </w:rPr>
              <w:t>maximale</w:t>
            </w:r>
            <w:r w:rsidR="00EC442C" w:rsidRPr="00A46FEA">
              <w:rPr>
                <w:spacing w:val="-1"/>
                <w:sz w:val="18"/>
                <w:szCs w:val="18"/>
                <w:lang w:val="fr-FR" w:eastAsia="de-DE"/>
              </w:rPr>
              <w:t xml:space="preserve"> </w:t>
            </w:r>
            <w:r w:rsidRPr="00A46FEA">
              <w:rPr>
                <w:spacing w:val="-1"/>
                <w:sz w:val="18"/>
                <w:szCs w:val="18"/>
                <w:lang w:val="fr-FR" w:eastAsia="de-DE"/>
              </w:rPr>
              <w:t>indiquée</w:t>
            </w:r>
            <w:r w:rsidR="00EC442C" w:rsidRPr="00A46FEA">
              <w:rPr>
                <w:spacing w:val="-1"/>
                <w:sz w:val="18"/>
                <w:szCs w:val="18"/>
                <w:lang w:val="fr-FR" w:eastAsia="de-DE"/>
              </w:rPr>
              <w:t xml:space="preserve"> 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3A6" w:rsidRPr="00086E31" w:rsidRDefault="00D643A6" w:rsidP="00F431FA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 w:eastAsia="de-DE"/>
              </w:rPr>
            </w:pPr>
            <w:r w:rsidRPr="00086E31">
              <w:rPr>
                <w:sz w:val="18"/>
                <w:szCs w:val="18"/>
                <w:lang w:val="fr-FR" w:eastAsia="de-DE"/>
              </w:rPr>
              <w:t>3</w:t>
            </w:r>
            <w:r w:rsidR="00EC442C" w:rsidRPr="00086E31">
              <w:rPr>
                <w:sz w:val="18"/>
                <w:szCs w:val="18"/>
                <w:lang w:val="fr-FR" w:eastAsia="de-DE"/>
              </w:rPr>
              <w:t xml:space="preserve"> </w:t>
            </w:r>
            <w:r w:rsidRPr="00086E31">
              <w:rPr>
                <w:sz w:val="18"/>
                <w:szCs w:val="18"/>
                <w:lang w:val="fr-FR" w:eastAsia="de-DE"/>
              </w:rPr>
              <w:t>m/s</w:t>
            </w:r>
            <w:r w:rsidR="00F431FA" w:rsidRPr="00F431FA">
              <w:rPr>
                <w:sz w:val="18"/>
                <w:szCs w:val="18"/>
                <w:vertAlign w:val="superscript"/>
                <w:lang w:val="fr-FR" w:eastAsia="de-DE"/>
              </w:rPr>
              <w:t>2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3A6" w:rsidRPr="00086E31" w:rsidRDefault="00D643A6" w:rsidP="004B0C37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 w:eastAsia="de-DE"/>
              </w:rPr>
            </w:pPr>
            <w:r w:rsidRPr="00086E31">
              <w:rPr>
                <w:sz w:val="18"/>
                <w:szCs w:val="18"/>
                <w:lang w:val="fr-FR" w:eastAsia="de-DE"/>
              </w:rPr>
              <w:t>3</w:t>
            </w:r>
            <w:r w:rsidR="00EC442C" w:rsidRPr="00086E31">
              <w:rPr>
                <w:sz w:val="18"/>
                <w:szCs w:val="18"/>
                <w:lang w:val="fr-FR" w:eastAsia="de-DE"/>
              </w:rPr>
              <w:t xml:space="preserve"> </w:t>
            </w:r>
            <w:r w:rsidRPr="00086E31">
              <w:rPr>
                <w:sz w:val="18"/>
                <w:szCs w:val="18"/>
                <w:lang w:val="fr-FR" w:eastAsia="de-DE"/>
              </w:rPr>
              <w:t>m/s</w:t>
            </w:r>
            <w:r w:rsidR="00F431FA" w:rsidRPr="00F431FA">
              <w:rPr>
                <w:sz w:val="18"/>
                <w:szCs w:val="18"/>
                <w:vertAlign w:val="superscript"/>
                <w:lang w:val="fr-FR" w:eastAsia="de-DE"/>
              </w:rPr>
              <w:t>2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3A6" w:rsidRPr="00086E31" w:rsidRDefault="00D643A6" w:rsidP="004B0C37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 w:eastAsia="de-DE"/>
              </w:rPr>
            </w:pPr>
            <w:r w:rsidRPr="00086E31">
              <w:rPr>
                <w:sz w:val="18"/>
                <w:szCs w:val="18"/>
                <w:lang w:val="fr-FR" w:eastAsia="de-DE"/>
              </w:rPr>
              <w:t>3</w:t>
            </w:r>
            <w:r w:rsidR="00EC442C" w:rsidRPr="00086E31">
              <w:rPr>
                <w:sz w:val="18"/>
                <w:szCs w:val="18"/>
                <w:lang w:val="fr-FR" w:eastAsia="de-DE"/>
              </w:rPr>
              <w:t xml:space="preserve"> </w:t>
            </w:r>
            <w:r w:rsidRPr="00086E31">
              <w:rPr>
                <w:sz w:val="18"/>
                <w:szCs w:val="18"/>
                <w:lang w:val="fr-FR" w:eastAsia="de-DE"/>
              </w:rPr>
              <w:t>m/s</w:t>
            </w:r>
            <w:r w:rsidR="00F431FA" w:rsidRPr="00F431FA">
              <w:rPr>
                <w:sz w:val="18"/>
                <w:szCs w:val="18"/>
                <w:vertAlign w:val="superscript"/>
                <w:lang w:val="fr-FR" w:eastAsia="de-DE"/>
              </w:rPr>
              <w:t>2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3A6" w:rsidRPr="00086E31" w:rsidRDefault="00D643A6" w:rsidP="004B0C37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 w:eastAsia="de-DE"/>
              </w:rPr>
            </w:pPr>
            <w:r w:rsidRPr="00086E31">
              <w:rPr>
                <w:sz w:val="18"/>
                <w:szCs w:val="18"/>
                <w:lang w:val="fr-FR" w:eastAsia="de-DE"/>
              </w:rPr>
              <w:t>3</w:t>
            </w:r>
            <w:r w:rsidR="00EC442C" w:rsidRPr="00086E31">
              <w:rPr>
                <w:sz w:val="18"/>
                <w:szCs w:val="18"/>
                <w:lang w:val="fr-FR" w:eastAsia="de-DE"/>
              </w:rPr>
              <w:t xml:space="preserve"> </w:t>
            </w:r>
            <w:r w:rsidRPr="00086E31">
              <w:rPr>
                <w:sz w:val="18"/>
                <w:szCs w:val="18"/>
                <w:lang w:val="fr-FR" w:eastAsia="de-DE"/>
              </w:rPr>
              <w:t>m/s</w:t>
            </w:r>
            <w:r w:rsidR="00F431FA" w:rsidRPr="00F431FA">
              <w:rPr>
                <w:sz w:val="18"/>
                <w:szCs w:val="18"/>
                <w:vertAlign w:val="superscript"/>
                <w:lang w:val="fr-FR" w:eastAsia="de-DE"/>
              </w:rPr>
              <w:t>2</w:t>
            </w:r>
          </w:p>
        </w:tc>
      </w:tr>
      <w:tr w:rsidR="00086E31" w:rsidRPr="00086E31" w:rsidTr="00B7682C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3A6" w:rsidRPr="00086E31" w:rsidRDefault="00D643A6" w:rsidP="004B0C37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  <w:lang w:val="fr-FR" w:eastAsia="de-DE"/>
              </w:rPr>
            </w:pPr>
            <w:r w:rsidRPr="00086E31">
              <w:rPr>
                <w:sz w:val="18"/>
                <w:szCs w:val="18"/>
                <w:lang w:val="fr-FR" w:eastAsia="de-DE"/>
              </w:rPr>
              <w:t>Valeur</w:t>
            </w:r>
            <w:r w:rsidR="00EC442C" w:rsidRPr="00086E31">
              <w:rPr>
                <w:sz w:val="18"/>
                <w:szCs w:val="18"/>
                <w:lang w:val="fr-FR" w:eastAsia="de-DE"/>
              </w:rPr>
              <w:t xml:space="preserve"> </w:t>
            </w:r>
            <w:r w:rsidRPr="00086E31">
              <w:rPr>
                <w:sz w:val="18"/>
                <w:szCs w:val="18"/>
                <w:lang w:val="fr-FR" w:eastAsia="de-DE"/>
              </w:rPr>
              <w:t>minimale</w:t>
            </w:r>
            <w:r w:rsidR="00EC442C" w:rsidRPr="00086E31">
              <w:rPr>
                <w:sz w:val="18"/>
                <w:szCs w:val="18"/>
                <w:lang w:val="fr-FR" w:eastAsia="de-DE"/>
              </w:rPr>
              <w:t xml:space="preserve"> </w:t>
            </w:r>
            <w:r w:rsidRPr="00086E31">
              <w:rPr>
                <w:sz w:val="18"/>
                <w:szCs w:val="18"/>
                <w:lang w:val="fr-FR" w:eastAsia="de-DE"/>
              </w:rPr>
              <w:t>de</w:t>
            </w:r>
            <w:r w:rsidR="00EC442C" w:rsidRPr="00086E31">
              <w:rPr>
                <w:sz w:val="18"/>
                <w:szCs w:val="18"/>
                <w:lang w:val="fr-FR" w:eastAsia="de-DE"/>
              </w:rPr>
              <w:t xml:space="preserve"> </w:t>
            </w:r>
            <w:r w:rsidRPr="00086E31">
              <w:rPr>
                <w:sz w:val="18"/>
                <w:szCs w:val="18"/>
                <w:lang w:val="fr-FR" w:eastAsia="de-DE"/>
              </w:rPr>
              <w:t>l’accélération</w:t>
            </w:r>
            <w:r w:rsidR="00EC442C" w:rsidRPr="00086E31">
              <w:rPr>
                <w:sz w:val="18"/>
                <w:szCs w:val="18"/>
                <w:lang w:val="fr-FR" w:eastAsia="de-DE"/>
              </w:rPr>
              <w:t xml:space="preserve"> </w:t>
            </w:r>
            <w:r w:rsidRPr="00086E31">
              <w:rPr>
                <w:sz w:val="18"/>
                <w:szCs w:val="18"/>
                <w:lang w:val="fr-FR" w:eastAsia="de-DE"/>
              </w:rPr>
              <w:t>latérale</w:t>
            </w:r>
            <w:r w:rsidR="00EC442C" w:rsidRPr="00086E31">
              <w:rPr>
                <w:sz w:val="18"/>
                <w:szCs w:val="18"/>
                <w:lang w:val="fr-FR" w:eastAsia="de-DE"/>
              </w:rPr>
              <w:t xml:space="preserve"> </w:t>
            </w:r>
            <w:r w:rsidRPr="00086E31">
              <w:rPr>
                <w:sz w:val="18"/>
                <w:szCs w:val="18"/>
                <w:lang w:val="fr-FR" w:eastAsia="de-DE"/>
              </w:rPr>
              <w:t>maximale</w:t>
            </w:r>
            <w:r w:rsidR="00EC442C" w:rsidRPr="00086E31">
              <w:rPr>
                <w:sz w:val="18"/>
                <w:szCs w:val="18"/>
                <w:lang w:val="fr-FR" w:eastAsia="de-DE"/>
              </w:rPr>
              <w:t xml:space="preserve"> </w:t>
            </w:r>
            <w:r w:rsidRPr="00086E31">
              <w:rPr>
                <w:sz w:val="18"/>
                <w:szCs w:val="18"/>
                <w:lang w:val="fr-FR" w:eastAsia="de-DE"/>
              </w:rPr>
              <w:t>indiquée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3A6" w:rsidRPr="00086E31" w:rsidRDefault="00D643A6" w:rsidP="004B0C37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 w:eastAsia="de-DE"/>
              </w:rPr>
            </w:pPr>
            <w:r w:rsidRPr="00086E31">
              <w:rPr>
                <w:sz w:val="18"/>
                <w:szCs w:val="18"/>
                <w:lang w:val="fr-FR" w:eastAsia="de-DE"/>
              </w:rPr>
              <w:t>0</w:t>
            </w:r>
            <w:r w:rsidR="00EC442C" w:rsidRPr="00086E31">
              <w:rPr>
                <w:sz w:val="18"/>
                <w:szCs w:val="18"/>
                <w:lang w:val="fr-FR" w:eastAsia="de-DE"/>
              </w:rPr>
              <w:t xml:space="preserve"> </w:t>
            </w:r>
            <w:r w:rsidRPr="00086E31">
              <w:rPr>
                <w:sz w:val="18"/>
                <w:szCs w:val="18"/>
                <w:lang w:val="fr-FR" w:eastAsia="de-DE"/>
              </w:rPr>
              <w:t>m/s</w:t>
            </w:r>
            <w:r w:rsidR="00F431FA" w:rsidRPr="00F431FA">
              <w:rPr>
                <w:sz w:val="18"/>
                <w:szCs w:val="18"/>
                <w:vertAlign w:val="superscript"/>
                <w:lang w:val="fr-FR" w:eastAsia="de-DE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3A6" w:rsidRPr="00086E31" w:rsidRDefault="00D643A6" w:rsidP="004B0C37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 w:eastAsia="de-DE"/>
              </w:rPr>
            </w:pPr>
            <w:r w:rsidRPr="00086E31">
              <w:rPr>
                <w:sz w:val="18"/>
                <w:szCs w:val="18"/>
                <w:lang w:val="fr-FR" w:eastAsia="de-DE"/>
              </w:rPr>
              <w:t>0,5</w:t>
            </w:r>
            <w:r w:rsidR="00EC442C" w:rsidRPr="00086E31">
              <w:rPr>
                <w:sz w:val="18"/>
                <w:szCs w:val="18"/>
                <w:lang w:val="fr-FR" w:eastAsia="de-DE"/>
              </w:rPr>
              <w:t xml:space="preserve"> </w:t>
            </w:r>
            <w:r w:rsidRPr="00086E31">
              <w:rPr>
                <w:sz w:val="18"/>
                <w:szCs w:val="18"/>
                <w:lang w:val="fr-FR" w:eastAsia="de-DE"/>
              </w:rPr>
              <w:t>m/s</w:t>
            </w:r>
            <w:r w:rsidR="00F431FA" w:rsidRPr="00F431FA">
              <w:rPr>
                <w:sz w:val="18"/>
                <w:szCs w:val="18"/>
                <w:vertAlign w:val="superscript"/>
                <w:lang w:val="fr-FR" w:eastAsia="de-DE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3A6" w:rsidRPr="00086E31" w:rsidRDefault="00D643A6" w:rsidP="004B0C37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 w:eastAsia="de-DE"/>
              </w:rPr>
            </w:pPr>
            <w:r w:rsidRPr="00086E31">
              <w:rPr>
                <w:bCs/>
                <w:sz w:val="18"/>
                <w:szCs w:val="18"/>
                <w:lang w:val="fr-FR" w:eastAsia="de-DE"/>
              </w:rPr>
              <w:t>0,8</w:t>
            </w:r>
            <w:r w:rsidR="00EC442C" w:rsidRPr="00086E31">
              <w:rPr>
                <w:bCs/>
                <w:sz w:val="18"/>
                <w:szCs w:val="18"/>
                <w:lang w:val="fr-FR" w:eastAsia="de-DE"/>
              </w:rPr>
              <w:t xml:space="preserve"> </w:t>
            </w:r>
            <w:r w:rsidRPr="00086E31">
              <w:rPr>
                <w:sz w:val="18"/>
                <w:szCs w:val="18"/>
                <w:lang w:val="fr-FR" w:eastAsia="de-DE"/>
              </w:rPr>
              <w:t>m/s</w:t>
            </w:r>
            <w:r w:rsidR="00F431FA" w:rsidRPr="00F431FA">
              <w:rPr>
                <w:sz w:val="18"/>
                <w:szCs w:val="18"/>
                <w:vertAlign w:val="superscript"/>
                <w:lang w:val="fr-FR" w:eastAsia="de-DE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3A6" w:rsidRPr="00086E31" w:rsidRDefault="00D643A6" w:rsidP="004B0C37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 w:eastAsia="de-DE"/>
              </w:rPr>
            </w:pPr>
            <w:r w:rsidRPr="00086E31">
              <w:rPr>
                <w:sz w:val="18"/>
                <w:szCs w:val="18"/>
                <w:lang w:val="fr-FR" w:eastAsia="de-DE"/>
              </w:rPr>
              <w:t>0,3</w:t>
            </w:r>
            <w:r w:rsidR="00EC442C" w:rsidRPr="00086E31">
              <w:rPr>
                <w:sz w:val="18"/>
                <w:szCs w:val="18"/>
                <w:lang w:val="fr-FR" w:eastAsia="de-DE"/>
              </w:rPr>
              <w:t xml:space="preserve"> </w:t>
            </w:r>
            <w:r w:rsidRPr="00086E31">
              <w:rPr>
                <w:sz w:val="18"/>
                <w:szCs w:val="18"/>
                <w:lang w:val="fr-FR" w:eastAsia="de-DE"/>
              </w:rPr>
              <w:t>m/s</w:t>
            </w:r>
            <w:r w:rsidR="00F431FA" w:rsidRPr="00F431FA">
              <w:rPr>
                <w:sz w:val="18"/>
                <w:szCs w:val="18"/>
                <w:vertAlign w:val="superscript"/>
                <w:lang w:val="fr-FR" w:eastAsia="de-DE"/>
              </w:rPr>
              <w:t>2</w:t>
            </w:r>
          </w:p>
        </w:tc>
      </w:tr>
    </w:tbl>
    <w:p w:rsidR="00086E31" w:rsidRPr="00ED2173" w:rsidRDefault="00ED2173" w:rsidP="00ED2173">
      <w:pPr>
        <w:pStyle w:val="SingleTxtG"/>
        <w:keepNext/>
        <w:spacing w:before="120"/>
        <w:rPr>
          <w:b/>
        </w:rPr>
      </w:pPr>
      <w:r w:rsidRPr="00ED2173">
        <w:rPr>
          <w:b/>
          <w:lang w:val="fr-FR"/>
        </w:rPr>
        <w:t>Pour les véhicules des catégories</w:t>
      </w:r>
      <w:r w:rsidRPr="00ED2173">
        <w:rPr>
          <w:b/>
          <w:lang w:val="fr-FR" w:eastAsia="de-DE"/>
        </w:rPr>
        <w:t xml:space="preserve"> M</w:t>
      </w:r>
      <w:r w:rsidRPr="00ED2173">
        <w:rPr>
          <w:b/>
          <w:vertAlign w:val="subscript"/>
          <w:lang w:val="fr-FR" w:eastAsia="de-DE"/>
        </w:rPr>
        <w:t>2</w:t>
      </w:r>
      <w:r w:rsidRPr="00ED2173">
        <w:rPr>
          <w:b/>
          <w:lang w:val="fr-FR" w:eastAsia="de-DE"/>
        </w:rPr>
        <w:t>, M</w:t>
      </w:r>
      <w:r w:rsidRPr="00ED2173">
        <w:rPr>
          <w:b/>
          <w:vertAlign w:val="subscript"/>
          <w:lang w:val="fr-FR" w:eastAsia="de-DE"/>
        </w:rPr>
        <w:t>3</w:t>
      </w:r>
      <w:r w:rsidRPr="00ED2173">
        <w:rPr>
          <w:b/>
          <w:lang w:val="fr-FR" w:eastAsia="de-DE"/>
        </w:rPr>
        <w:t>, N</w:t>
      </w:r>
      <w:r w:rsidRPr="00ED2173">
        <w:rPr>
          <w:b/>
          <w:vertAlign w:val="subscript"/>
          <w:lang w:val="fr-FR" w:eastAsia="de-DE"/>
        </w:rPr>
        <w:t>2</w:t>
      </w:r>
      <w:r w:rsidRPr="00ED2173">
        <w:rPr>
          <w:b/>
          <w:lang w:val="fr-FR" w:eastAsia="de-DE"/>
        </w:rPr>
        <w:t xml:space="preserve"> et N</w:t>
      </w:r>
      <w:r w:rsidRPr="00ED2173">
        <w:rPr>
          <w:b/>
          <w:vertAlign w:val="subscript"/>
          <w:lang w:val="fr-FR" w:eastAsia="de-DE"/>
        </w:rPr>
        <w:t>3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3"/>
        <w:gridCol w:w="1196"/>
        <w:gridCol w:w="1197"/>
        <w:gridCol w:w="1197"/>
        <w:gridCol w:w="1197"/>
      </w:tblGrid>
      <w:tr w:rsidR="00086E31" w:rsidRPr="00086E31" w:rsidTr="00AB4628">
        <w:trPr>
          <w:tblHeader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3A6" w:rsidRPr="00086E31" w:rsidRDefault="00D643A6" w:rsidP="004B0C37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lang w:val="fr-FR" w:eastAsia="de-DE"/>
              </w:rPr>
            </w:pPr>
            <w:r w:rsidRPr="00086E31">
              <w:rPr>
                <w:i/>
                <w:sz w:val="16"/>
                <w:lang w:val="fr-FR" w:eastAsia="de-DE"/>
              </w:rPr>
              <w:t>Plage</w:t>
            </w:r>
            <w:r w:rsidR="00EC442C" w:rsidRPr="00086E31">
              <w:rPr>
                <w:i/>
                <w:sz w:val="16"/>
                <w:lang w:val="fr-FR" w:eastAsia="de-DE"/>
              </w:rPr>
              <w:t xml:space="preserve"> </w:t>
            </w:r>
            <w:r w:rsidRPr="00086E31">
              <w:rPr>
                <w:i/>
                <w:sz w:val="16"/>
                <w:lang w:val="fr-FR" w:eastAsia="de-DE"/>
              </w:rPr>
              <w:t>de</w:t>
            </w:r>
            <w:r w:rsidR="00EC442C" w:rsidRPr="00086E31">
              <w:rPr>
                <w:i/>
                <w:sz w:val="16"/>
                <w:lang w:val="fr-FR" w:eastAsia="de-DE"/>
              </w:rPr>
              <w:t xml:space="preserve"> </w:t>
            </w:r>
            <w:r w:rsidRPr="00086E31">
              <w:rPr>
                <w:i/>
                <w:sz w:val="16"/>
                <w:lang w:val="fr-FR" w:eastAsia="de-DE"/>
              </w:rPr>
              <w:t>vitesses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6" w:rsidRPr="00086E31" w:rsidRDefault="00D643A6" w:rsidP="004B0C37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FR" w:eastAsia="de-DE"/>
              </w:rPr>
            </w:pPr>
            <w:r w:rsidRPr="00086E31">
              <w:rPr>
                <w:i/>
                <w:sz w:val="16"/>
                <w:lang w:val="fr-FR" w:eastAsia="de-DE"/>
              </w:rPr>
              <w:t>10</w:t>
            </w:r>
            <w:r w:rsidR="004D15A8">
              <w:rPr>
                <w:i/>
                <w:sz w:val="16"/>
                <w:lang w:val="fr-FR" w:eastAsia="de-DE"/>
              </w:rPr>
              <w:t>-</w:t>
            </w:r>
            <w:r w:rsidRPr="00086E31">
              <w:rPr>
                <w:i/>
                <w:sz w:val="16"/>
                <w:lang w:val="fr-FR" w:eastAsia="de-DE"/>
              </w:rPr>
              <w:t>30</w:t>
            </w:r>
            <w:r w:rsidR="00EC442C" w:rsidRPr="00086E31">
              <w:rPr>
                <w:i/>
                <w:sz w:val="16"/>
                <w:lang w:val="fr-FR" w:eastAsia="de-DE"/>
              </w:rPr>
              <w:t xml:space="preserve"> </w:t>
            </w:r>
            <w:r w:rsidRPr="00086E31">
              <w:rPr>
                <w:i/>
                <w:sz w:val="16"/>
                <w:lang w:val="fr-FR" w:eastAsia="de-DE"/>
              </w:rPr>
              <w:t>km/h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6" w:rsidRPr="00086E31" w:rsidRDefault="00D643A6" w:rsidP="004B0C37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FR" w:eastAsia="de-DE"/>
              </w:rPr>
            </w:pPr>
            <w:r w:rsidRPr="00086E31">
              <w:rPr>
                <w:i/>
                <w:sz w:val="16"/>
                <w:lang w:val="fr-FR" w:eastAsia="de-DE"/>
              </w:rPr>
              <w:t>&gt;30</w:t>
            </w:r>
            <w:r w:rsidR="004D15A8">
              <w:rPr>
                <w:i/>
                <w:sz w:val="16"/>
                <w:lang w:val="fr-FR" w:eastAsia="de-DE"/>
              </w:rPr>
              <w:t>-</w:t>
            </w:r>
            <w:r w:rsidRPr="00086E31">
              <w:rPr>
                <w:i/>
                <w:sz w:val="16"/>
                <w:lang w:val="fr-FR" w:eastAsia="de-DE"/>
              </w:rPr>
              <w:t>60</w:t>
            </w:r>
            <w:r w:rsidR="00EC442C" w:rsidRPr="00086E31">
              <w:rPr>
                <w:i/>
                <w:sz w:val="16"/>
                <w:lang w:val="fr-FR" w:eastAsia="de-DE"/>
              </w:rPr>
              <w:t xml:space="preserve"> </w:t>
            </w:r>
            <w:r w:rsidRPr="00086E31">
              <w:rPr>
                <w:i/>
                <w:sz w:val="16"/>
                <w:lang w:val="fr-FR" w:eastAsia="de-DE"/>
              </w:rPr>
              <w:t>km/h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6" w:rsidRPr="00086E31" w:rsidRDefault="00D643A6" w:rsidP="004B0C37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FR" w:eastAsia="de-DE"/>
              </w:rPr>
            </w:pPr>
            <w:r w:rsidRPr="00086E31">
              <w:rPr>
                <w:i/>
                <w:sz w:val="16"/>
                <w:lang w:val="fr-FR" w:eastAsia="de-DE"/>
              </w:rPr>
              <w:t>&gt;60</w:t>
            </w:r>
            <w:r w:rsidR="00EC442C" w:rsidRPr="00086E31">
              <w:rPr>
                <w:i/>
                <w:sz w:val="16"/>
                <w:lang w:val="fr-FR" w:eastAsia="de-DE"/>
              </w:rPr>
              <w:t xml:space="preserve"> </w:t>
            </w:r>
            <w:r w:rsidRPr="00086E31">
              <w:rPr>
                <w:i/>
                <w:sz w:val="16"/>
                <w:lang w:val="fr-FR" w:eastAsia="de-DE"/>
              </w:rPr>
              <w:t>km/h</w:t>
            </w:r>
          </w:p>
        </w:tc>
        <w:tc>
          <w:tcPr>
            <w:tcW w:w="119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643A6" w:rsidRPr="00086E31" w:rsidRDefault="00D643A6" w:rsidP="004B0C37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FR" w:eastAsia="de-DE"/>
              </w:rPr>
            </w:pPr>
          </w:p>
        </w:tc>
      </w:tr>
      <w:tr w:rsidR="00F431FA" w:rsidRPr="00086E31" w:rsidTr="00AB4628">
        <w:tc>
          <w:tcPr>
            <w:tcW w:w="25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3A6" w:rsidRPr="00A46FEA" w:rsidRDefault="00D643A6" w:rsidP="004B0C37">
            <w:pPr>
              <w:suppressAutoHyphens w:val="0"/>
              <w:spacing w:before="40" w:after="40" w:line="220" w:lineRule="exact"/>
              <w:ind w:left="57" w:right="57"/>
              <w:rPr>
                <w:spacing w:val="-1"/>
                <w:sz w:val="18"/>
                <w:szCs w:val="18"/>
                <w:lang w:val="fr-FR" w:eastAsia="de-DE"/>
              </w:rPr>
            </w:pPr>
            <w:r w:rsidRPr="00A46FEA">
              <w:rPr>
                <w:spacing w:val="-1"/>
                <w:sz w:val="18"/>
                <w:szCs w:val="18"/>
                <w:lang w:val="fr-FR" w:eastAsia="de-DE"/>
              </w:rPr>
              <w:t>Valeur</w:t>
            </w:r>
            <w:r w:rsidR="00EC442C" w:rsidRPr="00A46FEA">
              <w:rPr>
                <w:spacing w:val="-1"/>
                <w:sz w:val="18"/>
                <w:szCs w:val="18"/>
                <w:lang w:val="fr-FR" w:eastAsia="de-DE"/>
              </w:rPr>
              <w:t xml:space="preserve"> </w:t>
            </w:r>
            <w:r w:rsidRPr="00A46FEA">
              <w:rPr>
                <w:spacing w:val="-1"/>
                <w:sz w:val="18"/>
                <w:szCs w:val="18"/>
                <w:lang w:val="fr-FR" w:eastAsia="de-DE"/>
              </w:rPr>
              <w:t>maximale</w:t>
            </w:r>
            <w:r w:rsidR="00EC442C" w:rsidRPr="00A46FEA">
              <w:rPr>
                <w:spacing w:val="-1"/>
                <w:sz w:val="18"/>
                <w:szCs w:val="18"/>
                <w:lang w:val="fr-FR" w:eastAsia="de-DE"/>
              </w:rPr>
              <w:t xml:space="preserve"> </w:t>
            </w:r>
            <w:r w:rsidRPr="00A46FEA">
              <w:rPr>
                <w:spacing w:val="-1"/>
                <w:sz w:val="18"/>
                <w:szCs w:val="18"/>
                <w:lang w:val="fr-FR" w:eastAsia="de-DE"/>
              </w:rPr>
              <w:t>de</w:t>
            </w:r>
            <w:r w:rsidR="00EC442C" w:rsidRPr="00A46FEA">
              <w:rPr>
                <w:spacing w:val="-1"/>
                <w:sz w:val="18"/>
                <w:szCs w:val="18"/>
                <w:lang w:val="fr-FR" w:eastAsia="de-DE"/>
              </w:rPr>
              <w:t xml:space="preserve"> </w:t>
            </w:r>
            <w:r w:rsidRPr="00A46FEA">
              <w:rPr>
                <w:spacing w:val="-1"/>
                <w:sz w:val="18"/>
                <w:szCs w:val="18"/>
                <w:lang w:val="fr-FR" w:eastAsia="de-DE"/>
              </w:rPr>
              <w:t>l’accélération</w:t>
            </w:r>
            <w:r w:rsidR="00EC442C" w:rsidRPr="00A46FEA">
              <w:rPr>
                <w:spacing w:val="-1"/>
                <w:sz w:val="18"/>
                <w:szCs w:val="18"/>
                <w:lang w:val="fr-FR" w:eastAsia="de-DE"/>
              </w:rPr>
              <w:t xml:space="preserve"> </w:t>
            </w:r>
            <w:r w:rsidRPr="00A46FEA">
              <w:rPr>
                <w:spacing w:val="-1"/>
                <w:sz w:val="18"/>
                <w:szCs w:val="18"/>
                <w:lang w:val="fr-FR" w:eastAsia="de-DE"/>
              </w:rPr>
              <w:t>latérale</w:t>
            </w:r>
            <w:r w:rsidR="00EC442C" w:rsidRPr="00A46FEA">
              <w:rPr>
                <w:spacing w:val="-1"/>
                <w:sz w:val="18"/>
                <w:szCs w:val="18"/>
                <w:lang w:val="fr-FR" w:eastAsia="de-DE"/>
              </w:rPr>
              <w:t xml:space="preserve"> </w:t>
            </w:r>
            <w:r w:rsidRPr="00A46FEA">
              <w:rPr>
                <w:spacing w:val="-1"/>
                <w:sz w:val="18"/>
                <w:szCs w:val="18"/>
                <w:lang w:val="fr-FR" w:eastAsia="de-DE"/>
              </w:rPr>
              <w:t>maximale</w:t>
            </w:r>
            <w:r w:rsidR="00EC442C" w:rsidRPr="00A46FEA">
              <w:rPr>
                <w:spacing w:val="-1"/>
                <w:sz w:val="18"/>
                <w:szCs w:val="18"/>
                <w:lang w:val="fr-FR" w:eastAsia="de-DE"/>
              </w:rPr>
              <w:t xml:space="preserve"> </w:t>
            </w:r>
            <w:r w:rsidRPr="00A46FEA">
              <w:rPr>
                <w:spacing w:val="-1"/>
                <w:sz w:val="18"/>
                <w:szCs w:val="18"/>
                <w:lang w:val="fr-FR" w:eastAsia="de-DE"/>
              </w:rPr>
              <w:t>indiquée</w:t>
            </w:r>
            <w:r w:rsidR="00EC442C" w:rsidRPr="00A46FEA">
              <w:rPr>
                <w:spacing w:val="-1"/>
                <w:sz w:val="18"/>
                <w:szCs w:val="18"/>
                <w:lang w:val="fr-FR" w:eastAsia="de-DE"/>
              </w:rPr>
              <w:t xml:space="preserve"> 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6" w:rsidRPr="00086E31" w:rsidRDefault="00D643A6" w:rsidP="00F431FA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 w:eastAsia="de-DE"/>
              </w:rPr>
            </w:pPr>
            <w:r w:rsidRPr="00086E31">
              <w:rPr>
                <w:sz w:val="18"/>
                <w:szCs w:val="18"/>
                <w:lang w:val="fr-FR" w:eastAsia="de-DE"/>
              </w:rPr>
              <w:t>2</w:t>
            </w:r>
            <w:r w:rsidR="00F431FA">
              <w:rPr>
                <w:sz w:val="18"/>
                <w:szCs w:val="18"/>
                <w:lang w:val="fr-FR" w:eastAsia="de-DE"/>
              </w:rPr>
              <w:t>,</w:t>
            </w:r>
            <w:r w:rsidRPr="00086E31">
              <w:rPr>
                <w:sz w:val="18"/>
                <w:szCs w:val="18"/>
                <w:lang w:val="fr-FR" w:eastAsia="de-DE"/>
              </w:rPr>
              <w:t>5</w:t>
            </w:r>
            <w:r w:rsidR="00EC442C" w:rsidRPr="00086E31">
              <w:rPr>
                <w:sz w:val="18"/>
                <w:szCs w:val="18"/>
                <w:lang w:val="fr-FR" w:eastAsia="de-DE"/>
              </w:rPr>
              <w:t xml:space="preserve"> </w:t>
            </w:r>
            <w:r w:rsidRPr="00086E31">
              <w:rPr>
                <w:sz w:val="18"/>
                <w:szCs w:val="18"/>
                <w:lang w:val="fr-FR" w:eastAsia="de-DE"/>
              </w:rPr>
              <w:t>m/s</w:t>
            </w:r>
            <w:r w:rsidR="00F431FA" w:rsidRPr="00F431FA">
              <w:rPr>
                <w:sz w:val="18"/>
                <w:szCs w:val="18"/>
                <w:vertAlign w:val="superscript"/>
                <w:lang w:val="fr-FR" w:eastAsia="de-DE"/>
              </w:rPr>
              <w:t>2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6" w:rsidRPr="00086E31" w:rsidRDefault="00D643A6" w:rsidP="00F431FA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 w:eastAsia="de-DE"/>
              </w:rPr>
            </w:pPr>
            <w:r w:rsidRPr="00086E31">
              <w:rPr>
                <w:sz w:val="18"/>
                <w:szCs w:val="18"/>
                <w:lang w:val="fr-FR" w:eastAsia="de-DE"/>
              </w:rPr>
              <w:t>2</w:t>
            </w:r>
            <w:r w:rsidR="00F431FA">
              <w:rPr>
                <w:sz w:val="18"/>
                <w:szCs w:val="18"/>
                <w:lang w:val="fr-FR" w:eastAsia="de-DE"/>
              </w:rPr>
              <w:t>,</w:t>
            </w:r>
            <w:r w:rsidRPr="00086E31">
              <w:rPr>
                <w:sz w:val="18"/>
                <w:szCs w:val="18"/>
                <w:lang w:val="fr-FR" w:eastAsia="de-DE"/>
              </w:rPr>
              <w:t>5</w:t>
            </w:r>
            <w:r w:rsidR="00EC442C" w:rsidRPr="00086E31">
              <w:rPr>
                <w:sz w:val="18"/>
                <w:szCs w:val="18"/>
                <w:lang w:val="fr-FR" w:eastAsia="de-DE"/>
              </w:rPr>
              <w:t xml:space="preserve"> </w:t>
            </w:r>
            <w:r w:rsidRPr="00086E31">
              <w:rPr>
                <w:sz w:val="18"/>
                <w:szCs w:val="18"/>
                <w:lang w:val="fr-FR" w:eastAsia="de-DE"/>
              </w:rPr>
              <w:t>m/s</w:t>
            </w:r>
            <w:r w:rsidR="00F431FA" w:rsidRPr="00F431FA">
              <w:rPr>
                <w:sz w:val="18"/>
                <w:szCs w:val="18"/>
                <w:vertAlign w:val="superscript"/>
                <w:lang w:val="fr-FR" w:eastAsia="de-DE"/>
              </w:rPr>
              <w:t>2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6" w:rsidRPr="00086E31" w:rsidRDefault="00D643A6" w:rsidP="00F431FA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 w:eastAsia="de-DE"/>
              </w:rPr>
            </w:pPr>
            <w:r w:rsidRPr="00086E31">
              <w:rPr>
                <w:sz w:val="18"/>
                <w:szCs w:val="18"/>
                <w:lang w:val="fr-FR" w:eastAsia="de-DE"/>
              </w:rPr>
              <w:t>2</w:t>
            </w:r>
            <w:r w:rsidR="00F431FA">
              <w:rPr>
                <w:sz w:val="18"/>
                <w:szCs w:val="18"/>
                <w:lang w:val="fr-FR" w:eastAsia="de-DE"/>
              </w:rPr>
              <w:t>,</w:t>
            </w:r>
            <w:r w:rsidRPr="00086E31">
              <w:rPr>
                <w:sz w:val="18"/>
                <w:szCs w:val="18"/>
                <w:lang w:val="fr-FR" w:eastAsia="de-DE"/>
              </w:rPr>
              <w:t>5</w:t>
            </w:r>
            <w:r w:rsidR="00EC442C" w:rsidRPr="00086E31">
              <w:rPr>
                <w:sz w:val="18"/>
                <w:szCs w:val="18"/>
                <w:lang w:val="fr-FR" w:eastAsia="de-DE"/>
              </w:rPr>
              <w:t xml:space="preserve"> </w:t>
            </w:r>
            <w:r w:rsidRPr="00086E31">
              <w:rPr>
                <w:sz w:val="18"/>
                <w:szCs w:val="18"/>
                <w:lang w:val="fr-FR" w:eastAsia="de-DE"/>
              </w:rPr>
              <w:t>m/s</w:t>
            </w:r>
            <w:r w:rsidR="00F431FA" w:rsidRPr="00F431FA">
              <w:rPr>
                <w:sz w:val="18"/>
                <w:szCs w:val="18"/>
                <w:vertAlign w:val="superscript"/>
                <w:lang w:val="fr-FR" w:eastAsia="de-DE"/>
              </w:rPr>
              <w:t>2</w:t>
            </w:r>
          </w:p>
        </w:tc>
        <w:tc>
          <w:tcPr>
            <w:tcW w:w="119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643A6" w:rsidRPr="00086E31" w:rsidRDefault="00D643A6" w:rsidP="004B0C37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 w:eastAsia="de-DE"/>
              </w:rPr>
            </w:pPr>
          </w:p>
        </w:tc>
      </w:tr>
      <w:tr w:rsidR="00ED2173" w:rsidRPr="00086E31" w:rsidTr="00AB4628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3A6" w:rsidRPr="00086E31" w:rsidRDefault="00D643A6" w:rsidP="004B0C37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szCs w:val="18"/>
                <w:lang w:val="fr-FR" w:eastAsia="de-DE"/>
              </w:rPr>
            </w:pPr>
            <w:r w:rsidRPr="00086E31">
              <w:rPr>
                <w:sz w:val="18"/>
                <w:szCs w:val="18"/>
                <w:lang w:val="fr-FR" w:eastAsia="de-DE"/>
              </w:rPr>
              <w:t>Valeur</w:t>
            </w:r>
            <w:r w:rsidR="00EC442C" w:rsidRPr="00086E31">
              <w:rPr>
                <w:sz w:val="18"/>
                <w:szCs w:val="18"/>
                <w:lang w:val="fr-FR" w:eastAsia="de-DE"/>
              </w:rPr>
              <w:t xml:space="preserve"> </w:t>
            </w:r>
            <w:r w:rsidRPr="00086E31">
              <w:rPr>
                <w:sz w:val="18"/>
                <w:szCs w:val="18"/>
                <w:lang w:val="fr-FR" w:eastAsia="de-DE"/>
              </w:rPr>
              <w:t>minimale</w:t>
            </w:r>
            <w:r w:rsidR="00EC442C" w:rsidRPr="00086E31">
              <w:rPr>
                <w:sz w:val="18"/>
                <w:szCs w:val="18"/>
                <w:lang w:val="fr-FR" w:eastAsia="de-DE"/>
              </w:rPr>
              <w:t xml:space="preserve"> </w:t>
            </w:r>
            <w:r w:rsidRPr="00086E31">
              <w:rPr>
                <w:sz w:val="18"/>
                <w:szCs w:val="18"/>
                <w:lang w:val="fr-FR" w:eastAsia="de-DE"/>
              </w:rPr>
              <w:t>de</w:t>
            </w:r>
            <w:r w:rsidR="00EC442C" w:rsidRPr="00086E31">
              <w:rPr>
                <w:sz w:val="18"/>
                <w:szCs w:val="18"/>
                <w:lang w:val="fr-FR" w:eastAsia="de-DE"/>
              </w:rPr>
              <w:t xml:space="preserve"> </w:t>
            </w:r>
            <w:r w:rsidRPr="00086E31">
              <w:rPr>
                <w:sz w:val="18"/>
                <w:szCs w:val="18"/>
                <w:lang w:val="fr-FR" w:eastAsia="de-DE"/>
              </w:rPr>
              <w:t>l’accélération</w:t>
            </w:r>
            <w:r w:rsidR="00EC442C" w:rsidRPr="00086E31">
              <w:rPr>
                <w:sz w:val="18"/>
                <w:szCs w:val="18"/>
                <w:lang w:val="fr-FR" w:eastAsia="de-DE"/>
              </w:rPr>
              <w:t xml:space="preserve"> </w:t>
            </w:r>
            <w:r w:rsidRPr="00086E31">
              <w:rPr>
                <w:sz w:val="18"/>
                <w:szCs w:val="18"/>
                <w:lang w:val="fr-FR" w:eastAsia="de-DE"/>
              </w:rPr>
              <w:t>latérale</w:t>
            </w:r>
            <w:r w:rsidR="00EC442C" w:rsidRPr="00086E31">
              <w:rPr>
                <w:sz w:val="18"/>
                <w:szCs w:val="18"/>
                <w:lang w:val="fr-FR" w:eastAsia="de-DE"/>
              </w:rPr>
              <w:t xml:space="preserve"> </w:t>
            </w:r>
            <w:r w:rsidRPr="00086E31">
              <w:rPr>
                <w:sz w:val="18"/>
                <w:szCs w:val="18"/>
                <w:lang w:val="fr-FR" w:eastAsia="de-DE"/>
              </w:rPr>
              <w:t>maximale</w:t>
            </w:r>
            <w:r w:rsidR="00EC442C" w:rsidRPr="00086E31">
              <w:rPr>
                <w:sz w:val="18"/>
                <w:szCs w:val="18"/>
                <w:lang w:val="fr-FR" w:eastAsia="de-DE"/>
              </w:rPr>
              <w:t xml:space="preserve"> </w:t>
            </w:r>
            <w:r w:rsidRPr="00086E31">
              <w:rPr>
                <w:sz w:val="18"/>
                <w:szCs w:val="18"/>
                <w:lang w:val="fr-FR" w:eastAsia="de-DE"/>
              </w:rPr>
              <w:t>indiquée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3A6" w:rsidRPr="00086E31" w:rsidRDefault="00D643A6" w:rsidP="004B0C37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 w:eastAsia="de-DE"/>
              </w:rPr>
            </w:pPr>
            <w:r w:rsidRPr="00086E31">
              <w:rPr>
                <w:sz w:val="18"/>
                <w:szCs w:val="18"/>
                <w:lang w:val="fr-FR" w:eastAsia="de-DE"/>
              </w:rPr>
              <w:t>0</w:t>
            </w:r>
            <w:r w:rsidR="00EC442C" w:rsidRPr="00086E31">
              <w:rPr>
                <w:sz w:val="18"/>
                <w:szCs w:val="18"/>
                <w:lang w:val="fr-FR" w:eastAsia="de-DE"/>
              </w:rPr>
              <w:t xml:space="preserve"> </w:t>
            </w:r>
            <w:r w:rsidRPr="00086E31">
              <w:rPr>
                <w:sz w:val="18"/>
                <w:szCs w:val="18"/>
                <w:lang w:val="fr-FR" w:eastAsia="de-DE"/>
              </w:rPr>
              <w:t>m/s</w:t>
            </w:r>
            <w:r w:rsidR="00F431FA" w:rsidRPr="00F431FA">
              <w:rPr>
                <w:sz w:val="18"/>
                <w:szCs w:val="18"/>
                <w:vertAlign w:val="superscript"/>
                <w:lang w:val="fr-FR" w:eastAsia="de-DE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6" w:rsidRPr="00086E31" w:rsidRDefault="00D643A6" w:rsidP="00F431FA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 w:eastAsia="de-DE"/>
              </w:rPr>
            </w:pPr>
            <w:r w:rsidRPr="00086E31">
              <w:rPr>
                <w:sz w:val="18"/>
                <w:szCs w:val="18"/>
                <w:lang w:val="fr-FR" w:eastAsia="de-DE"/>
              </w:rPr>
              <w:t>0</w:t>
            </w:r>
            <w:r w:rsidR="00F431FA">
              <w:rPr>
                <w:sz w:val="18"/>
                <w:szCs w:val="18"/>
                <w:lang w:val="fr-FR" w:eastAsia="de-DE"/>
              </w:rPr>
              <w:t>,</w:t>
            </w:r>
            <w:r w:rsidRPr="00086E31">
              <w:rPr>
                <w:sz w:val="18"/>
                <w:szCs w:val="18"/>
                <w:lang w:val="fr-FR" w:eastAsia="de-DE"/>
              </w:rPr>
              <w:t>3</w:t>
            </w:r>
            <w:r w:rsidR="00EC442C" w:rsidRPr="00086E31">
              <w:rPr>
                <w:sz w:val="18"/>
                <w:szCs w:val="18"/>
                <w:lang w:val="fr-FR" w:eastAsia="de-DE"/>
              </w:rPr>
              <w:t xml:space="preserve"> </w:t>
            </w:r>
            <w:r w:rsidRPr="00086E31">
              <w:rPr>
                <w:sz w:val="18"/>
                <w:szCs w:val="18"/>
                <w:lang w:val="fr-FR" w:eastAsia="de-DE"/>
              </w:rPr>
              <w:t>m/s</w:t>
            </w:r>
            <w:r w:rsidR="00F431FA" w:rsidRPr="00F431FA">
              <w:rPr>
                <w:sz w:val="18"/>
                <w:szCs w:val="18"/>
                <w:vertAlign w:val="superscript"/>
                <w:lang w:val="fr-FR" w:eastAsia="de-DE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A6" w:rsidRPr="00086E31" w:rsidRDefault="00D643A6" w:rsidP="00F431FA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 w:eastAsia="de-DE"/>
              </w:rPr>
            </w:pPr>
            <w:r w:rsidRPr="00086E31">
              <w:rPr>
                <w:sz w:val="18"/>
                <w:szCs w:val="18"/>
                <w:lang w:val="fr-FR" w:eastAsia="de-DE"/>
              </w:rPr>
              <w:t>0</w:t>
            </w:r>
            <w:r w:rsidR="00F431FA">
              <w:rPr>
                <w:sz w:val="18"/>
                <w:szCs w:val="18"/>
                <w:lang w:val="fr-FR" w:eastAsia="de-DE"/>
              </w:rPr>
              <w:t>,</w:t>
            </w:r>
            <w:r w:rsidRPr="00086E31">
              <w:rPr>
                <w:sz w:val="18"/>
                <w:szCs w:val="18"/>
                <w:lang w:val="fr-FR" w:eastAsia="de-DE"/>
              </w:rPr>
              <w:t>5</w:t>
            </w:r>
            <w:r w:rsidR="00EC442C" w:rsidRPr="00086E31">
              <w:rPr>
                <w:sz w:val="18"/>
                <w:szCs w:val="18"/>
                <w:lang w:val="fr-FR" w:eastAsia="de-DE"/>
              </w:rPr>
              <w:t xml:space="preserve"> </w:t>
            </w:r>
            <w:r w:rsidRPr="00086E31">
              <w:rPr>
                <w:sz w:val="18"/>
                <w:szCs w:val="18"/>
                <w:lang w:val="fr-FR" w:eastAsia="de-DE"/>
              </w:rPr>
              <w:t>m/s</w:t>
            </w:r>
            <w:r w:rsidR="00F431FA" w:rsidRPr="00F431FA">
              <w:rPr>
                <w:sz w:val="18"/>
                <w:szCs w:val="18"/>
                <w:vertAlign w:val="superscript"/>
                <w:lang w:val="fr-FR" w:eastAsia="de-DE"/>
              </w:rPr>
              <w:t>2</w:t>
            </w:r>
          </w:p>
        </w:tc>
        <w:tc>
          <w:tcPr>
            <w:tcW w:w="119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643A6" w:rsidRPr="00086E31" w:rsidRDefault="00D643A6" w:rsidP="004B0C37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szCs w:val="18"/>
                <w:lang w:val="fr-FR" w:eastAsia="de-DE"/>
              </w:rPr>
            </w:pPr>
          </w:p>
        </w:tc>
      </w:tr>
    </w:tbl>
    <w:p w:rsidR="00D643A6" w:rsidRPr="00DE4822" w:rsidRDefault="00D643A6" w:rsidP="00F431FA">
      <w:pPr>
        <w:pStyle w:val="SingleTxtG"/>
        <w:spacing w:before="120"/>
        <w:ind w:left="2835" w:hanging="567"/>
        <w:rPr>
          <w:lang w:val="fr-FR"/>
        </w:rPr>
      </w:pPr>
      <w:r w:rsidRPr="00DE4822">
        <w:rPr>
          <w:lang w:val="fr-FR"/>
        </w:rPr>
        <w:t>c)</w:t>
      </w:r>
      <w:r w:rsidRPr="00DE4822">
        <w:rPr>
          <w:lang w:val="fr-FR"/>
        </w:rPr>
        <w:tab/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moyenne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mobile,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durée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demi</w:t>
      </w:r>
      <w:r w:rsidR="004D15A8">
        <w:rPr>
          <w:lang w:val="fr-FR"/>
        </w:rPr>
        <w:t>-</w:t>
      </w:r>
      <w:r w:rsidRPr="00DE4822">
        <w:rPr>
          <w:lang w:val="fr-FR"/>
        </w:rPr>
        <w:t>seconde,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l’à</w:t>
      </w:r>
      <w:r w:rsidR="004D15A8">
        <w:rPr>
          <w:lang w:val="fr-FR"/>
        </w:rPr>
        <w:t>-</w:t>
      </w:r>
      <w:r w:rsidRPr="00DE4822">
        <w:rPr>
          <w:lang w:val="fr-FR"/>
        </w:rPr>
        <w:t>coup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latéral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produit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supérieure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m/s</w:t>
      </w:r>
      <w:r w:rsidR="00F431FA" w:rsidRPr="00F431FA">
        <w:rPr>
          <w:vertAlign w:val="superscript"/>
          <w:lang w:val="fr-FR"/>
        </w:rPr>
        <w:t>3</w:t>
      </w:r>
      <w:r w:rsidRPr="00DE4822">
        <w:rPr>
          <w:lang w:val="fr-FR"/>
        </w:rPr>
        <w:t>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5.6.2.1.4</w:t>
      </w:r>
      <w:r w:rsidRPr="00DE4822">
        <w:rPr>
          <w:lang w:val="fr-FR"/>
        </w:rPr>
        <w:tab/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5.6.2.1.1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5.6.2.1.3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soumises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essai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conformément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modalités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essais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pertinents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spécifiés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l’annexe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8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5.6.2.2</w:t>
      </w:r>
      <w:r w:rsidRPr="00DE4822">
        <w:rPr>
          <w:lang w:val="fr-FR"/>
        </w:rPr>
        <w:tab/>
        <w:t>Fonctionnement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ACSF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catégorie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B1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5.6.2.2.1</w:t>
      </w:r>
      <w:r w:rsidRPr="00DE4822">
        <w:rPr>
          <w:lang w:val="fr-FR"/>
        </w:rPr>
        <w:tab/>
        <w:t>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actif,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informé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visuel.</w:t>
      </w:r>
      <w:r w:rsidR="00EC442C">
        <w:rPr>
          <w:lang w:val="fr-FR"/>
        </w:rPr>
        <w:t xml:space="preserve"> 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5.6.2.2.2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ab/>
        <w:t>Lorsque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veille,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informé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visuel.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5.6.2.2.3</w:t>
      </w:r>
      <w:r w:rsidRPr="00DE4822">
        <w:rPr>
          <w:lang w:val="fr-FR"/>
        </w:rPr>
        <w:tab/>
        <w:t>Lorsque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atteint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conditions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limites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visées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5.6.2.3.1.1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exemple,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l’accélération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latérale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maximale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indiquée</w:t>
      </w:r>
      <w:r w:rsidR="00EC442C">
        <w:rPr>
          <w:lang w:val="fr-FR"/>
        </w:rPr>
        <w:t xml:space="preserve"> </w:t>
      </w:r>
      <w:proofErr w:type="spellStart"/>
      <w:r w:rsidRPr="00DE4822">
        <w:rPr>
          <w:lang w:val="fr-FR"/>
        </w:rPr>
        <w:t>ay</w:t>
      </w:r>
      <w:r w:rsidRPr="00DE4822">
        <w:rPr>
          <w:vertAlign w:val="subscript"/>
          <w:lang w:val="fr-FR"/>
        </w:rPr>
        <w:t>smax</w:t>
      </w:r>
      <w:proofErr w:type="spellEnd"/>
      <w:r w:rsidRPr="00DE4822">
        <w:rPr>
          <w:lang w:val="fr-FR"/>
        </w:rPr>
        <w:t>),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l’absence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lorsqu’une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franchit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marques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routières,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continuer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fournir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assistance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informer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clairement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état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visuel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ainsi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sonore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haptique.</w:t>
      </w:r>
    </w:p>
    <w:p w:rsidR="00D643A6" w:rsidRPr="00DE4822" w:rsidRDefault="00D643A6" w:rsidP="00116CC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ab/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catégories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</w:t>
      </w:r>
      <w:r w:rsidRPr="00DE4822">
        <w:rPr>
          <w:vertAlign w:val="subscript"/>
          <w:lang w:val="fr-FR"/>
        </w:rPr>
        <w:t>2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</w:t>
      </w:r>
      <w:r w:rsidRPr="00DE4822">
        <w:rPr>
          <w:vertAlign w:val="subscript"/>
          <w:lang w:val="fr-FR"/>
        </w:rPr>
        <w:t>3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</w:t>
      </w:r>
      <w:r w:rsidRPr="00DE4822">
        <w:rPr>
          <w:vertAlign w:val="subscript"/>
          <w:lang w:val="fr-FR"/>
        </w:rPr>
        <w:t>2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</w:t>
      </w:r>
      <w:r w:rsidRPr="00DE4822">
        <w:rPr>
          <w:vertAlign w:val="subscript"/>
          <w:lang w:val="fr-FR"/>
        </w:rPr>
        <w:t>3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cette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considérée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étant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satisfaite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équipé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d’avertissement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franchissement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ligne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(LDWS)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satisfaisant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techniques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ONU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</w:t>
      </w:r>
      <w:r w:rsidRPr="00DE4822">
        <w:rPr>
          <w:vertAlign w:val="superscript"/>
          <w:lang w:val="fr-FR"/>
        </w:rPr>
        <w:t>o</w:t>
      </w:r>
      <w:r w:rsidR="009F6F51">
        <w:rPr>
          <w:lang w:val="fr-FR"/>
        </w:rPr>
        <w:t> </w:t>
      </w:r>
      <w:r w:rsidRPr="00DE4822">
        <w:rPr>
          <w:lang w:val="fr-FR"/>
        </w:rPr>
        <w:t>130.</w:t>
      </w:r>
      <w:r w:rsidR="00EC442C">
        <w:rPr>
          <w:lang w:val="fr-FR"/>
        </w:rPr>
        <w:t xml:space="preserve"> 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5.6.2.2.4</w:t>
      </w:r>
      <w:r w:rsidRPr="00DE4822">
        <w:rPr>
          <w:lang w:val="fr-FR"/>
        </w:rPr>
        <w:tab/>
        <w:t>Toute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signalée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moyen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d’avertissement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visuel.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Toutefois,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lorsque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désactivé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manuellement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l’indication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neutralisée.</w:t>
      </w:r>
    </w:p>
    <w:p w:rsidR="00D643A6" w:rsidRPr="00146C63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5.6.2.2.5</w:t>
      </w:r>
      <w:r w:rsidRPr="00DE4822">
        <w:rPr>
          <w:lang w:val="fr-FR"/>
        </w:rPr>
        <w:tab/>
        <w:t>Lorsque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actif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trouve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comprise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10</w:t>
      </w:r>
      <w:r w:rsidR="00146C63">
        <w:rPr>
          <w:lang w:val="fr-FR"/>
        </w:rPr>
        <w:t> </w:t>
      </w:r>
      <w:r w:rsidRPr="00146C63">
        <w:rPr>
          <w:lang w:val="fr-FR"/>
        </w:rPr>
        <w:t>km/h</w:t>
      </w:r>
      <w:r w:rsidR="00EC442C" w:rsidRPr="00146C63">
        <w:rPr>
          <w:lang w:val="fr-FR"/>
        </w:rPr>
        <w:t xml:space="preserve"> </w:t>
      </w:r>
      <w:r w:rsidRPr="00146C63">
        <w:rPr>
          <w:lang w:val="fr-FR"/>
        </w:rPr>
        <w:t>ou</w:t>
      </w:r>
      <w:r w:rsidR="00EC442C" w:rsidRPr="00146C63">
        <w:rPr>
          <w:lang w:val="fr-FR"/>
        </w:rPr>
        <w:t xml:space="preserve"> </w:t>
      </w:r>
      <w:proofErr w:type="spellStart"/>
      <w:r w:rsidRPr="00146C63">
        <w:rPr>
          <w:lang w:val="fr-FR"/>
        </w:rPr>
        <w:t>V</w:t>
      </w:r>
      <w:r w:rsidRPr="00146C63">
        <w:rPr>
          <w:vertAlign w:val="subscript"/>
          <w:lang w:val="fr-FR"/>
        </w:rPr>
        <w:t>smin</w:t>
      </w:r>
      <w:proofErr w:type="spellEnd"/>
      <w:r w:rsidRPr="00146C63">
        <w:rPr>
          <w:lang w:val="fr-FR"/>
        </w:rPr>
        <w:t>,</w:t>
      </w:r>
      <w:r w:rsidR="00EC442C" w:rsidRPr="00146C63">
        <w:rPr>
          <w:lang w:val="fr-FR"/>
        </w:rPr>
        <w:t xml:space="preserve"> </w:t>
      </w:r>
      <w:r w:rsidRPr="00146C63">
        <w:rPr>
          <w:lang w:val="fr-FR"/>
        </w:rPr>
        <w:t>la</w:t>
      </w:r>
      <w:r w:rsidR="00EC442C" w:rsidRPr="00146C63">
        <w:rPr>
          <w:lang w:val="fr-FR"/>
        </w:rPr>
        <w:t xml:space="preserve"> </w:t>
      </w:r>
      <w:r w:rsidRPr="00146C63">
        <w:rPr>
          <w:lang w:val="fr-FR"/>
        </w:rPr>
        <w:t>valeur</w:t>
      </w:r>
      <w:r w:rsidR="00EC442C" w:rsidRPr="00146C63">
        <w:rPr>
          <w:lang w:val="fr-FR"/>
        </w:rPr>
        <w:t xml:space="preserve"> </w:t>
      </w:r>
      <w:r w:rsidRPr="00146C63">
        <w:rPr>
          <w:lang w:val="fr-FR"/>
        </w:rPr>
        <w:t>la</w:t>
      </w:r>
      <w:r w:rsidR="00EC442C" w:rsidRPr="00146C63">
        <w:rPr>
          <w:lang w:val="fr-FR"/>
        </w:rPr>
        <w:t xml:space="preserve"> </w:t>
      </w:r>
      <w:r w:rsidRPr="00146C63">
        <w:rPr>
          <w:lang w:val="fr-FR"/>
        </w:rPr>
        <w:t>plus</w:t>
      </w:r>
      <w:r w:rsidR="00EC442C" w:rsidRPr="00146C63">
        <w:rPr>
          <w:lang w:val="fr-FR"/>
        </w:rPr>
        <w:t xml:space="preserve"> </w:t>
      </w:r>
      <w:r w:rsidRPr="00146C63">
        <w:rPr>
          <w:lang w:val="fr-FR"/>
        </w:rPr>
        <w:t>élevée</w:t>
      </w:r>
      <w:r w:rsidR="00EC442C" w:rsidRPr="00146C63">
        <w:rPr>
          <w:lang w:val="fr-FR"/>
        </w:rPr>
        <w:t xml:space="preserve"> </w:t>
      </w:r>
      <w:r w:rsidRPr="00146C63">
        <w:rPr>
          <w:lang w:val="fr-FR"/>
        </w:rPr>
        <w:t>étant</w:t>
      </w:r>
      <w:r w:rsidR="00EC442C" w:rsidRPr="00146C63">
        <w:rPr>
          <w:lang w:val="fr-FR"/>
        </w:rPr>
        <w:t xml:space="preserve"> </w:t>
      </w:r>
      <w:r w:rsidRPr="00146C63">
        <w:rPr>
          <w:lang w:val="fr-FR"/>
        </w:rPr>
        <w:t>retenue,</w:t>
      </w:r>
      <w:r w:rsidR="00EC442C" w:rsidRPr="00146C63">
        <w:rPr>
          <w:lang w:val="fr-FR"/>
        </w:rPr>
        <w:t xml:space="preserve"> </w:t>
      </w:r>
      <w:r w:rsidRPr="00146C63">
        <w:rPr>
          <w:lang w:val="fr-FR"/>
        </w:rPr>
        <w:t>et</w:t>
      </w:r>
      <w:r w:rsidR="00EC442C" w:rsidRPr="00146C63">
        <w:rPr>
          <w:lang w:val="fr-FR"/>
        </w:rPr>
        <w:t xml:space="preserve"> </w:t>
      </w:r>
      <w:proofErr w:type="spellStart"/>
      <w:r w:rsidRPr="00146C63">
        <w:rPr>
          <w:lang w:val="fr-FR"/>
        </w:rPr>
        <w:t>V</w:t>
      </w:r>
      <w:r w:rsidRPr="00146C63">
        <w:rPr>
          <w:vertAlign w:val="subscript"/>
          <w:lang w:val="fr-FR"/>
        </w:rPr>
        <w:t>smax</w:t>
      </w:r>
      <w:proofErr w:type="spellEnd"/>
      <w:r w:rsidRPr="00146C63">
        <w:rPr>
          <w:lang w:val="fr-FR"/>
        </w:rPr>
        <w:t>,</w:t>
      </w:r>
      <w:r w:rsidR="00EC442C" w:rsidRPr="00146C63">
        <w:rPr>
          <w:lang w:val="fr-FR"/>
        </w:rPr>
        <w:t xml:space="preserve"> </w:t>
      </w:r>
      <w:r w:rsidRPr="00146C63">
        <w:rPr>
          <w:lang w:val="fr-FR"/>
        </w:rPr>
        <w:t>il</w:t>
      </w:r>
      <w:r w:rsidR="00EC442C" w:rsidRPr="00146C63">
        <w:rPr>
          <w:lang w:val="fr-FR"/>
        </w:rPr>
        <w:t xml:space="preserve"> </w:t>
      </w:r>
      <w:r w:rsidRPr="00146C63">
        <w:rPr>
          <w:lang w:val="fr-FR"/>
        </w:rPr>
        <w:t>doit</w:t>
      </w:r>
      <w:r w:rsidR="00EC442C" w:rsidRPr="00146C63">
        <w:rPr>
          <w:lang w:val="fr-FR"/>
        </w:rPr>
        <w:t xml:space="preserve"> </w:t>
      </w:r>
      <w:r w:rsidRPr="00146C63">
        <w:rPr>
          <w:lang w:val="fr-FR"/>
        </w:rPr>
        <w:t>fournir</w:t>
      </w:r>
      <w:r w:rsidR="00EC442C" w:rsidRPr="00146C63">
        <w:rPr>
          <w:lang w:val="fr-FR"/>
        </w:rPr>
        <w:t xml:space="preserve"> </w:t>
      </w:r>
      <w:r w:rsidRPr="00146C63">
        <w:rPr>
          <w:lang w:val="fr-FR"/>
        </w:rPr>
        <w:t>un</w:t>
      </w:r>
      <w:r w:rsidR="00EC442C" w:rsidRPr="00146C63">
        <w:rPr>
          <w:lang w:val="fr-FR"/>
        </w:rPr>
        <w:t xml:space="preserve"> </w:t>
      </w:r>
      <w:r w:rsidRPr="00146C63">
        <w:rPr>
          <w:lang w:val="fr-FR"/>
        </w:rPr>
        <w:t>moyen</w:t>
      </w:r>
      <w:r w:rsidR="00EC442C" w:rsidRPr="00146C63">
        <w:rPr>
          <w:lang w:val="fr-FR"/>
        </w:rPr>
        <w:t xml:space="preserve"> </w:t>
      </w:r>
      <w:r w:rsidRPr="00146C63">
        <w:rPr>
          <w:lang w:val="fr-FR"/>
        </w:rPr>
        <w:t>de</w:t>
      </w:r>
      <w:r w:rsidR="00EC442C" w:rsidRPr="00146C63">
        <w:rPr>
          <w:lang w:val="fr-FR"/>
        </w:rPr>
        <w:t xml:space="preserve"> </w:t>
      </w:r>
      <w:r w:rsidRPr="00146C63">
        <w:rPr>
          <w:lang w:val="fr-FR"/>
        </w:rPr>
        <w:t>détecter</w:t>
      </w:r>
      <w:r w:rsidR="00EC442C" w:rsidRPr="00146C63">
        <w:rPr>
          <w:lang w:val="fr-FR"/>
        </w:rPr>
        <w:t xml:space="preserve"> </w:t>
      </w:r>
      <w:r w:rsidRPr="00146C63">
        <w:rPr>
          <w:lang w:val="fr-FR"/>
        </w:rPr>
        <w:t>que</w:t>
      </w:r>
      <w:r w:rsidR="00EC442C" w:rsidRPr="00146C63">
        <w:rPr>
          <w:lang w:val="fr-FR"/>
        </w:rPr>
        <w:t xml:space="preserve"> </w:t>
      </w:r>
      <w:r w:rsidRPr="00146C63">
        <w:rPr>
          <w:lang w:val="fr-FR"/>
        </w:rPr>
        <w:t>le</w:t>
      </w:r>
      <w:r w:rsidR="00EC442C" w:rsidRPr="00146C63">
        <w:rPr>
          <w:lang w:val="fr-FR"/>
        </w:rPr>
        <w:t xml:space="preserve"> </w:t>
      </w:r>
      <w:r w:rsidRPr="00146C63">
        <w:rPr>
          <w:lang w:val="fr-FR"/>
        </w:rPr>
        <w:t>conducteur</w:t>
      </w:r>
      <w:r w:rsidR="00EC442C" w:rsidRPr="00146C63">
        <w:rPr>
          <w:lang w:val="fr-FR"/>
        </w:rPr>
        <w:t xml:space="preserve"> </w:t>
      </w:r>
      <w:r w:rsidRPr="00146C63">
        <w:rPr>
          <w:lang w:val="fr-FR"/>
        </w:rPr>
        <w:t>tient</w:t>
      </w:r>
      <w:r w:rsidR="00EC442C" w:rsidRPr="00146C63">
        <w:rPr>
          <w:lang w:val="fr-FR"/>
        </w:rPr>
        <w:t xml:space="preserve"> </w:t>
      </w:r>
      <w:r w:rsidRPr="00146C63">
        <w:rPr>
          <w:lang w:val="fr-FR"/>
        </w:rPr>
        <w:t>la</w:t>
      </w:r>
      <w:r w:rsidR="00EC442C" w:rsidRPr="00146C63">
        <w:rPr>
          <w:lang w:val="fr-FR"/>
        </w:rPr>
        <w:t xml:space="preserve"> </w:t>
      </w:r>
      <w:r w:rsidRPr="00146C63">
        <w:rPr>
          <w:lang w:val="fr-FR"/>
        </w:rPr>
        <w:t>commande</w:t>
      </w:r>
      <w:r w:rsidR="00EC442C" w:rsidRPr="00146C63">
        <w:rPr>
          <w:lang w:val="fr-FR"/>
        </w:rPr>
        <w:t xml:space="preserve"> </w:t>
      </w:r>
      <w:r w:rsidRPr="00146C63">
        <w:rPr>
          <w:lang w:val="fr-FR"/>
        </w:rPr>
        <w:t>de</w:t>
      </w:r>
      <w:r w:rsidR="00EC442C" w:rsidRPr="00146C63">
        <w:rPr>
          <w:lang w:val="fr-FR"/>
        </w:rPr>
        <w:t xml:space="preserve"> </w:t>
      </w:r>
      <w:r w:rsidRPr="00146C63">
        <w:rPr>
          <w:lang w:val="fr-FR"/>
        </w:rPr>
        <w:t>direction.</w:t>
      </w:r>
    </w:p>
    <w:p w:rsidR="00D643A6" w:rsidRPr="00DE4822" w:rsidRDefault="00D643A6" w:rsidP="00116CC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Si,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après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durée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n’excédant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15</w:t>
      </w:r>
      <w:r w:rsidR="00146C63">
        <w:rPr>
          <w:lang w:val="fr-FR"/>
        </w:rPr>
        <w:t> </w:t>
      </w:r>
      <w:r w:rsidRPr="00DE4822">
        <w:rPr>
          <w:lang w:val="fr-FR"/>
        </w:rPr>
        <w:t>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tient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d’avertissement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visuel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émis.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même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celui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décrit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bas.</w:t>
      </w:r>
    </w:p>
    <w:p w:rsidR="00D643A6" w:rsidRPr="00DE4822" w:rsidRDefault="00D643A6" w:rsidP="00116CC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d’avertissement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visuel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savoir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qu’il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saisir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consister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information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graphique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représentant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mains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volant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accompagné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texte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explicatif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supplémentaire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symboles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d’avertissement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(voir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exemples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ci</w:t>
      </w:r>
      <w:r w:rsidR="004D15A8">
        <w:rPr>
          <w:lang w:val="fr-FR"/>
        </w:rPr>
        <w:t>-</w:t>
      </w:r>
      <w:r w:rsidRPr="00DE4822">
        <w:rPr>
          <w:lang w:val="fr-FR"/>
        </w:rPr>
        <w:t>dessous)</w:t>
      </w:r>
      <w:r w:rsidR="00EC442C">
        <w:rPr>
          <w:lang w:val="fr-FR"/>
        </w:rPr>
        <w:t xml:space="preserve"> : </w:t>
      </w:r>
    </w:p>
    <w:p w:rsidR="00D643A6" w:rsidRPr="00DE4822" w:rsidRDefault="00036698" w:rsidP="00146C63">
      <w:pPr>
        <w:pStyle w:val="SingleTxtG"/>
        <w:ind w:left="2268"/>
        <w:rPr>
          <w:lang w:val="fr-FR"/>
        </w:rPr>
      </w:pPr>
      <w:r>
        <w:rPr>
          <w:noProof/>
          <w:lang w:eastAsia="fr-CH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B0285E4" wp14:editId="4AD736F2">
                <wp:simplePos x="0" y="0"/>
                <wp:positionH relativeFrom="column">
                  <wp:posOffset>1433830</wp:posOffset>
                </wp:positionH>
                <wp:positionV relativeFrom="paragraph">
                  <wp:posOffset>918932</wp:posOffset>
                </wp:positionV>
                <wp:extent cx="525780" cy="156210"/>
                <wp:effectExtent l="0" t="0" r="762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156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1FBA" w:rsidRPr="009B2E72" w:rsidRDefault="00BD1FBA" w:rsidP="00036698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B2E72">
                              <w:rPr>
                                <w:sz w:val="16"/>
                                <w:szCs w:val="16"/>
                              </w:rPr>
                              <w:t xml:space="preserve">Exemple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285E4" id="Zone de texte 20" o:spid="_x0000_s1027" type="#_x0000_t202" style="position:absolute;left:0;text-align:left;margin-left:112.9pt;margin-top:72.35pt;width:41.4pt;height:12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" fillcolor="white [3201]" stroked="f" strokeweight=".5pt">
                <v:textbox inset="0,0,0,0">
                  <w:txbxContent>
                    <w:p w:rsidR="00BD1FBA" w:rsidRPr="009B2E72" w:rsidRDefault="00BD1FBA" w:rsidP="00036698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B2E72">
                        <w:rPr>
                          <w:sz w:val="16"/>
                          <w:szCs w:val="16"/>
                        </w:rPr>
                        <w:t xml:space="preserve">Exemple 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C0C64B" wp14:editId="6083F5A6">
                <wp:simplePos x="0" y="0"/>
                <wp:positionH relativeFrom="column">
                  <wp:posOffset>2910753</wp:posOffset>
                </wp:positionH>
                <wp:positionV relativeFrom="paragraph">
                  <wp:posOffset>900430</wp:posOffset>
                </wp:positionV>
                <wp:extent cx="669925" cy="206375"/>
                <wp:effectExtent l="0" t="0" r="0" b="317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25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1FBA" w:rsidRPr="009B2E72" w:rsidRDefault="00BD1FBA" w:rsidP="009B2E72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B2E72">
                              <w:rPr>
                                <w:sz w:val="16"/>
                                <w:szCs w:val="16"/>
                              </w:rPr>
                              <w:t>Exemple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0C64B" id="Zone de texte 19" o:spid="_x0000_s1028" type="#_x0000_t202" style="position:absolute;left:0;text-align:left;margin-left:229.2pt;margin-top:70.9pt;width:52.75pt;height:1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" fillcolor="white [3201]" stroked="f" strokeweight=".5pt">
                <v:textbox inset="0,0,0,0">
                  <w:txbxContent>
                    <w:p w:rsidR="00BD1FBA" w:rsidRPr="009B2E72" w:rsidRDefault="00BD1FBA" w:rsidP="009B2E72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B2E72">
                        <w:rPr>
                          <w:sz w:val="16"/>
                          <w:szCs w:val="16"/>
                        </w:rPr>
                        <w:t>Exemple 2</w:t>
                      </w:r>
                    </w:p>
                  </w:txbxContent>
                </v:textbox>
              </v:shape>
            </w:pict>
          </mc:Fallback>
        </mc:AlternateContent>
      </w:r>
      <w:r w:rsidR="009B2E72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A0534C" wp14:editId="15A83B51">
                <wp:simplePos x="0" y="0"/>
                <wp:positionH relativeFrom="column">
                  <wp:posOffset>4308475</wp:posOffset>
                </wp:positionH>
                <wp:positionV relativeFrom="paragraph">
                  <wp:posOffset>208367</wp:posOffset>
                </wp:positionV>
                <wp:extent cx="1020871" cy="538619"/>
                <wp:effectExtent l="0" t="0" r="8255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871" cy="538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1FBA" w:rsidRDefault="00BD1FBA" w:rsidP="009B2E72">
                            <w:pPr>
                              <w:spacing w:line="240" w:lineRule="auto"/>
                              <w:jc w:val="center"/>
                            </w:pPr>
                            <w:r>
                              <w:t>Message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0534C" id="Zone de texte 18" o:spid="_x0000_s1029" type="#_x0000_t202" style="position:absolute;left:0;text-align:left;margin-left:339.25pt;margin-top:16.4pt;width:80.4pt;height:42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" fillcolor="white [3201]" stroked="f" strokeweight=".5pt">
                <v:textbox>
                  <w:txbxContent>
                    <w:p w:rsidR="00BD1FBA" w:rsidRDefault="00BD1FBA" w:rsidP="009B2E72">
                      <w:pPr>
                        <w:spacing w:line="240" w:lineRule="auto"/>
                        <w:jc w:val="center"/>
                      </w:pPr>
                      <w: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 w:rsidR="00D643A6" w:rsidRPr="00DE4822">
        <w:rPr>
          <w:noProof/>
          <w:lang w:eastAsia="fr-CH"/>
        </w:rPr>
        <w:drawing>
          <wp:inline distT="0" distB="0" distL="0" distR="0" wp14:anchorId="71F84872" wp14:editId="5D003C31">
            <wp:extent cx="3964940" cy="1097280"/>
            <wp:effectExtent l="0" t="0" r="0" b="7620"/>
            <wp:docPr id="12" name="Picture 8" descr="Hands-o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s-on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3A6" w:rsidRPr="00DE4822" w:rsidRDefault="00D643A6" w:rsidP="00116CC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Si,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après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durée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n’excédant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30</w:t>
      </w:r>
      <w:r w:rsidR="0010726E">
        <w:rPr>
          <w:lang w:val="fr-FR"/>
        </w:rPr>
        <w:t> </w:t>
      </w:r>
      <w:r w:rsidRPr="00DE4822">
        <w:rPr>
          <w:lang w:val="fr-FR"/>
        </w:rPr>
        <w:t>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n’a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toujours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saisi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lumière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illuminer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moins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mains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volant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figurant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l’image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ci</w:t>
      </w:r>
      <w:r w:rsidR="004D15A8">
        <w:rPr>
          <w:lang w:val="fr-FR"/>
        </w:rPr>
        <w:t>-</w:t>
      </w:r>
      <w:r w:rsidRPr="00DE4822">
        <w:rPr>
          <w:lang w:val="fr-FR"/>
        </w:rPr>
        <w:t>dessus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alarme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sonore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retentir.</w:t>
      </w:r>
    </w:p>
    <w:p w:rsidR="00D643A6" w:rsidRPr="00DE4822" w:rsidRDefault="00D643A6" w:rsidP="00116CC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rester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actifs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jusqu’à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repris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main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désactivé,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manuellement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automatiquement.</w:t>
      </w:r>
      <w:r w:rsidR="00EC442C">
        <w:rPr>
          <w:lang w:val="fr-FR"/>
        </w:rPr>
        <w:t xml:space="preserve"> </w:t>
      </w:r>
    </w:p>
    <w:p w:rsidR="005138E1" w:rsidRDefault="00D643A6" w:rsidP="00116CC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automatiquement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désactivé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tard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30</w:t>
      </w:r>
      <w:r w:rsidR="0010726E">
        <w:rPr>
          <w:lang w:val="fr-FR"/>
        </w:rPr>
        <w:t> </w:t>
      </w:r>
      <w:r w:rsidRPr="00DE4822">
        <w:rPr>
          <w:lang w:val="fr-FR"/>
        </w:rPr>
        <w:t>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après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déclenchement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l’alarme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sonore.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désactivé,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clairement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informer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état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alarme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sonore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différente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précédente,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pendant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moins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</w:t>
      </w:r>
      <w:r w:rsidR="0010726E">
        <w:rPr>
          <w:lang w:val="fr-FR"/>
        </w:rPr>
        <w:t> </w:t>
      </w:r>
      <w:r w:rsidRPr="00DE4822">
        <w:rPr>
          <w:lang w:val="fr-FR"/>
        </w:rPr>
        <w:t>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jusqu’à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repris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main.</w:t>
      </w:r>
      <w:r w:rsidR="00EC442C">
        <w:rPr>
          <w:lang w:val="fr-FR"/>
        </w:rPr>
        <w:t xml:space="preserve"> </w:t>
      </w:r>
    </w:p>
    <w:p w:rsidR="00D643A6" w:rsidRPr="00DE4822" w:rsidRDefault="00D643A6" w:rsidP="00116CC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conformité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susmentionnées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vérifiée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selon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modalités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pertinentes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spécifiées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l’annexe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8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5.6.2.2.6</w:t>
      </w:r>
      <w:r w:rsidRPr="00DE4822">
        <w:rPr>
          <w:lang w:val="fr-FR"/>
        </w:rPr>
        <w:tab/>
        <w:t>Sauf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indication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contraire,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visuels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décrits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5.6.2.2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différencier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autres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exemple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l’image,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couleur,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clignotement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texte).</w:t>
      </w:r>
      <w:r w:rsidR="00EC442C">
        <w:rPr>
          <w:lang w:val="fr-FR"/>
        </w:rPr>
        <w:t xml:space="preserve"> 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5.6.2.3</w:t>
      </w:r>
      <w:r w:rsidRPr="00DE4822">
        <w:rPr>
          <w:lang w:val="fr-FR"/>
        </w:rPr>
        <w:tab/>
        <w:t>Données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d’information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5.6.2.3.1</w:t>
      </w:r>
      <w:r w:rsidRPr="00DE4822">
        <w:rPr>
          <w:lang w:val="fr-FR"/>
        </w:rPr>
        <w:tab/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données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suivantes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fournies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service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technique,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avec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dossier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d’information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visé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l’annexe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6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type</w:t>
      </w:r>
      <w:r w:rsidR="00EC442C">
        <w:rPr>
          <w:lang w:val="fr-FR"/>
        </w:rPr>
        <w:t xml:space="preserve"> : 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5.6.2.3.1.1</w:t>
      </w:r>
      <w:r w:rsidRPr="00DE4822">
        <w:rPr>
          <w:lang w:val="fr-FR"/>
        </w:rPr>
        <w:tab/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conditions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lesquelles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activé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limites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(conditions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limites).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constructeur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fournir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valeurs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proofErr w:type="spellStart"/>
      <w:r w:rsidRPr="00DE4822">
        <w:rPr>
          <w:lang w:val="fr-FR"/>
        </w:rPr>
        <w:t>V</w:t>
      </w:r>
      <w:r w:rsidRPr="00DE4822">
        <w:rPr>
          <w:vertAlign w:val="subscript"/>
          <w:lang w:val="fr-FR"/>
        </w:rPr>
        <w:t>smax</w:t>
      </w:r>
      <w:proofErr w:type="spellEnd"/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proofErr w:type="spellStart"/>
      <w:r w:rsidRPr="00DE4822">
        <w:rPr>
          <w:lang w:val="fr-FR"/>
        </w:rPr>
        <w:t>V</w:t>
      </w:r>
      <w:r w:rsidRPr="00DE4822">
        <w:rPr>
          <w:vertAlign w:val="subscript"/>
          <w:lang w:val="fr-FR"/>
        </w:rPr>
        <w:t>smin</w:t>
      </w:r>
      <w:proofErr w:type="spellEnd"/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proofErr w:type="spellStart"/>
      <w:r w:rsidRPr="00DE4822">
        <w:rPr>
          <w:lang w:val="fr-FR"/>
        </w:rPr>
        <w:t>ay</w:t>
      </w:r>
      <w:r w:rsidRPr="00DE4822">
        <w:rPr>
          <w:vertAlign w:val="subscript"/>
          <w:lang w:val="fr-FR"/>
        </w:rPr>
        <w:t>smax</w:t>
      </w:r>
      <w:proofErr w:type="spellEnd"/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mentionnée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tableau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5.6.2.1.3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</w:t>
      </w:r>
      <w:r w:rsidR="00EC442C">
        <w:rPr>
          <w:lang w:val="fr-FR"/>
        </w:rPr>
        <w:t xml:space="preserve"> ; 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5.6.2.3.1.2</w:t>
      </w:r>
      <w:r w:rsidRPr="00DE4822">
        <w:rPr>
          <w:lang w:val="fr-FR"/>
        </w:rPr>
        <w:tab/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renseignements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concernant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manière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détecte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tient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direction.</w:t>
      </w:r>
    </w:p>
    <w:p w:rsidR="00D643A6" w:rsidRPr="00DE4822" w:rsidRDefault="00D643A6" w:rsidP="00C20735">
      <w:pPr>
        <w:pStyle w:val="HChG"/>
        <w:ind w:left="2268"/>
        <w:rPr>
          <w:lang w:val="fr-FR"/>
        </w:rPr>
      </w:pPr>
      <w:r w:rsidRPr="00DE4822">
        <w:rPr>
          <w:lang w:val="fr-FR"/>
        </w:rPr>
        <w:t>6.</w:t>
      </w:r>
      <w:r w:rsidRPr="00DE4822">
        <w:rPr>
          <w:lang w:val="fr-FR"/>
        </w:rPr>
        <w:tab/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relatives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essais</w:t>
      </w:r>
    </w:p>
    <w:p w:rsidR="00D643A6" w:rsidRPr="00DE4822" w:rsidRDefault="00D643A6" w:rsidP="00E32E15">
      <w:pPr>
        <w:pStyle w:val="SingleTxtG"/>
        <w:ind w:left="2268" w:hanging="1134"/>
        <w:rPr>
          <w:u w:val="single"/>
          <w:lang w:val="fr-FR"/>
        </w:rPr>
      </w:pPr>
      <w:r w:rsidRPr="00DE4822">
        <w:rPr>
          <w:lang w:val="fr-FR"/>
        </w:rPr>
        <w:t>6.1</w:t>
      </w:r>
      <w:r w:rsidRPr="00DE4822">
        <w:rPr>
          <w:lang w:val="fr-FR"/>
        </w:rPr>
        <w:tab/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générales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6.1.1</w:t>
      </w:r>
      <w:r w:rsidRPr="00DE4822">
        <w:rPr>
          <w:lang w:val="fr-FR"/>
        </w:rPr>
        <w:tab/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essais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effectués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surface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plane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assurant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bonne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adhérence.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6.1.2</w:t>
      </w:r>
      <w:r w:rsidRPr="00DE4822">
        <w:rPr>
          <w:lang w:val="fr-FR"/>
        </w:rPr>
        <w:tab/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l’essai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essais),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chargé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maximale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techniquement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admissible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charge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maximale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techniquement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admissible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essieux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directeurs.</w:t>
      </w:r>
    </w:p>
    <w:p w:rsidR="00D643A6" w:rsidRPr="00DE4822" w:rsidRDefault="00D643A6" w:rsidP="005138E1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d’essieux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munis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auxiliaire,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essai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répété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avec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chargé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maximale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techniquement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admissible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l’essieu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muni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auxiliaire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chargé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charge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maximale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admissible.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6.1.3</w:t>
      </w:r>
      <w:r w:rsidRPr="00DE4822">
        <w:rPr>
          <w:lang w:val="fr-FR"/>
        </w:rPr>
        <w:tab/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début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l’essai,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pression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gonflage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pneumatiques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constructeur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charge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prévue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6.1.2,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étant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l’arrêt.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6.1.4</w:t>
      </w:r>
      <w:r w:rsidRPr="00DE4822">
        <w:rPr>
          <w:lang w:val="fr-FR"/>
        </w:rPr>
        <w:tab/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fonctionnant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totalité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l’énergie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essais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d’efficacité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effectués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lastRenderedPageBreak/>
        <w:t>conditions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charge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effective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simulée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l’ensemble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principaux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éléments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utilisant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même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alimentation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énergie.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principaux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comprendre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moins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d’éclairage,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="0010726E">
        <w:rPr>
          <w:lang w:val="fr-FR"/>
        </w:rPr>
        <w:t>essuie</w:t>
      </w:r>
      <w:r w:rsidR="004D15A8">
        <w:rPr>
          <w:lang w:val="fr-FR"/>
        </w:rPr>
        <w:t>-</w:t>
      </w:r>
      <w:r w:rsidRPr="00DE4822">
        <w:rPr>
          <w:lang w:val="fr-FR"/>
        </w:rPr>
        <w:t>glaces,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gestion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freinage.</w:t>
      </w:r>
    </w:p>
    <w:p w:rsidR="00D643A6" w:rsidRPr="00DE4822" w:rsidRDefault="00D643A6" w:rsidP="00E32E15">
      <w:pPr>
        <w:pStyle w:val="SingleTxtG"/>
        <w:ind w:left="2268" w:hanging="1134"/>
        <w:rPr>
          <w:u w:val="single"/>
          <w:lang w:val="fr-FR"/>
        </w:rPr>
      </w:pPr>
      <w:r w:rsidRPr="00DE4822">
        <w:rPr>
          <w:lang w:val="fr-FR"/>
        </w:rPr>
        <w:t>6.2</w:t>
      </w:r>
      <w:r w:rsidRPr="00DE4822">
        <w:rPr>
          <w:lang w:val="fr-FR"/>
        </w:rPr>
        <w:tab/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concernant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moteur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6.2.1</w:t>
      </w:r>
      <w:r w:rsidRPr="00DE4822">
        <w:rPr>
          <w:lang w:val="fr-FR"/>
        </w:rPr>
        <w:tab/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pouvoir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prendre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tangente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courbe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ayant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rayon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50</w:t>
      </w:r>
      <w:r w:rsidR="0010726E">
        <w:rPr>
          <w:lang w:val="fr-FR"/>
        </w:rPr>
        <w:t> </w:t>
      </w:r>
      <w:r w:rsidRPr="00DE4822">
        <w:rPr>
          <w:lang w:val="fr-FR"/>
        </w:rPr>
        <w:t>m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vibrations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anormales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suivante</w:t>
      </w:r>
      <w:r w:rsidR="00EC442C">
        <w:rPr>
          <w:lang w:val="fr-FR"/>
        </w:rPr>
        <w:t> :</w:t>
      </w:r>
    </w:p>
    <w:p w:rsidR="005138E1" w:rsidRDefault="00D643A6" w:rsidP="005138E1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Véhicules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catégorie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</w:t>
      </w:r>
      <w:r w:rsidRPr="00DE4822">
        <w:rPr>
          <w:vertAlign w:val="subscript"/>
          <w:lang w:val="fr-FR"/>
        </w:rPr>
        <w:t>1</w:t>
      </w:r>
      <w:r w:rsidR="00EC442C">
        <w:rPr>
          <w:lang w:val="fr-FR"/>
        </w:rPr>
        <w:t xml:space="preserve"> : </w:t>
      </w:r>
      <w:r w:rsidRPr="00DE4822">
        <w:rPr>
          <w:lang w:val="fr-FR"/>
        </w:rPr>
        <w:t>50</w:t>
      </w:r>
      <w:r w:rsidR="0010726E">
        <w:rPr>
          <w:lang w:val="fr-FR"/>
        </w:rPr>
        <w:t> </w:t>
      </w:r>
      <w:r w:rsidRPr="00DE4822">
        <w:rPr>
          <w:lang w:val="fr-FR"/>
        </w:rPr>
        <w:t>km/h</w:t>
      </w:r>
      <w:r w:rsidR="00EC442C">
        <w:rPr>
          <w:lang w:val="fr-FR"/>
        </w:rPr>
        <w:t> ;</w:t>
      </w:r>
    </w:p>
    <w:p w:rsidR="00D643A6" w:rsidRPr="00DE4822" w:rsidRDefault="00D643A6" w:rsidP="005138E1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Véhicules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catégories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</w:t>
      </w:r>
      <w:r w:rsidRPr="00DE4822">
        <w:rPr>
          <w:vertAlign w:val="subscript"/>
          <w:lang w:val="fr-FR"/>
        </w:rPr>
        <w:t>2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</w:t>
      </w:r>
      <w:r w:rsidRPr="00DE4822">
        <w:rPr>
          <w:vertAlign w:val="subscript"/>
          <w:lang w:val="fr-FR"/>
        </w:rPr>
        <w:t>3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</w:t>
      </w:r>
      <w:r w:rsidRPr="00DE4822">
        <w:rPr>
          <w:vertAlign w:val="subscript"/>
          <w:lang w:val="fr-FR"/>
        </w:rPr>
        <w:t>1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</w:t>
      </w:r>
      <w:r w:rsidRPr="00DE4822">
        <w:rPr>
          <w:vertAlign w:val="subscript"/>
          <w:lang w:val="fr-FR"/>
        </w:rPr>
        <w:t>2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</w:t>
      </w:r>
      <w:r w:rsidRPr="00DE4822">
        <w:rPr>
          <w:vertAlign w:val="subscript"/>
          <w:lang w:val="fr-FR"/>
        </w:rPr>
        <w:t>3</w:t>
      </w:r>
      <w:r w:rsidR="00EC442C">
        <w:rPr>
          <w:lang w:val="fr-FR"/>
        </w:rPr>
        <w:t xml:space="preserve"> : </w:t>
      </w:r>
      <w:r w:rsidRPr="00DE4822">
        <w:rPr>
          <w:lang w:val="fr-FR"/>
        </w:rPr>
        <w:t>40</w:t>
      </w:r>
      <w:r w:rsidR="0010726E">
        <w:rPr>
          <w:lang w:val="fr-FR"/>
        </w:rPr>
        <w:t> </w:t>
      </w:r>
      <w:r w:rsidRPr="00DE4822">
        <w:rPr>
          <w:lang w:val="fr-FR"/>
        </w:rPr>
        <w:t>km/h,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maximale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construction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basse.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6.2.2</w:t>
      </w:r>
      <w:r w:rsidRPr="00DE4822">
        <w:rPr>
          <w:lang w:val="fr-FR"/>
        </w:rPr>
        <w:tab/>
        <w:t>Lorsque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trajectoire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circulaire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avec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directrices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mi</w:t>
      </w:r>
      <w:r w:rsidR="004D15A8">
        <w:rPr>
          <w:lang w:val="fr-FR"/>
        </w:rPr>
        <w:t>-</w:t>
      </w:r>
      <w:r w:rsidRPr="00DE4822">
        <w:rPr>
          <w:lang w:val="fr-FR"/>
        </w:rPr>
        <w:t>braquage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environ,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constante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moins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10</w:t>
      </w:r>
      <w:r w:rsidR="0010726E">
        <w:rPr>
          <w:lang w:val="fr-FR"/>
        </w:rPr>
        <w:t> </w:t>
      </w:r>
      <w:r w:rsidRPr="00DE4822">
        <w:rPr>
          <w:lang w:val="fr-FR"/>
        </w:rPr>
        <w:t>km/h,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cercle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virage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rester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identique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s’élargir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lâche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6.2.3</w:t>
      </w:r>
      <w:r w:rsidRPr="00DE4822">
        <w:rPr>
          <w:lang w:val="fr-FR"/>
        </w:rPr>
        <w:tab/>
        <w:t>Lors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mesure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l’effort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forces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exercées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pendant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durée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moins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0,2</w:t>
      </w:r>
      <w:r w:rsidR="0010726E">
        <w:rPr>
          <w:lang w:val="fr-FR"/>
        </w:rPr>
        <w:t> </w:t>
      </w:r>
      <w:r w:rsidRPr="00DE4822">
        <w:rPr>
          <w:lang w:val="fr-FR"/>
        </w:rPr>
        <w:t>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prises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considération.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6.2.4</w:t>
      </w:r>
      <w:r w:rsidRPr="00DE4822">
        <w:rPr>
          <w:lang w:val="fr-FR"/>
        </w:rPr>
        <w:tab/>
        <w:t>Mesure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l’effort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intact.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6.2.4.1</w:t>
      </w:r>
      <w:r w:rsidRPr="00DE4822">
        <w:rPr>
          <w:lang w:val="fr-FR"/>
        </w:rPr>
        <w:tab/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marche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ligne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droite,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fait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virer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selon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spirale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10</w:t>
      </w:r>
      <w:r w:rsidR="0010726E">
        <w:rPr>
          <w:lang w:val="fr-FR"/>
        </w:rPr>
        <w:t> </w:t>
      </w:r>
      <w:r w:rsidRPr="00DE4822">
        <w:rPr>
          <w:lang w:val="fr-FR"/>
        </w:rPr>
        <w:t>km/h.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mesure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l’effort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rayon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nominal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jusqu’à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position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corresponde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rayon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virage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indiqué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tableau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ci</w:t>
      </w:r>
      <w:r w:rsidR="004D15A8">
        <w:rPr>
          <w:lang w:val="fr-FR"/>
        </w:rPr>
        <w:t>-</w:t>
      </w:r>
      <w:r w:rsidRPr="00DE4822">
        <w:rPr>
          <w:lang w:val="fr-FR"/>
        </w:rPr>
        <w:t>après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catégorie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cause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lorsque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dispositif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intact.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tournée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vers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droite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vers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gauche.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6.2.4.2</w:t>
      </w:r>
      <w:r w:rsidRPr="00DE4822">
        <w:rPr>
          <w:lang w:val="fr-FR"/>
        </w:rPr>
        <w:tab/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temps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réaction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maximum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l’effort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maximal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admis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lorsque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intact,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indiqués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tableau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ci</w:t>
      </w:r>
      <w:r w:rsidR="004D15A8">
        <w:rPr>
          <w:lang w:val="fr-FR"/>
        </w:rPr>
        <w:t>-</w:t>
      </w:r>
      <w:r w:rsidRPr="00DE4822">
        <w:rPr>
          <w:lang w:val="fr-FR"/>
        </w:rPr>
        <w:t>après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catégorie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véhicules.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6.2.5</w:t>
      </w:r>
      <w:r w:rsidRPr="00DE4822">
        <w:rPr>
          <w:lang w:val="fr-FR"/>
        </w:rPr>
        <w:tab/>
        <w:t>Mesure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l’effort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défaillant.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6.2.5.1</w:t>
      </w:r>
      <w:r w:rsidRPr="00DE4822">
        <w:rPr>
          <w:lang w:val="fr-FR"/>
        </w:rPr>
        <w:tab/>
        <w:t>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répète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l’essai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décrit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6.2.4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avec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défaillant.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mesure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l’effort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jusqu’à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position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corresponde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rayon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virage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indiqué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tableau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ci</w:t>
      </w:r>
      <w:r w:rsidR="004D15A8">
        <w:rPr>
          <w:lang w:val="fr-FR"/>
        </w:rPr>
        <w:t>-</w:t>
      </w:r>
      <w:r w:rsidRPr="00DE4822">
        <w:rPr>
          <w:lang w:val="fr-FR"/>
        </w:rPr>
        <w:t>après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catégorie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cause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lorsque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défaillant.</w:t>
      </w:r>
    </w:p>
    <w:p w:rsidR="00D643A6" w:rsidRPr="00DE4822" w:rsidRDefault="00D643A6" w:rsidP="00E32E15">
      <w:pPr>
        <w:pStyle w:val="SingleTxtG"/>
        <w:ind w:left="2268" w:hanging="1134"/>
      </w:pPr>
      <w:r w:rsidRPr="00DE4822">
        <w:t>6.2.5.2</w:t>
      </w:r>
      <w:r w:rsidRPr="00DE4822">
        <w:tab/>
        <w:t>Le</w:t>
      </w:r>
      <w:r w:rsidR="00EC442C">
        <w:t xml:space="preserve"> </w:t>
      </w:r>
      <w:r w:rsidRPr="00DE4822">
        <w:rPr>
          <w:lang w:val="fr-FR"/>
        </w:rPr>
        <w:t>temps</w:t>
      </w:r>
      <w:r w:rsidR="00EC442C">
        <w:t xml:space="preserve"> </w:t>
      </w:r>
      <w:r w:rsidRPr="00DE4822">
        <w:t>de</w:t>
      </w:r>
      <w:r w:rsidR="00EC442C">
        <w:t xml:space="preserve"> </w:t>
      </w:r>
      <w:r w:rsidRPr="00DE4822">
        <w:t>réaction</w:t>
      </w:r>
      <w:r w:rsidR="00EC442C">
        <w:t xml:space="preserve"> </w:t>
      </w:r>
      <w:r w:rsidRPr="00DE4822">
        <w:t>maximum</w:t>
      </w:r>
      <w:r w:rsidR="00EC442C">
        <w:t xml:space="preserve"> </w:t>
      </w:r>
      <w:r w:rsidRPr="00DE4822">
        <w:t>de</w:t>
      </w:r>
      <w:r w:rsidR="00EC442C">
        <w:t xml:space="preserve"> </w:t>
      </w:r>
      <w:r w:rsidRPr="00DE4822">
        <w:t>la</w:t>
      </w:r>
      <w:r w:rsidR="00EC442C">
        <w:t xml:space="preserve"> </w:t>
      </w:r>
      <w:r w:rsidRPr="00DE4822">
        <w:t>direction</w:t>
      </w:r>
      <w:r w:rsidR="00EC442C">
        <w:t xml:space="preserve"> </w:t>
      </w:r>
      <w:r w:rsidRPr="00DE4822">
        <w:t>et</w:t>
      </w:r>
      <w:r w:rsidR="00EC442C">
        <w:t xml:space="preserve"> </w:t>
      </w:r>
      <w:r w:rsidRPr="00DE4822">
        <w:t>l’effort</w:t>
      </w:r>
      <w:r w:rsidR="00EC442C">
        <w:t xml:space="preserve"> </w:t>
      </w:r>
      <w:r w:rsidRPr="00DE4822">
        <w:t>maximal</w:t>
      </w:r>
      <w:r w:rsidR="00EC442C">
        <w:t xml:space="preserve"> </w:t>
      </w:r>
      <w:r w:rsidRPr="00DE4822">
        <w:t>admis</w:t>
      </w:r>
      <w:r w:rsidR="00EC442C">
        <w:t xml:space="preserve"> </w:t>
      </w:r>
      <w:r w:rsidRPr="00DE4822">
        <w:t>à</w:t>
      </w:r>
      <w:r w:rsidR="00EC442C">
        <w:t xml:space="preserve"> </w:t>
      </w:r>
      <w:r w:rsidRPr="00DE4822">
        <w:t>la</w:t>
      </w:r>
      <w:r w:rsidR="00EC442C">
        <w:t xml:space="preserve"> </w:t>
      </w:r>
      <w:r w:rsidRPr="00DE4822">
        <w:t>commande</w:t>
      </w:r>
      <w:r w:rsidR="00EC442C">
        <w:t xml:space="preserve"> </w:t>
      </w:r>
      <w:r w:rsidRPr="00DE4822">
        <w:t>de</w:t>
      </w:r>
      <w:r w:rsidR="00EC442C">
        <w:t xml:space="preserve"> </w:t>
      </w:r>
      <w:r w:rsidRPr="00DE4822">
        <w:t>direction</w:t>
      </w:r>
      <w:r w:rsidR="00EC442C">
        <w:t xml:space="preserve"> </w:t>
      </w:r>
      <w:r w:rsidRPr="00DE4822">
        <w:t>lorsque</w:t>
      </w:r>
      <w:r w:rsidR="00EC442C">
        <w:t xml:space="preserve"> </w:t>
      </w:r>
      <w:r w:rsidRPr="00DE4822">
        <w:t>l’équipement</w:t>
      </w:r>
      <w:r w:rsidR="00EC442C">
        <w:t xml:space="preserve"> </w:t>
      </w:r>
      <w:r w:rsidRPr="00DE4822">
        <w:t>de</w:t>
      </w:r>
      <w:r w:rsidR="00EC442C">
        <w:t xml:space="preserve"> </w:t>
      </w:r>
      <w:r w:rsidRPr="00DE4822">
        <w:t>direction</w:t>
      </w:r>
      <w:r w:rsidR="00EC442C">
        <w:t xml:space="preserve"> </w:t>
      </w:r>
      <w:r w:rsidRPr="00DE4822">
        <w:t>est</w:t>
      </w:r>
      <w:r w:rsidR="00EC442C">
        <w:t xml:space="preserve"> </w:t>
      </w:r>
      <w:r w:rsidRPr="00DE4822">
        <w:t>défaillant</w:t>
      </w:r>
      <w:r w:rsidR="00EC442C">
        <w:t xml:space="preserve"> </w:t>
      </w:r>
      <w:r w:rsidRPr="00DE4822">
        <w:t>sont</w:t>
      </w:r>
      <w:r w:rsidR="00EC442C">
        <w:t xml:space="preserve"> </w:t>
      </w:r>
      <w:r w:rsidRPr="00DE4822">
        <w:t>indiqués</w:t>
      </w:r>
      <w:r w:rsidR="00EC442C">
        <w:t xml:space="preserve"> </w:t>
      </w:r>
      <w:r w:rsidRPr="00DE4822">
        <w:t>au</w:t>
      </w:r>
      <w:r w:rsidR="00EC442C">
        <w:t xml:space="preserve"> </w:t>
      </w:r>
      <w:r w:rsidRPr="00DE4822">
        <w:t>tableau</w:t>
      </w:r>
      <w:r w:rsidR="00EC442C">
        <w:t xml:space="preserve"> </w:t>
      </w:r>
      <w:r w:rsidRPr="00DE4822">
        <w:t>ci</w:t>
      </w:r>
      <w:r w:rsidR="004D15A8">
        <w:t>-</w:t>
      </w:r>
      <w:r w:rsidRPr="00DE4822">
        <w:t>après</w:t>
      </w:r>
      <w:r w:rsidR="00EC442C">
        <w:t xml:space="preserve"> </w:t>
      </w:r>
      <w:r w:rsidRPr="00DE4822">
        <w:t>pour</w:t>
      </w:r>
      <w:r w:rsidR="00EC442C">
        <w:t xml:space="preserve"> </w:t>
      </w:r>
      <w:r w:rsidRPr="00DE4822">
        <w:t>chaque</w:t>
      </w:r>
      <w:r w:rsidR="00EC442C">
        <w:t xml:space="preserve"> </w:t>
      </w:r>
      <w:r w:rsidRPr="00DE4822">
        <w:t>catégorie</w:t>
      </w:r>
      <w:r w:rsidR="00EC442C">
        <w:t xml:space="preserve"> </w:t>
      </w:r>
      <w:r w:rsidRPr="00DE4822">
        <w:t>de</w:t>
      </w:r>
      <w:r w:rsidR="00EC442C">
        <w:t xml:space="preserve"> </w:t>
      </w:r>
      <w:r w:rsidRPr="00DE4822">
        <w:t>véhicules.</w:t>
      </w:r>
    </w:p>
    <w:p w:rsidR="00D643A6" w:rsidRPr="009B31CF" w:rsidRDefault="00D643A6" w:rsidP="009B31CF">
      <w:pPr>
        <w:pStyle w:val="Heading1"/>
        <w:spacing w:after="120"/>
        <w:rPr>
          <w:b/>
          <w:lang w:val="fr-FR"/>
        </w:rPr>
      </w:pPr>
      <w:r w:rsidRPr="009B31CF">
        <w:rPr>
          <w:lang w:val="fr-FR"/>
        </w:rPr>
        <w:t>Tableau</w:t>
      </w:r>
      <w:r w:rsidR="00EC442C">
        <w:rPr>
          <w:lang w:val="fr-FR"/>
        </w:rPr>
        <w:t xml:space="preserve"> </w:t>
      </w:r>
      <w:r w:rsidRPr="009B31CF">
        <w:rPr>
          <w:lang w:val="fr-FR"/>
        </w:rPr>
        <w:t>2</w:t>
      </w:r>
      <w:r w:rsidR="009B31CF" w:rsidRPr="009B31CF">
        <w:rPr>
          <w:lang w:val="fr-FR"/>
        </w:rPr>
        <w:br/>
      </w:r>
      <w:r w:rsidRPr="009B31CF">
        <w:rPr>
          <w:b/>
          <w:lang w:val="fr-FR"/>
        </w:rPr>
        <w:t>Prescriptions</w:t>
      </w:r>
      <w:r w:rsidR="00EC442C">
        <w:rPr>
          <w:b/>
          <w:lang w:val="fr-FR"/>
        </w:rPr>
        <w:t xml:space="preserve"> </w:t>
      </w:r>
      <w:r w:rsidRPr="009B31CF">
        <w:rPr>
          <w:b/>
          <w:lang w:val="fr-FR"/>
        </w:rPr>
        <w:t>concernant</w:t>
      </w:r>
      <w:r w:rsidR="00EC442C">
        <w:rPr>
          <w:b/>
          <w:lang w:val="fr-FR"/>
        </w:rPr>
        <w:t xml:space="preserve"> </w:t>
      </w:r>
      <w:r w:rsidRPr="009B31CF">
        <w:rPr>
          <w:b/>
          <w:lang w:val="fr-FR"/>
        </w:rPr>
        <w:t>l’effort</w:t>
      </w:r>
      <w:r w:rsidR="00EC442C">
        <w:rPr>
          <w:b/>
          <w:lang w:val="fr-FR"/>
        </w:rPr>
        <w:t xml:space="preserve"> </w:t>
      </w:r>
      <w:r w:rsidRPr="009B31CF">
        <w:rPr>
          <w:b/>
          <w:lang w:val="fr-FR"/>
        </w:rPr>
        <w:t>à</w:t>
      </w:r>
      <w:r w:rsidR="00EC442C">
        <w:rPr>
          <w:b/>
          <w:lang w:val="fr-FR"/>
        </w:rPr>
        <w:t xml:space="preserve"> </w:t>
      </w:r>
      <w:r w:rsidRPr="009B31CF">
        <w:rPr>
          <w:b/>
          <w:lang w:val="fr-FR"/>
        </w:rPr>
        <w:t>la</w:t>
      </w:r>
      <w:r w:rsidR="00EC442C">
        <w:rPr>
          <w:b/>
          <w:lang w:val="fr-FR"/>
        </w:rPr>
        <w:t xml:space="preserve"> </w:t>
      </w:r>
      <w:r w:rsidRPr="009B31CF">
        <w:rPr>
          <w:b/>
          <w:lang w:val="fr-FR"/>
        </w:rPr>
        <w:t>commande</w:t>
      </w:r>
      <w:r w:rsidR="00EC442C">
        <w:rPr>
          <w:b/>
          <w:lang w:val="fr-FR"/>
        </w:rPr>
        <w:t xml:space="preserve"> </w:t>
      </w:r>
      <w:r w:rsidRPr="009B31CF">
        <w:rPr>
          <w:b/>
          <w:lang w:val="fr-FR"/>
        </w:rPr>
        <w:t>de</w:t>
      </w:r>
      <w:r w:rsidR="00EC442C">
        <w:rPr>
          <w:b/>
          <w:lang w:val="fr-FR"/>
        </w:rPr>
        <w:t xml:space="preserve"> </w:t>
      </w:r>
      <w:r w:rsidRPr="009B31CF">
        <w:rPr>
          <w:b/>
          <w:lang w:val="fr-FR"/>
        </w:rPr>
        <w:t>direction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1"/>
        <w:gridCol w:w="1024"/>
        <w:gridCol w:w="1025"/>
        <w:gridCol w:w="1025"/>
        <w:gridCol w:w="1025"/>
        <w:gridCol w:w="1025"/>
        <w:gridCol w:w="1025"/>
      </w:tblGrid>
      <w:tr w:rsidR="009B31CF" w:rsidRPr="00446B1C" w:rsidTr="00CB37A9">
        <w:trPr>
          <w:cantSplit/>
          <w:tblHeader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FR"/>
              </w:rPr>
            </w:pPr>
            <w:r w:rsidRPr="00446B1C">
              <w:rPr>
                <w:i/>
                <w:sz w:val="16"/>
                <w:lang w:val="fr-FR"/>
              </w:rPr>
              <w:t>Catégorie</w:t>
            </w:r>
            <w:r w:rsidR="00EC442C">
              <w:rPr>
                <w:i/>
                <w:sz w:val="16"/>
                <w:lang w:val="fr-FR"/>
              </w:rPr>
              <w:t xml:space="preserve"> </w:t>
            </w:r>
            <w:r w:rsidRPr="00446B1C">
              <w:rPr>
                <w:i/>
                <w:sz w:val="16"/>
                <w:lang w:val="fr-FR"/>
              </w:rPr>
              <w:t>de</w:t>
            </w:r>
            <w:r w:rsidR="00CB37A9">
              <w:rPr>
                <w:i/>
                <w:sz w:val="16"/>
                <w:lang w:val="fr-FR"/>
              </w:rPr>
              <w:t> </w:t>
            </w:r>
            <w:r w:rsidRPr="00446B1C">
              <w:rPr>
                <w:i/>
                <w:sz w:val="16"/>
                <w:lang w:val="fr-FR"/>
              </w:rPr>
              <w:t>véhicules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FR"/>
              </w:rPr>
            </w:pPr>
            <w:r w:rsidRPr="00446B1C">
              <w:rPr>
                <w:i/>
                <w:sz w:val="16"/>
                <w:lang w:val="fr-FR"/>
              </w:rPr>
              <w:t>DISPOSITIF</w:t>
            </w:r>
            <w:r w:rsidR="00EC442C">
              <w:rPr>
                <w:i/>
                <w:sz w:val="16"/>
                <w:lang w:val="fr-FR"/>
              </w:rPr>
              <w:t xml:space="preserve"> </w:t>
            </w:r>
            <w:r w:rsidRPr="00446B1C">
              <w:rPr>
                <w:i/>
                <w:sz w:val="16"/>
                <w:lang w:val="fr-FR"/>
              </w:rPr>
              <w:t>INTACT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FR"/>
              </w:rPr>
            </w:pPr>
            <w:r w:rsidRPr="00446B1C">
              <w:rPr>
                <w:i/>
                <w:sz w:val="16"/>
                <w:lang w:val="fr-FR"/>
              </w:rPr>
              <w:t>DISPOSITIF</w:t>
            </w:r>
            <w:r w:rsidR="00EC442C">
              <w:rPr>
                <w:i/>
                <w:sz w:val="16"/>
                <w:lang w:val="fr-FR"/>
              </w:rPr>
              <w:t xml:space="preserve"> </w:t>
            </w:r>
            <w:r w:rsidRPr="00446B1C">
              <w:rPr>
                <w:i/>
                <w:sz w:val="16"/>
                <w:lang w:val="fr-FR"/>
              </w:rPr>
              <w:t>DÉFAILLANT</w:t>
            </w:r>
          </w:p>
        </w:tc>
      </w:tr>
      <w:tr w:rsidR="009B31CF" w:rsidRPr="00446B1C" w:rsidTr="00CB37A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blHeader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F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FR"/>
              </w:rPr>
            </w:pPr>
            <w:r w:rsidRPr="00446B1C">
              <w:rPr>
                <w:i/>
                <w:sz w:val="16"/>
                <w:lang w:val="fr-FR"/>
              </w:rPr>
              <w:t>Effort</w:t>
            </w:r>
            <w:r w:rsidR="00EC442C">
              <w:rPr>
                <w:i/>
                <w:sz w:val="16"/>
                <w:lang w:val="fr-FR"/>
              </w:rPr>
              <w:t xml:space="preserve"> </w:t>
            </w:r>
            <w:r w:rsidRPr="00446B1C">
              <w:rPr>
                <w:i/>
                <w:sz w:val="16"/>
                <w:lang w:val="fr-FR"/>
              </w:rPr>
              <w:t>maximal</w:t>
            </w:r>
            <w:r w:rsidR="00EC442C">
              <w:rPr>
                <w:i/>
                <w:sz w:val="16"/>
                <w:lang w:val="fr-FR"/>
              </w:rPr>
              <w:t xml:space="preserve"> </w:t>
            </w:r>
            <w:r w:rsidRPr="00446B1C">
              <w:rPr>
                <w:i/>
                <w:sz w:val="16"/>
                <w:lang w:val="fr-FR"/>
              </w:rPr>
              <w:t>(daN)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FR"/>
              </w:rPr>
            </w:pPr>
            <w:r w:rsidRPr="00446B1C">
              <w:rPr>
                <w:i/>
                <w:sz w:val="16"/>
                <w:lang w:val="fr-FR"/>
              </w:rPr>
              <w:t>Temps</w:t>
            </w:r>
            <w:r w:rsidR="00EC442C">
              <w:rPr>
                <w:i/>
                <w:sz w:val="16"/>
                <w:lang w:val="fr-FR"/>
              </w:rPr>
              <w:t xml:space="preserve"> </w:t>
            </w:r>
            <w:r w:rsidRPr="00446B1C">
              <w:rPr>
                <w:i/>
                <w:sz w:val="16"/>
                <w:lang w:val="fr-FR"/>
              </w:rPr>
              <w:t>de</w:t>
            </w:r>
            <w:r w:rsidR="00EC442C">
              <w:rPr>
                <w:i/>
                <w:sz w:val="16"/>
                <w:lang w:val="fr-FR"/>
              </w:rPr>
              <w:t xml:space="preserve"> </w:t>
            </w:r>
            <w:r w:rsidRPr="00446B1C">
              <w:rPr>
                <w:i/>
                <w:sz w:val="16"/>
                <w:lang w:val="fr-FR"/>
              </w:rPr>
              <w:t>réaction</w:t>
            </w:r>
            <w:r w:rsidR="00EC442C">
              <w:rPr>
                <w:i/>
                <w:sz w:val="16"/>
                <w:lang w:val="fr-FR"/>
              </w:rPr>
              <w:t xml:space="preserve"> </w:t>
            </w:r>
            <w:r w:rsidRPr="00446B1C">
              <w:rPr>
                <w:i/>
                <w:sz w:val="16"/>
                <w:lang w:val="fr-FR"/>
              </w:rPr>
              <w:t>de</w:t>
            </w:r>
            <w:r w:rsidR="00EC442C">
              <w:rPr>
                <w:i/>
                <w:sz w:val="16"/>
                <w:lang w:val="fr-FR"/>
              </w:rPr>
              <w:t xml:space="preserve"> </w:t>
            </w:r>
            <w:r w:rsidRPr="00446B1C">
              <w:rPr>
                <w:i/>
                <w:sz w:val="16"/>
                <w:lang w:val="fr-FR"/>
              </w:rPr>
              <w:t>la</w:t>
            </w:r>
            <w:r w:rsidR="00EC442C">
              <w:rPr>
                <w:i/>
                <w:sz w:val="16"/>
                <w:lang w:val="fr-FR"/>
              </w:rPr>
              <w:t xml:space="preserve"> </w:t>
            </w:r>
            <w:r w:rsidRPr="00446B1C">
              <w:rPr>
                <w:i/>
                <w:sz w:val="16"/>
                <w:lang w:val="fr-FR"/>
              </w:rPr>
              <w:t>direction</w:t>
            </w:r>
            <w:r w:rsidR="00EC442C">
              <w:rPr>
                <w:i/>
                <w:sz w:val="16"/>
                <w:lang w:val="fr-FR"/>
              </w:rPr>
              <w:t xml:space="preserve"> </w:t>
            </w:r>
            <w:r w:rsidRPr="00446B1C">
              <w:rPr>
                <w:i/>
                <w:sz w:val="16"/>
                <w:lang w:val="fr-FR"/>
              </w:rPr>
              <w:t>(s)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FR"/>
              </w:rPr>
            </w:pPr>
            <w:r w:rsidRPr="00446B1C">
              <w:rPr>
                <w:i/>
                <w:sz w:val="16"/>
                <w:lang w:val="fr-FR"/>
              </w:rPr>
              <w:t>Rayon</w:t>
            </w:r>
            <w:r w:rsidR="00EC442C">
              <w:rPr>
                <w:i/>
                <w:sz w:val="16"/>
                <w:lang w:val="fr-FR"/>
              </w:rPr>
              <w:t xml:space="preserve"> </w:t>
            </w:r>
            <w:r w:rsidRPr="00446B1C">
              <w:rPr>
                <w:i/>
                <w:sz w:val="16"/>
                <w:lang w:val="fr-FR"/>
              </w:rPr>
              <w:t>de</w:t>
            </w:r>
            <w:r w:rsidR="00EC442C">
              <w:rPr>
                <w:i/>
                <w:sz w:val="16"/>
                <w:lang w:val="fr-FR"/>
              </w:rPr>
              <w:t xml:space="preserve"> </w:t>
            </w:r>
            <w:r w:rsidRPr="00446B1C">
              <w:rPr>
                <w:i/>
                <w:sz w:val="16"/>
                <w:lang w:val="fr-FR"/>
              </w:rPr>
              <w:t>virage</w:t>
            </w:r>
            <w:r w:rsidR="00EC442C">
              <w:rPr>
                <w:i/>
                <w:sz w:val="16"/>
                <w:lang w:val="fr-FR"/>
              </w:rPr>
              <w:t xml:space="preserve"> </w:t>
            </w:r>
            <w:r w:rsidRPr="00446B1C">
              <w:rPr>
                <w:i/>
                <w:sz w:val="16"/>
                <w:lang w:val="fr-FR"/>
              </w:rPr>
              <w:t>(m)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FR"/>
              </w:rPr>
            </w:pPr>
            <w:r w:rsidRPr="00446B1C">
              <w:rPr>
                <w:i/>
                <w:sz w:val="16"/>
                <w:lang w:val="fr-FR"/>
              </w:rPr>
              <w:t>Effort</w:t>
            </w:r>
            <w:r w:rsidR="00EC442C">
              <w:rPr>
                <w:i/>
                <w:sz w:val="16"/>
                <w:lang w:val="fr-FR"/>
              </w:rPr>
              <w:t xml:space="preserve"> </w:t>
            </w:r>
            <w:r w:rsidRPr="00446B1C">
              <w:rPr>
                <w:i/>
                <w:sz w:val="16"/>
                <w:lang w:val="fr-FR"/>
              </w:rPr>
              <w:t>maximal</w:t>
            </w:r>
            <w:r w:rsidR="00EC442C">
              <w:rPr>
                <w:i/>
                <w:sz w:val="16"/>
                <w:lang w:val="fr-FR"/>
              </w:rPr>
              <w:t xml:space="preserve"> </w:t>
            </w:r>
            <w:r w:rsidRPr="00446B1C">
              <w:rPr>
                <w:i/>
                <w:sz w:val="16"/>
                <w:lang w:val="fr-FR"/>
              </w:rPr>
              <w:t>(daN)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FR"/>
              </w:rPr>
            </w:pPr>
            <w:r w:rsidRPr="00446B1C">
              <w:rPr>
                <w:i/>
                <w:sz w:val="16"/>
                <w:lang w:val="fr-FR"/>
              </w:rPr>
              <w:t>Temps</w:t>
            </w:r>
            <w:r w:rsidR="00EC442C">
              <w:rPr>
                <w:i/>
                <w:sz w:val="16"/>
                <w:lang w:val="fr-FR"/>
              </w:rPr>
              <w:t xml:space="preserve"> </w:t>
            </w:r>
            <w:r w:rsidRPr="00446B1C">
              <w:rPr>
                <w:i/>
                <w:sz w:val="16"/>
                <w:lang w:val="fr-FR"/>
              </w:rPr>
              <w:t>de</w:t>
            </w:r>
            <w:r w:rsidR="00EC442C">
              <w:rPr>
                <w:i/>
                <w:sz w:val="16"/>
                <w:lang w:val="fr-FR"/>
              </w:rPr>
              <w:t xml:space="preserve"> </w:t>
            </w:r>
            <w:r w:rsidRPr="00446B1C">
              <w:rPr>
                <w:i/>
                <w:sz w:val="16"/>
                <w:lang w:val="fr-FR"/>
              </w:rPr>
              <w:t>réaction</w:t>
            </w:r>
            <w:r w:rsidR="00EC442C">
              <w:rPr>
                <w:i/>
                <w:sz w:val="16"/>
                <w:lang w:val="fr-FR"/>
              </w:rPr>
              <w:t xml:space="preserve"> </w:t>
            </w:r>
            <w:r w:rsidRPr="00446B1C">
              <w:rPr>
                <w:i/>
                <w:sz w:val="16"/>
                <w:lang w:val="fr-FR"/>
              </w:rPr>
              <w:t>de</w:t>
            </w:r>
            <w:r w:rsidR="00EC442C">
              <w:rPr>
                <w:i/>
                <w:sz w:val="16"/>
                <w:lang w:val="fr-FR"/>
              </w:rPr>
              <w:t xml:space="preserve"> </w:t>
            </w:r>
            <w:r w:rsidRPr="00446B1C">
              <w:rPr>
                <w:i/>
                <w:sz w:val="16"/>
                <w:lang w:val="fr-FR"/>
              </w:rPr>
              <w:t>la</w:t>
            </w:r>
            <w:r w:rsidR="00EC442C">
              <w:rPr>
                <w:i/>
                <w:sz w:val="16"/>
                <w:lang w:val="fr-FR"/>
              </w:rPr>
              <w:t xml:space="preserve"> </w:t>
            </w:r>
            <w:r w:rsidRPr="00446B1C">
              <w:rPr>
                <w:i/>
                <w:sz w:val="16"/>
                <w:lang w:val="fr-FR"/>
              </w:rPr>
              <w:t>direction</w:t>
            </w:r>
            <w:r w:rsidR="00EC442C">
              <w:rPr>
                <w:i/>
                <w:sz w:val="16"/>
                <w:lang w:val="fr-FR"/>
              </w:rPr>
              <w:t xml:space="preserve"> </w:t>
            </w:r>
            <w:r w:rsidRPr="00446B1C">
              <w:rPr>
                <w:i/>
                <w:sz w:val="16"/>
                <w:lang w:val="fr-FR"/>
              </w:rPr>
              <w:t>(s)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FR"/>
              </w:rPr>
            </w:pPr>
            <w:r w:rsidRPr="00446B1C">
              <w:rPr>
                <w:i/>
                <w:sz w:val="16"/>
                <w:lang w:val="fr-FR"/>
              </w:rPr>
              <w:t>Rayon</w:t>
            </w:r>
            <w:r w:rsidR="00EC442C">
              <w:rPr>
                <w:i/>
                <w:sz w:val="16"/>
                <w:lang w:val="fr-FR"/>
              </w:rPr>
              <w:t xml:space="preserve"> </w:t>
            </w:r>
            <w:r w:rsidRPr="00446B1C">
              <w:rPr>
                <w:i/>
                <w:sz w:val="16"/>
                <w:lang w:val="fr-FR"/>
              </w:rPr>
              <w:t>de</w:t>
            </w:r>
            <w:r w:rsidR="00EC442C">
              <w:rPr>
                <w:i/>
                <w:sz w:val="16"/>
                <w:lang w:val="fr-FR"/>
              </w:rPr>
              <w:t xml:space="preserve"> </w:t>
            </w:r>
            <w:r w:rsidRPr="00446B1C">
              <w:rPr>
                <w:i/>
                <w:sz w:val="16"/>
                <w:lang w:val="fr-FR"/>
              </w:rPr>
              <w:t>virage</w:t>
            </w:r>
            <w:r w:rsidR="00EC442C">
              <w:rPr>
                <w:i/>
                <w:sz w:val="16"/>
                <w:lang w:val="fr-FR"/>
              </w:rPr>
              <w:t xml:space="preserve"> </w:t>
            </w:r>
            <w:r w:rsidRPr="00446B1C">
              <w:rPr>
                <w:i/>
                <w:sz w:val="16"/>
                <w:lang w:val="fr-FR"/>
              </w:rPr>
              <w:t>(m)</w:t>
            </w:r>
          </w:p>
        </w:tc>
      </w:tr>
      <w:tr w:rsidR="00446B1C" w:rsidRPr="00446B1C" w:rsidTr="00CB37A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12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446B1C">
              <w:rPr>
                <w:sz w:val="18"/>
                <w:lang w:val="fr-FR"/>
              </w:rPr>
              <w:t>M</w:t>
            </w:r>
            <w:r w:rsidRPr="00446B1C">
              <w:rPr>
                <w:sz w:val="18"/>
                <w:vertAlign w:val="subscript"/>
                <w:lang w:val="fr-FR"/>
              </w:rPr>
              <w:t>1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446B1C">
              <w:rPr>
                <w:sz w:val="18"/>
                <w:lang w:val="fr-FR"/>
              </w:rPr>
              <w:t>15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446B1C">
              <w:rPr>
                <w:sz w:val="18"/>
                <w:lang w:val="fr-FR"/>
              </w:rPr>
              <w:t>4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446B1C">
              <w:rPr>
                <w:sz w:val="18"/>
                <w:lang w:val="fr-FR"/>
              </w:rPr>
              <w:t>12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446B1C">
              <w:rPr>
                <w:sz w:val="18"/>
                <w:lang w:val="fr-FR"/>
              </w:rPr>
              <w:t>30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446B1C">
              <w:rPr>
                <w:sz w:val="18"/>
                <w:lang w:val="fr-FR"/>
              </w:rPr>
              <w:t>4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446B1C">
              <w:rPr>
                <w:sz w:val="18"/>
                <w:lang w:val="fr-FR"/>
              </w:rPr>
              <w:t>20</w:t>
            </w:r>
          </w:p>
        </w:tc>
      </w:tr>
      <w:tr w:rsidR="00446B1C" w:rsidRPr="00446B1C" w:rsidTr="00CB37A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446B1C">
              <w:rPr>
                <w:sz w:val="18"/>
                <w:lang w:val="fr-FR"/>
              </w:rPr>
              <w:t>M</w:t>
            </w:r>
            <w:r w:rsidRPr="00446B1C">
              <w:rPr>
                <w:sz w:val="18"/>
                <w:vertAlign w:val="subscript"/>
                <w:lang w:val="fr-FR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446B1C">
              <w:rPr>
                <w:sz w:val="18"/>
                <w:lang w:val="fr-FR"/>
              </w:rPr>
              <w:t>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446B1C">
              <w:rPr>
                <w:sz w:val="18"/>
                <w:lang w:val="fr-FR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446B1C">
              <w:rPr>
                <w:sz w:val="18"/>
                <w:lang w:val="fr-FR"/>
              </w:rPr>
              <w:t>12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446B1C">
              <w:rPr>
                <w:sz w:val="18"/>
                <w:lang w:val="fr-FR"/>
              </w:rPr>
              <w:t>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446B1C">
              <w:rPr>
                <w:sz w:val="18"/>
                <w:lang w:val="fr-FR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446B1C">
              <w:rPr>
                <w:sz w:val="18"/>
                <w:lang w:val="fr-FR"/>
              </w:rPr>
              <w:t>20</w:t>
            </w:r>
          </w:p>
        </w:tc>
      </w:tr>
      <w:tr w:rsidR="00446B1C" w:rsidRPr="00446B1C" w:rsidTr="00CB37A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vertAlign w:val="subscript"/>
                <w:lang w:val="fr-FR"/>
              </w:rPr>
            </w:pPr>
            <w:r w:rsidRPr="00446B1C">
              <w:rPr>
                <w:sz w:val="18"/>
                <w:lang w:val="fr-FR"/>
              </w:rPr>
              <w:t>M</w:t>
            </w:r>
            <w:r w:rsidRPr="00446B1C">
              <w:rPr>
                <w:sz w:val="18"/>
                <w:vertAlign w:val="subscript"/>
                <w:lang w:val="fr-FR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446B1C">
              <w:rPr>
                <w:sz w:val="18"/>
                <w:lang w:val="fr-FR"/>
              </w:rPr>
              <w:t>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446B1C">
              <w:rPr>
                <w:sz w:val="18"/>
                <w:lang w:val="fr-FR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u w:val="single"/>
                <w:vertAlign w:val="superscript"/>
                <w:lang w:val="fr-FR"/>
              </w:rPr>
            </w:pPr>
            <w:r w:rsidRPr="00446B1C">
              <w:rPr>
                <w:sz w:val="18"/>
                <w:lang w:val="fr-FR"/>
              </w:rPr>
              <w:t>12</w:t>
            </w:r>
            <w:r w:rsidRPr="00EB0752">
              <w:rPr>
                <w:bCs/>
                <w:sz w:val="18"/>
                <w:lang w:val="fr-FR"/>
              </w:rPr>
              <w:t>**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vertAlign w:val="superscript"/>
                <w:lang w:val="fr-FR"/>
              </w:rPr>
            </w:pPr>
            <w:r w:rsidRPr="00446B1C">
              <w:rPr>
                <w:sz w:val="18"/>
                <w:lang w:val="fr-FR"/>
              </w:rPr>
              <w:t>45</w:t>
            </w:r>
            <w:r w:rsidRPr="00EB0752">
              <w:rPr>
                <w:bCs/>
                <w:sz w:val="18"/>
                <w:lang w:val="fr-FR"/>
              </w:rPr>
              <w:t>*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446B1C">
              <w:rPr>
                <w:sz w:val="18"/>
                <w:lang w:val="fr-FR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446B1C">
              <w:rPr>
                <w:sz w:val="18"/>
                <w:lang w:val="fr-FR"/>
              </w:rPr>
              <w:t>20</w:t>
            </w:r>
          </w:p>
        </w:tc>
      </w:tr>
      <w:tr w:rsidR="00446B1C" w:rsidRPr="00446B1C" w:rsidTr="00CB37A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446B1C">
              <w:rPr>
                <w:sz w:val="18"/>
                <w:lang w:val="fr-FR"/>
              </w:rPr>
              <w:lastRenderedPageBreak/>
              <w:t>N</w:t>
            </w:r>
            <w:r w:rsidRPr="00446B1C">
              <w:rPr>
                <w:sz w:val="18"/>
                <w:vertAlign w:val="subscript"/>
                <w:lang w:val="fr-FR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446B1C">
              <w:rPr>
                <w:sz w:val="18"/>
                <w:lang w:val="fr-FR"/>
              </w:rPr>
              <w:t>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446B1C">
              <w:rPr>
                <w:sz w:val="18"/>
                <w:lang w:val="fr-FR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446B1C">
              <w:rPr>
                <w:sz w:val="18"/>
                <w:lang w:val="fr-FR"/>
              </w:rPr>
              <w:t>12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446B1C">
              <w:rPr>
                <w:sz w:val="18"/>
                <w:lang w:val="fr-FR"/>
              </w:rPr>
              <w:t>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446B1C">
              <w:rPr>
                <w:sz w:val="18"/>
                <w:lang w:val="fr-FR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446B1C">
              <w:rPr>
                <w:sz w:val="18"/>
                <w:lang w:val="fr-FR"/>
              </w:rPr>
              <w:t>20</w:t>
            </w:r>
          </w:p>
        </w:tc>
      </w:tr>
      <w:tr w:rsidR="00446B1C" w:rsidRPr="00446B1C" w:rsidTr="00CB37A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446B1C">
              <w:rPr>
                <w:sz w:val="18"/>
                <w:lang w:val="fr-FR"/>
              </w:rPr>
              <w:t>N</w:t>
            </w:r>
            <w:r w:rsidRPr="00446B1C">
              <w:rPr>
                <w:sz w:val="18"/>
                <w:vertAlign w:val="subscript"/>
                <w:lang w:val="fr-FR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446B1C">
              <w:rPr>
                <w:sz w:val="18"/>
                <w:lang w:val="fr-FR"/>
              </w:rPr>
              <w:t>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446B1C">
              <w:rPr>
                <w:sz w:val="18"/>
                <w:lang w:val="fr-FR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446B1C">
              <w:rPr>
                <w:sz w:val="18"/>
                <w:lang w:val="fr-FR"/>
              </w:rPr>
              <w:t>12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446B1C">
              <w:rPr>
                <w:sz w:val="18"/>
                <w:lang w:val="fr-FR"/>
              </w:rPr>
              <w:t>40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446B1C">
              <w:rPr>
                <w:sz w:val="18"/>
                <w:lang w:val="fr-FR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446B1C">
              <w:rPr>
                <w:sz w:val="18"/>
                <w:lang w:val="fr-FR"/>
              </w:rPr>
              <w:t>20</w:t>
            </w:r>
          </w:p>
        </w:tc>
      </w:tr>
      <w:tr w:rsidR="00446B1C" w:rsidRPr="00446B1C" w:rsidTr="00CB37A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vertAlign w:val="subscript"/>
                <w:lang w:val="fr-FR"/>
              </w:rPr>
            </w:pPr>
            <w:r w:rsidRPr="00446B1C">
              <w:rPr>
                <w:sz w:val="18"/>
                <w:lang w:val="fr-FR"/>
              </w:rPr>
              <w:t>N</w:t>
            </w:r>
            <w:r w:rsidRPr="00446B1C">
              <w:rPr>
                <w:sz w:val="18"/>
                <w:vertAlign w:val="subscript"/>
                <w:lang w:val="fr-FR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446B1C">
              <w:rPr>
                <w:sz w:val="18"/>
                <w:lang w:val="fr-FR"/>
              </w:rPr>
              <w:t>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446B1C">
              <w:rPr>
                <w:sz w:val="18"/>
                <w:lang w:val="fr-FR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vertAlign w:val="superscript"/>
                <w:lang w:val="fr-FR"/>
              </w:rPr>
            </w:pPr>
            <w:r w:rsidRPr="00446B1C">
              <w:rPr>
                <w:sz w:val="18"/>
                <w:lang w:val="fr-FR"/>
              </w:rPr>
              <w:t>12</w:t>
            </w:r>
            <w:r w:rsidRPr="00EB0752">
              <w:rPr>
                <w:bCs/>
                <w:sz w:val="18"/>
                <w:lang w:val="fr-FR"/>
              </w:rPr>
              <w:t>**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vertAlign w:val="superscript"/>
                <w:lang w:val="fr-FR"/>
              </w:rPr>
            </w:pPr>
            <w:r w:rsidRPr="00446B1C">
              <w:rPr>
                <w:sz w:val="18"/>
                <w:lang w:val="fr-FR"/>
              </w:rPr>
              <w:t>45</w:t>
            </w:r>
            <w:r w:rsidRPr="00EB0752">
              <w:rPr>
                <w:bCs/>
                <w:sz w:val="18"/>
                <w:lang w:val="fr-FR"/>
              </w:rPr>
              <w:t>*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446B1C">
              <w:rPr>
                <w:sz w:val="18"/>
                <w:lang w:val="fr-FR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3A6" w:rsidRPr="00446B1C" w:rsidRDefault="00D643A6" w:rsidP="00CB37A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446B1C">
              <w:rPr>
                <w:sz w:val="18"/>
                <w:lang w:val="fr-FR"/>
              </w:rPr>
              <w:t>20</w:t>
            </w:r>
          </w:p>
        </w:tc>
      </w:tr>
    </w:tbl>
    <w:p w:rsidR="00D643A6" w:rsidRPr="00446B1C" w:rsidRDefault="00D643A6" w:rsidP="00446B1C">
      <w:pPr>
        <w:pStyle w:val="SingleTxtG"/>
        <w:spacing w:after="0" w:line="200" w:lineRule="atLeast"/>
        <w:ind w:firstLine="170"/>
        <w:jc w:val="left"/>
        <w:rPr>
          <w:sz w:val="18"/>
          <w:szCs w:val="18"/>
          <w:lang w:val="fr-FR"/>
        </w:rPr>
      </w:pPr>
      <w:r w:rsidRPr="005138E1">
        <w:rPr>
          <w:bCs/>
          <w:sz w:val="18"/>
          <w:szCs w:val="18"/>
          <w:lang w:val="fr-FR"/>
        </w:rPr>
        <w:t>*</w:t>
      </w:r>
      <w:r w:rsidR="00EC442C">
        <w:rPr>
          <w:iCs/>
          <w:sz w:val="18"/>
          <w:szCs w:val="18"/>
          <w:lang w:val="fr-FR"/>
        </w:rPr>
        <w:t xml:space="preserve">  </w:t>
      </w:r>
      <w:r w:rsidRPr="00446B1C">
        <w:rPr>
          <w:sz w:val="18"/>
          <w:szCs w:val="18"/>
          <w:lang w:val="fr-FR"/>
        </w:rPr>
        <w:t>50</w:t>
      </w:r>
      <w:r w:rsidR="00EC442C">
        <w:rPr>
          <w:sz w:val="18"/>
          <w:szCs w:val="18"/>
          <w:lang w:val="fr-FR"/>
        </w:rPr>
        <w:t xml:space="preserve"> </w:t>
      </w:r>
      <w:r w:rsidRPr="00446B1C">
        <w:rPr>
          <w:sz w:val="18"/>
          <w:szCs w:val="18"/>
          <w:lang w:val="fr-FR"/>
        </w:rPr>
        <w:t>pour</w:t>
      </w:r>
      <w:r w:rsidR="00EC442C">
        <w:rPr>
          <w:sz w:val="18"/>
          <w:szCs w:val="18"/>
          <w:lang w:val="fr-FR"/>
        </w:rPr>
        <w:t xml:space="preserve"> </w:t>
      </w:r>
      <w:r w:rsidRPr="00446B1C">
        <w:rPr>
          <w:sz w:val="18"/>
          <w:szCs w:val="18"/>
          <w:lang w:val="fr-FR"/>
        </w:rPr>
        <w:t>les</w:t>
      </w:r>
      <w:r w:rsidR="00EC442C">
        <w:rPr>
          <w:sz w:val="18"/>
          <w:szCs w:val="18"/>
          <w:lang w:val="fr-FR"/>
        </w:rPr>
        <w:t xml:space="preserve"> </w:t>
      </w:r>
      <w:r w:rsidRPr="00446B1C">
        <w:rPr>
          <w:sz w:val="18"/>
          <w:szCs w:val="18"/>
          <w:lang w:val="fr-FR"/>
        </w:rPr>
        <w:t>véhicules</w:t>
      </w:r>
      <w:r w:rsidR="00EC442C">
        <w:rPr>
          <w:sz w:val="18"/>
          <w:szCs w:val="18"/>
          <w:lang w:val="fr-FR"/>
        </w:rPr>
        <w:t xml:space="preserve"> </w:t>
      </w:r>
      <w:r w:rsidRPr="00446B1C">
        <w:rPr>
          <w:sz w:val="18"/>
          <w:szCs w:val="18"/>
          <w:lang w:val="fr-FR"/>
        </w:rPr>
        <w:t>rigides</w:t>
      </w:r>
      <w:r w:rsidR="00EC442C">
        <w:rPr>
          <w:sz w:val="18"/>
          <w:szCs w:val="18"/>
          <w:lang w:val="fr-FR"/>
        </w:rPr>
        <w:t xml:space="preserve"> </w:t>
      </w:r>
      <w:r w:rsidRPr="00446B1C">
        <w:rPr>
          <w:sz w:val="18"/>
          <w:szCs w:val="18"/>
          <w:lang w:val="fr-FR"/>
        </w:rPr>
        <w:t>à</w:t>
      </w:r>
      <w:r w:rsidR="00EC442C">
        <w:rPr>
          <w:sz w:val="18"/>
          <w:szCs w:val="18"/>
          <w:lang w:val="fr-FR"/>
        </w:rPr>
        <w:t xml:space="preserve"> </w:t>
      </w:r>
      <w:r w:rsidRPr="00446B1C">
        <w:rPr>
          <w:sz w:val="18"/>
          <w:szCs w:val="18"/>
          <w:lang w:val="fr-FR"/>
        </w:rPr>
        <w:t>2</w:t>
      </w:r>
      <w:r w:rsidR="00EC442C">
        <w:rPr>
          <w:sz w:val="18"/>
          <w:szCs w:val="18"/>
          <w:lang w:val="fr-FR"/>
        </w:rPr>
        <w:t xml:space="preserve"> </w:t>
      </w:r>
      <w:r w:rsidRPr="00446B1C">
        <w:rPr>
          <w:sz w:val="18"/>
          <w:szCs w:val="18"/>
          <w:lang w:val="fr-FR"/>
        </w:rPr>
        <w:t>essieux</w:t>
      </w:r>
      <w:r w:rsidR="00EC442C">
        <w:rPr>
          <w:sz w:val="18"/>
          <w:szCs w:val="18"/>
          <w:lang w:val="fr-FR"/>
        </w:rPr>
        <w:t xml:space="preserve"> </w:t>
      </w:r>
      <w:r w:rsidRPr="00446B1C">
        <w:rPr>
          <w:sz w:val="18"/>
          <w:szCs w:val="18"/>
          <w:lang w:val="fr-FR"/>
        </w:rPr>
        <w:t>directeurs</w:t>
      </w:r>
      <w:r w:rsidR="00EC442C">
        <w:rPr>
          <w:sz w:val="18"/>
          <w:szCs w:val="18"/>
          <w:lang w:val="fr-FR"/>
        </w:rPr>
        <w:t xml:space="preserve"> </w:t>
      </w:r>
      <w:r w:rsidRPr="00446B1C">
        <w:rPr>
          <w:sz w:val="18"/>
          <w:szCs w:val="18"/>
          <w:lang w:val="fr-FR"/>
        </w:rPr>
        <w:t>ou</w:t>
      </w:r>
      <w:r w:rsidR="00EC442C">
        <w:rPr>
          <w:sz w:val="18"/>
          <w:szCs w:val="18"/>
          <w:lang w:val="fr-FR"/>
        </w:rPr>
        <w:t xml:space="preserve"> </w:t>
      </w:r>
      <w:r w:rsidRPr="00446B1C">
        <w:rPr>
          <w:sz w:val="18"/>
          <w:szCs w:val="18"/>
          <w:lang w:val="fr-FR"/>
        </w:rPr>
        <w:t>plus,</w:t>
      </w:r>
      <w:r w:rsidR="00EC442C">
        <w:rPr>
          <w:sz w:val="18"/>
          <w:szCs w:val="18"/>
          <w:lang w:val="fr-FR"/>
        </w:rPr>
        <w:t xml:space="preserve"> </w:t>
      </w:r>
      <w:r w:rsidRPr="00446B1C">
        <w:rPr>
          <w:sz w:val="18"/>
          <w:szCs w:val="18"/>
          <w:lang w:val="fr-FR"/>
        </w:rPr>
        <w:t>hormis</w:t>
      </w:r>
      <w:r w:rsidR="00EC442C">
        <w:rPr>
          <w:sz w:val="18"/>
          <w:szCs w:val="18"/>
          <w:lang w:val="fr-FR"/>
        </w:rPr>
        <w:t xml:space="preserve"> </w:t>
      </w:r>
      <w:r w:rsidRPr="00446B1C">
        <w:rPr>
          <w:sz w:val="18"/>
          <w:szCs w:val="18"/>
          <w:lang w:val="fr-FR"/>
        </w:rPr>
        <w:t>ceux</w:t>
      </w:r>
      <w:r w:rsidR="00EC442C">
        <w:rPr>
          <w:sz w:val="18"/>
          <w:szCs w:val="18"/>
          <w:lang w:val="fr-FR"/>
        </w:rPr>
        <w:t xml:space="preserve"> </w:t>
      </w:r>
      <w:r w:rsidRPr="00446B1C">
        <w:rPr>
          <w:sz w:val="18"/>
          <w:szCs w:val="18"/>
          <w:lang w:val="fr-FR"/>
        </w:rPr>
        <w:t>dotés</w:t>
      </w:r>
      <w:r w:rsidR="00EC442C">
        <w:rPr>
          <w:sz w:val="18"/>
          <w:szCs w:val="18"/>
          <w:lang w:val="fr-FR"/>
        </w:rPr>
        <w:t xml:space="preserve"> </w:t>
      </w:r>
      <w:r w:rsidRPr="00446B1C">
        <w:rPr>
          <w:sz w:val="18"/>
          <w:szCs w:val="18"/>
          <w:lang w:val="fr-FR"/>
        </w:rPr>
        <w:t>d’un</w:t>
      </w:r>
      <w:r w:rsidR="00EC442C">
        <w:rPr>
          <w:sz w:val="18"/>
          <w:szCs w:val="18"/>
          <w:lang w:val="fr-FR"/>
        </w:rPr>
        <w:t xml:space="preserve"> </w:t>
      </w:r>
      <w:r w:rsidRPr="00446B1C">
        <w:rPr>
          <w:sz w:val="18"/>
          <w:szCs w:val="18"/>
          <w:lang w:val="fr-FR"/>
        </w:rPr>
        <w:t>équipement</w:t>
      </w:r>
      <w:r w:rsidR="00EC442C">
        <w:rPr>
          <w:sz w:val="18"/>
          <w:szCs w:val="18"/>
          <w:lang w:val="fr-FR"/>
        </w:rPr>
        <w:t xml:space="preserve"> </w:t>
      </w:r>
      <w:r w:rsidRPr="00446B1C">
        <w:rPr>
          <w:sz w:val="18"/>
          <w:szCs w:val="18"/>
          <w:lang w:val="fr-FR"/>
        </w:rPr>
        <w:t>d’autodirection.</w:t>
      </w:r>
    </w:p>
    <w:p w:rsidR="00D643A6" w:rsidRPr="00446B1C" w:rsidRDefault="00D643A6" w:rsidP="005138E1">
      <w:pPr>
        <w:pStyle w:val="SingleTxtG"/>
        <w:spacing w:after="240" w:line="200" w:lineRule="atLeast"/>
        <w:ind w:firstLine="170"/>
        <w:jc w:val="left"/>
        <w:rPr>
          <w:sz w:val="18"/>
          <w:szCs w:val="18"/>
          <w:lang w:val="fr-FR"/>
        </w:rPr>
      </w:pPr>
      <w:r w:rsidRPr="005138E1">
        <w:rPr>
          <w:bCs/>
          <w:sz w:val="18"/>
          <w:szCs w:val="18"/>
          <w:lang w:val="fr-FR"/>
        </w:rPr>
        <w:t>**</w:t>
      </w:r>
      <w:r w:rsidR="00EC442C">
        <w:rPr>
          <w:bCs/>
          <w:sz w:val="18"/>
          <w:szCs w:val="18"/>
          <w:lang w:val="fr-FR"/>
        </w:rPr>
        <w:t xml:space="preserve"> </w:t>
      </w:r>
      <w:r w:rsidR="00EC442C">
        <w:rPr>
          <w:sz w:val="18"/>
          <w:szCs w:val="18"/>
          <w:lang w:val="fr-FR"/>
        </w:rPr>
        <w:t xml:space="preserve"> </w:t>
      </w:r>
      <w:r w:rsidRPr="00446B1C">
        <w:rPr>
          <w:sz w:val="18"/>
          <w:szCs w:val="18"/>
          <w:lang w:val="fr-FR"/>
        </w:rPr>
        <w:t>Ou</w:t>
      </w:r>
      <w:r w:rsidR="00EC442C">
        <w:rPr>
          <w:sz w:val="18"/>
          <w:szCs w:val="18"/>
          <w:lang w:val="fr-FR"/>
        </w:rPr>
        <w:t xml:space="preserve"> </w:t>
      </w:r>
      <w:r w:rsidRPr="00446B1C">
        <w:rPr>
          <w:sz w:val="18"/>
          <w:szCs w:val="18"/>
          <w:lang w:val="fr-FR"/>
        </w:rPr>
        <w:t>braquage</w:t>
      </w:r>
      <w:r w:rsidR="00EC442C">
        <w:rPr>
          <w:sz w:val="18"/>
          <w:szCs w:val="18"/>
          <w:lang w:val="fr-FR"/>
        </w:rPr>
        <w:t xml:space="preserve"> </w:t>
      </w:r>
      <w:r w:rsidRPr="00446B1C">
        <w:rPr>
          <w:sz w:val="18"/>
          <w:szCs w:val="18"/>
          <w:lang w:val="fr-FR"/>
        </w:rPr>
        <w:t>en</w:t>
      </w:r>
      <w:r w:rsidR="00EC442C">
        <w:rPr>
          <w:sz w:val="18"/>
          <w:szCs w:val="18"/>
          <w:lang w:val="fr-FR"/>
        </w:rPr>
        <w:t xml:space="preserve"> </w:t>
      </w:r>
      <w:r w:rsidRPr="00446B1C">
        <w:rPr>
          <w:sz w:val="18"/>
          <w:szCs w:val="18"/>
          <w:lang w:val="fr-FR"/>
        </w:rPr>
        <w:t>butée</w:t>
      </w:r>
      <w:r w:rsidR="00EC442C">
        <w:rPr>
          <w:sz w:val="18"/>
          <w:szCs w:val="18"/>
          <w:lang w:val="fr-FR"/>
        </w:rPr>
        <w:t xml:space="preserve"> </w:t>
      </w:r>
      <w:r w:rsidRPr="00446B1C">
        <w:rPr>
          <w:sz w:val="18"/>
          <w:szCs w:val="18"/>
          <w:lang w:val="fr-FR"/>
        </w:rPr>
        <w:t>si</w:t>
      </w:r>
      <w:r w:rsidR="00EC442C">
        <w:rPr>
          <w:sz w:val="18"/>
          <w:szCs w:val="18"/>
          <w:lang w:val="fr-FR"/>
        </w:rPr>
        <w:t xml:space="preserve"> </w:t>
      </w:r>
      <w:r w:rsidRPr="00446B1C">
        <w:rPr>
          <w:sz w:val="18"/>
          <w:szCs w:val="18"/>
          <w:lang w:val="fr-FR"/>
        </w:rPr>
        <w:t>cette</w:t>
      </w:r>
      <w:r w:rsidR="00EC442C">
        <w:rPr>
          <w:sz w:val="18"/>
          <w:szCs w:val="18"/>
          <w:lang w:val="fr-FR"/>
        </w:rPr>
        <w:t xml:space="preserve"> </w:t>
      </w:r>
      <w:r w:rsidRPr="00446B1C">
        <w:rPr>
          <w:sz w:val="18"/>
          <w:szCs w:val="18"/>
          <w:lang w:val="fr-FR"/>
        </w:rPr>
        <w:t>valeur</w:t>
      </w:r>
      <w:r w:rsidR="00EC442C">
        <w:rPr>
          <w:sz w:val="18"/>
          <w:szCs w:val="18"/>
          <w:lang w:val="fr-FR"/>
        </w:rPr>
        <w:t xml:space="preserve"> </w:t>
      </w:r>
      <w:r w:rsidRPr="00446B1C">
        <w:rPr>
          <w:sz w:val="18"/>
          <w:szCs w:val="18"/>
          <w:lang w:val="fr-FR"/>
        </w:rPr>
        <w:t>ne</w:t>
      </w:r>
      <w:r w:rsidR="00EC442C">
        <w:rPr>
          <w:sz w:val="18"/>
          <w:szCs w:val="18"/>
          <w:lang w:val="fr-FR"/>
        </w:rPr>
        <w:t xml:space="preserve"> </w:t>
      </w:r>
      <w:r w:rsidRPr="00446B1C">
        <w:rPr>
          <w:sz w:val="18"/>
          <w:szCs w:val="18"/>
          <w:lang w:val="fr-FR"/>
        </w:rPr>
        <w:t>peut</w:t>
      </w:r>
      <w:r w:rsidR="00EC442C">
        <w:rPr>
          <w:sz w:val="18"/>
          <w:szCs w:val="18"/>
          <w:lang w:val="fr-FR"/>
        </w:rPr>
        <w:t xml:space="preserve"> </w:t>
      </w:r>
      <w:r w:rsidRPr="00446B1C">
        <w:rPr>
          <w:sz w:val="18"/>
          <w:szCs w:val="18"/>
          <w:lang w:val="fr-FR"/>
        </w:rPr>
        <w:t>être</w:t>
      </w:r>
      <w:r w:rsidR="00EC442C">
        <w:rPr>
          <w:sz w:val="18"/>
          <w:szCs w:val="18"/>
          <w:lang w:val="fr-FR"/>
        </w:rPr>
        <w:t xml:space="preserve"> </w:t>
      </w:r>
      <w:r w:rsidRPr="00446B1C">
        <w:rPr>
          <w:sz w:val="18"/>
          <w:szCs w:val="18"/>
          <w:lang w:val="fr-FR"/>
        </w:rPr>
        <w:t>atteinte.</w:t>
      </w:r>
    </w:p>
    <w:p w:rsidR="00D643A6" w:rsidRPr="00DE4822" w:rsidRDefault="00D643A6" w:rsidP="00E32E15">
      <w:pPr>
        <w:pStyle w:val="SingleTxtG"/>
        <w:ind w:left="2268" w:hanging="1134"/>
        <w:rPr>
          <w:u w:val="single"/>
          <w:lang w:val="fr-FR"/>
        </w:rPr>
      </w:pPr>
      <w:r w:rsidRPr="00DE4822">
        <w:rPr>
          <w:lang w:val="fr-FR"/>
        </w:rPr>
        <w:t>6.3</w:t>
      </w:r>
      <w:r w:rsidRPr="00DE4822">
        <w:rPr>
          <w:lang w:val="fr-FR"/>
        </w:rPr>
        <w:tab/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concernant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remorques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6.3.1</w:t>
      </w:r>
      <w:r w:rsidRPr="00DE4822">
        <w:rPr>
          <w:lang w:val="fr-FR"/>
        </w:rPr>
        <w:tab/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rouler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écarts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excessifs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vibrations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anormales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lorsque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ligne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droite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plane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horizontale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80</w:t>
      </w:r>
      <w:r w:rsidR="00EB0752">
        <w:rPr>
          <w:lang w:val="fr-FR"/>
        </w:rPr>
        <w:t> </w:t>
      </w:r>
      <w:r w:rsidRPr="00DE4822">
        <w:rPr>
          <w:lang w:val="fr-FR"/>
        </w:rPr>
        <w:t>km/h,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maximale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techniquement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admissible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indiquée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constructeur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moins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80</w:t>
      </w:r>
      <w:r w:rsidR="00EB0752">
        <w:rPr>
          <w:lang w:val="fr-FR"/>
        </w:rPr>
        <w:t> </w:t>
      </w:r>
      <w:r w:rsidRPr="00DE4822">
        <w:rPr>
          <w:lang w:val="fr-FR"/>
        </w:rPr>
        <w:t>km/h.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6.3.2</w:t>
      </w:r>
      <w:r w:rsidRPr="00DE4822">
        <w:rPr>
          <w:lang w:val="fr-FR"/>
        </w:rPr>
        <w:tab/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ayant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adopté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mouvement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giratoire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continu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façon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bord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extérieur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tourne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long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circonférence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rayon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25</w:t>
      </w:r>
      <w:r w:rsidR="00EB0752">
        <w:rPr>
          <w:lang w:val="fr-FR"/>
        </w:rPr>
        <w:t> </w:t>
      </w:r>
      <w:r w:rsidRPr="00DE4822">
        <w:rPr>
          <w:lang w:val="fr-FR"/>
        </w:rPr>
        <w:t>m,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conformément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2.4.6,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constante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</w:t>
      </w:r>
      <w:r w:rsidR="00EB0752">
        <w:rPr>
          <w:lang w:val="fr-FR"/>
        </w:rPr>
        <w:t> </w:t>
      </w:r>
      <w:r w:rsidRPr="00DE4822">
        <w:rPr>
          <w:lang w:val="fr-FR"/>
        </w:rPr>
        <w:t>km/h,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mesure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circonférence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décrite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bord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arrière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extérieur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Cette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manœuvre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répétée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mêmes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conditions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25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km/h</w:t>
      </w:r>
      <w:r w:rsidR="00EC442C">
        <w:rPr>
          <w:lang w:val="fr-FR"/>
        </w:rPr>
        <w:t xml:space="preserve"> </w:t>
      </w:r>
      <w:r w:rsidR="00EB0752" w:rsidRPr="00EB0752">
        <w:rPr>
          <w:lang w:val="fr-FR"/>
        </w:rPr>
        <w:sym w:font="Symbol" w:char="F0B1"/>
      </w:r>
      <w:r w:rsidRPr="00DE4822">
        <w:rPr>
          <w:lang w:val="fr-FR"/>
        </w:rPr>
        <w:t>1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km/h.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Durant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manœuvres,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bord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arrière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extérieur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déplaçant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25</w:t>
      </w:r>
      <w:r w:rsidR="00EB0752">
        <w:rPr>
          <w:lang w:val="fr-FR"/>
        </w:rPr>
        <w:t> </w:t>
      </w:r>
      <w:r w:rsidRPr="00DE4822">
        <w:rPr>
          <w:lang w:val="fr-FR"/>
        </w:rPr>
        <w:t>km/h</w:t>
      </w:r>
      <w:r w:rsidR="00EB0752">
        <w:rPr>
          <w:lang w:val="fr-FR"/>
        </w:rPr>
        <w:t> </w:t>
      </w:r>
      <w:r w:rsidR="00EB0752" w:rsidRPr="00EB0752">
        <w:rPr>
          <w:lang w:val="fr-FR"/>
        </w:rPr>
        <w:sym w:font="Symbol" w:char="F0B1"/>
      </w:r>
      <w:r w:rsidRPr="00DE4822">
        <w:rPr>
          <w:lang w:val="fr-FR"/>
        </w:rPr>
        <w:t>1</w:t>
      </w:r>
      <w:r w:rsidR="00EB0752">
        <w:rPr>
          <w:lang w:val="fr-FR"/>
        </w:rPr>
        <w:t> </w:t>
      </w:r>
      <w:r w:rsidRPr="00DE4822">
        <w:rPr>
          <w:lang w:val="fr-FR"/>
        </w:rPr>
        <w:t>km/h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s’écarter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0,7</w:t>
      </w:r>
      <w:r w:rsidR="00EB0752">
        <w:rPr>
          <w:lang w:val="fr-FR"/>
        </w:rPr>
        <w:t> </w:t>
      </w:r>
      <w:r w:rsidRPr="00DE4822">
        <w:rPr>
          <w:lang w:val="fr-FR"/>
        </w:rPr>
        <w:t>m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circonférence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décrite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manœuvre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constante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</w:t>
      </w:r>
      <w:r w:rsidR="00EB0752">
        <w:rPr>
          <w:lang w:val="fr-FR"/>
        </w:rPr>
        <w:t> </w:t>
      </w:r>
      <w:r w:rsidRPr="00DE4822">
        <w:rPr>
          <w:lang w:val="fr-FR"/>
        </w:rPr>
        <w:t>km/h.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6.3.3</w:t>
      </w:r>
      <w:r w:rsidRPr="00DE4822">
        <w:rPr>
          <w:lang w:val="fr-FR"/>
        </w:rPr>
        <w:tab/>
        <w:t>Aucun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point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déborder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0,5</w:t>
      </w:r>
      <w:r w:rsidR="00EB0752">
        <w:rPr>
          <w:lang w:val="fr-FR"/>
        </w:rPr>
        <w:t> </w:t>
      </w:r>
      <w:r w:rsidRPr="00DE4822">
        <w:rPr>
          <w:lang w:val="fr-FR"/>
        </w:rPr>
        <w:t>m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tangente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cercle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25</w:t>
      </w:r>
      <w:r w:rsidR="00EB0752">
        <w:rPr>
          <w:lang w:val="fr-FR"/>
        </w:rPr>
        <w:t> </w:t>
      </w:r>
      <w:r w:rsidRPr="00DE4822">
        <w:rPr>
          <w:lang w:val="fr-FR"/>
        </w:rPr>
        <w:t>m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rayon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lorsque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quitte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trajectoire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circulaire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définie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6.3.2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selon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tangente,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25</w:t>
      </w:r>
      <w:r w:rsidR="00EB0752">
        <w:rPr>
          <w:lang w:val="fr-FR"/>
        </w:rPr>
        <w:t> </w:t>
      </w:r>
      <w:r w:rsidRPr="00DE4822">
        <w:rPr>
          <w:lang w:val="fr-FR"/>
        </w:rPr>
        <w:t>km/h.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Cette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condition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respectée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depuis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point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où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tangente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touche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cercle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jusqu’à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point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situé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40</w:t>
      </w:r>
      <w:r w:rsidR="00EB0752">
        <w:rPr>
          <w:lang w:val="fr-FR"/>
        </w:rPr>
        <w:t> </w:t>
      </w:r>
      <w:r w:rsidRPr="00DE4822">
        <w:rPr>
          <w:lang w:val="fr-FR"/>
        </w:rPr>
        <w:t>m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loin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tangente.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B0752">
        <w:rPr>
          <w:lang w:val="fr-FR"/>
        </w:rPr>
        <w:t> </w:t>
      </w:r>
      <w:r w:rsidRPr="00DE4822">
        <w:rPr>
          <w:lang w:val="fr-FR"/>
        </w:rPr>
        <w:t>partir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point,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satisfaire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conditions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énoncées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6.3.1.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6.3.4</w:t>
      </w:r>
      <w:r w:rsidRPr="00DE4822">
        <w:rPr>
          <w:lang w:val="fr-FR"/>
        </w:rPr>
        <w:tab/>
        <w:t>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mesure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l’espace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annulaire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balayé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combinaison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tracteur/remorque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munie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intact,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roulant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maximale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</w:t>
      </w:r>
      <w:r w:rsidR="00EB0752">
        <w:rPr>
          <w:lang w:val="fr-FR"/>
        </w:rPr>
        <w:t> </w:t>
      </w:r>
      <w:r w:rsidRPr="00DE4822">
        <w:rPr>
          <w:lang w:val="fr-FR"/>
        </w:rPr>
        <w:t>km/h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long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circonférence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rayon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constant,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bord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extérieur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décrivant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rayon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0,67</w:t>
      </w:r>
      <w:r w:rsidR="00EB0752">
        <w:rPr>
          <w:lang w:val="fr-FR"/>
        </w:rPr>
        <w:t> </w:t>
      </w:r>
      <w:r w:rsidRPr="00DE4822">
        <w:rPr>
          <w:lang w:val="fr-FR"/>
        </w:rPr>
        <w:t>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longueur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combinaison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moins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12,5</w:t>
      </w:r>
      <w:r w:rsidR="00EB0752">
        <w:rPr>
          <w:lang w:val="fr-FR"/>
        </w:rPr>
        <w:t> </w:t>
      </w:r>
      <w:r w:rsidRPr="00DE4822">
        <w:rPr>
          <w:lang w:val="fr-FR"/>
        </w:rPr>
        <w:t>m.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6.3.4.1</w:t>
      </w:r>
      <w:r w:rsidRPr="00DE4822">
        <w:rPr>
          <w:lang w:val="fr-FR"/>
        </w:rPr>
        <w:tab/>
        <w:t>Si,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l’espace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annulaire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mesuré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largeur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supérieure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8,3</w:t>
      </w:r>
      <w:r w:rsidR="00EB0752">
        <w:rPr>
          <w:lang w:val="fr-FR"/>
        </w:rPr>
        <w:t> </w:t>
      </w:r>
      <w:r w:rsidRPr="00DE4822">
        <w:rPr>
          <w:lang w:val="fr-FR"/>
        </w:rPr>
        <w:t>m,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celle</w:t>
      </w:r>
      <w:r w:rsidR="004D15A8">
        <w:rPr>
          <w:lang w:val="fr-FR"/>
        </w:rPr>
        <w:t>-</w:t>
      </w:r>
      <w:r w:rsidRPr="00DE4822">
        <w:rPr>
          <w:lang w:val="fr-FR"/>
        </w:rPr>
        <w:t>ci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représenter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augmentation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15</w:t>
      </w:r>
      <w:r w:rsidR="00EB0752">
        <w:rPr>
          <w:lang w:val="fr-FR"/>
        </w:rPr>
        <w:t> </w:t>
      </w:r>
      <w:r w:rsidRPr="00DE4822">
        <w:rPr>
          <w:lang w:val="fr-FR"/>
        </w:rPr>
        <w:t>%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rapport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valeur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correspondante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mesurée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avec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intact.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y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avoir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d’augmentation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rayon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externe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l’espace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annulaire.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6.3.5</w:t>
      </w:r>
      <w:r w:rsidRPr="00DE4822">
        <w:rPr>
          <w:lang w:val="fr-FR"/>
        </w:rPr>
        <w:tab/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essais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décrits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6.3.2,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6.3.3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6.3.4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exécutés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braquage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droite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braquage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gauche.</w:t>
      </w:r>
    </w:p>
    <w:p w:rsidR="00D643A6" w:rsidRPr="00DE4822" w:rsidRDefault="00D643A6" w:rsidP="00C20735">
      <w:pPr>
        <w:pStyle w:val="HChG"/>
        <w:ind w:left="2268"/>
        <w:rPr>
          <w:lang w:val="fr-FR"/>
        </w:rPr>
      </w:pPr>
      <w:r w:rsidRPr="00DE4822">
        <w:rPr>
          <w:lang w:val="fr-FR"/>
        </w:rPr>
        <w:lastRenderedPageBreak/>
        <w:t>7.</w:t>
      </w:r>
      <w:r w:rsidRPr="00DE4822">
        <w:rPr>
          <w:lang w:val="fr-FR"/>
        </w:rPr>
        <w:tab/>
        <w:t>Conformité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production</w:t>
      </w:r>
    </w:p>
    <w:p w:rsidR="00D643A6" w:rsidRPr="00DE4822" w:rsidRDefault="00D643A6" w:rsidP="00EB0752">
      <w:pPr>
        <w:pStyle w:val="SingleTxtG"/>
        <w:keepNext/>
        <w:ind w:left="2268"/>
        <w:rPr>
          <w:lang w:val="fr-FR"/>
        </w:rPr>
      </w:pP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procédures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relatives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conformité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production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satisfaire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énoncées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l’annexe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1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l’Accord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1958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(E/ECE/TRANS/505/Rev.3),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suit</w:t>
      </w:r>
      <w:r w:rsidR="00EC442C">
        <w:rPr>
          <w:lang w:val="fr-FR"/>
        </w:rPr>
        <w:t> :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7.1</w:t>
      </w:r>
      <w:r w:rsidRPr="00DE4822">
        <w:rPr>
          <w:lang w:val="fr-FR"/>
        </w:rPr>
        <w:tab/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détenteur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veiller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résultats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essais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contrôle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conformité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production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soient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enregistrés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documents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annexés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restent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disponibles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période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fixée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accord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avec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l’autorité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chargée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service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technique.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Cette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période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excéder</w:t>
      </w:r>
      <w:r w:rsidR="00EC442C">
        <w:rPr>
          <w:lang w:val="fr-FR"/>
        </w:rPr>
        <w:t xml:space="preserve"> </w:t>
      </w:r>
      <w:r w:rsidR="00EB0752">
        <w:rPr>
          <w:lang w:val="fr-FR"/>
        </w:rPr>
        <w:t>10 </w:t>
      </w:r>
      <w:r w:rsidRPr="00DE4822">
        <w:rPr>
          <w:lang w:val="fr-FR"/>
        </w:rPr>
        <w:t>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laquelle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définitivement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fin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production</w:t>
      </w:r>
      <w:r w:rsidR="00EC442C">
        <w:rPr>
          <w:lang w:val="fr-FR"/>
        </w:rPr>
        <w:t> ;</w:t>
      </w:r>
    </w:p>
    <w:p w:rsidR="00D643A6" w:rsidRPr="00DE4822" w:rsidRDefault="00D643A6" w:rsidP="00E32E15">
      <w:pPr>
        <w:pStyle w:val="SingleTxtG"/>
        <w:ind w:left="2268" w:hanging="1134"/>
      </w:pPr>
      <w:r w:rsidRPr="00DE4822">
        <w:t>7.2</w:t>
      </w:r>
      <w:r w:rsidRPr="00DE4822">
        <w:tab/>
        <w:t>L’autorité</w:t>
      </w:r>
      <w:r w:rsidR="00EC442C">
        <w:t xml:space="preserve"> </w:t>
      </w:r>
      <w:r w:rsidRPr="00DE4822">
        <w:t>compétente</w:t>
      </w:r>
      <w:r w:rsidR="00EC442C">
        <w:t xml:space="preserve"> </w:t>
      </w:r>
      <w:r w:rsidRPr="00DE4822">
        <w:t>ou</w:t>
      </w:r>
      <w:r w:rsidR="00EC442C">
        <w:t xml:space="preserve"> </w:t>
      </w:r>
      <w:r w:rsidRPr="00DE4822">
        <w:rPr>
          <w:lang w:val="fr-FR"/>
        </w:rPr>
        <w:t>le</w:t>
      </w:r>
      <w:r w:rsidR="00EC442C">
        <w:t xml:space="preserve"> </w:t>
      </w:r>
      <w:r w:rsidRPr="00DE4822">
        <w:t>service</w:t>
      </w:r>
      <w:r w:rsidR="00EC442C">
        <w:t xml:space="preserve"> </w:t>
      </w:r>
      <w:r w:rsidRPr="00DE4822">
        <w:t>technique</w:t>
      </w:r>
      <w:r w:rsidR="00EC442C">
        <w:t xml:space="preserve"> </w:t>
      </w:r>
      <w:r w:rsidRPr="00DE4822">
        <w:t>ayant</w:t>
      </w:r>
      <w:r w:rsidR="00EC442C">
        <w:t xml:space="preserve"> </w:t>
      </w:r>
      <w:r w:rsidRPr="00DE4822">
        <w:t>délivré</w:t>
      </w:r>
      <w:r w:rsidR="00EC442C">
        <w:t xml:space="preserve"> </w:t>
      </w:r>
      <w:r w:rsidRPr="00DE4822">
        <w:t>l’homologation</w:t>
      </w:r>
      <w:r w:rsidR="00EC442C">
        <w:t xml:space="preserve"> </w:t>
      </w:r>
      <w:r w:rsidRPr="00DE4822">
        <w:t>de</w:t>
      </w:r>
      <w:r w:rsidR="00EC442C">
        <w:t xml:space="preserve"> </w:t>
      </w:r>
      <w:r w:rsidRPr="00DE4822">
        <w:t>type</w:t>
      </w:r>
      <w:r w:rsidR="00EC442C">
        <w:t xml:space="preserve"> </w:t>
      </w:r>
      <w:r w:rsidRPr="00DE4822">
        <w:t>peut</w:t>
      </w:r>
      <w:r w:rsidR="00EC442C">
        <w:t xml:space="preserve"> </w:t>
      </w:r>
      <w:r w:rsidRPr="00DE4822">
        <w:t>vérifier</w:t>
      </w:r>
      <w:r w:rsidR="00EC442C">
        <w:t xml:space="preserve"> </w:t>
      </w:r>
      <w:r w:rsidRPr="00DE4822">
        <w:t>à</w:t>
      </w:r>
      <w:r w:rsidR="00EC442C">
        <w:t xml:space="preserve"> </w:t>
      </w:r>
      <w:r w:rsidRPr="00DE4822">
        <w:t>tout</w:t>
      </w:r>
      <w:r w:rsidR="00EC442C">
        <w:t xml:space="preserve"> </w:t>
      </w:r>
      <w:r w:rsidRPr="00DE4822">
        <w:t>moment</w:t>
      </w:r>
      <w:r w:rsidR="00EC442C">
        <w:t xml:space="preserve"> </w:t>
      </w:r>
      <w:r w:rsidRPr="00DE4822">
        <w:t>les</w:t>
      </w:r>
      <w:r w:rsidR="00EC442C">
        <w:t xml:space="preserve"> </w:t>
      </w:r>
      <w:r w:rsidRPr="00DE4822">
        <w:t>méthodes</w:t>
      </w:r>
      <w:r w:rsidR="00EC442C">
        <w:t xml:space="preserve"> </w:t>
      </w:r>
      <w:r w:rsidRPr="00DE4822">
        <w:t>de</w:t>
      </w:r>
      <w:r w:rsidR="00EC442C">
        <w:t xml:space="preserve"> </w:t>
      </w:r>
      <w:r w:rsidRPr="00DE4822">
        <w:t>contrôle</w:t>
      </w:r>
      <w:r w:rsidR="00EC442C">
        <w:t xml:space="preserve"> </w:t>
      </w:r>
      <w:r w:rsidRPr="00DE4822">
        <w:t>de</w:t>
      </w:r>
      <w:r w:rsidR="00EC442C">
        <w:t xml:space="preserve"> </w:t>
      </w:r>
      <w:r w:rsidRPr="00DE4822">
        <w:t>conformité</w:t>
      </w:r>
      <w:r w:rsidR="00EC442C">
        <w:t xml:space="preserve"> </w:t>
      </w:r>
      <w:r w:rsidRPr="00DE4822">
        <w:t>appliquées</w:t>
      </w:r>
      <w:r w:rsidR="00EC442C">
        <w:t xml:space="preserve"> </w:t>
      </w:r>
      <w:r w:rsidRPr="00DE4822">
        <w:t>dans</w:t>
      </w:r>
      <w:r w:rsidR="00EC442C">
        <w:t xml:space="preserve"> </w:t>
      </w:r>
      <w:r w:rsidRPr="00DE4822">
        <w:t>chaque</w:t>
      </w:r>
      <w:r w:rsidR="00EC442C">
        <w:t xml:space="preserve"> </w:t>
      </w:r>
      <w:r w:rsidRPr="00DE4822">
        <w:t>unité</w:t>
      </w:r>
      <w:r w:rsidR="00EC442C">
        <w:t xml:space="preserve"> </w:t>
      </w:r>
      <w:r w:rsidRPr="00DE4822">
        <w:t>de</w:t>
      </w:r>
      <w:r w:rsidR="00EC442C">
        <w:t xml:space="preserve"> </w:t>
      </w:r>
      <w:r w:rsidRPr="00DE4822">
        <w:t>production.</w:t>
      </w:r>
      <w:r w:rsidR="00EC442C">
        <w:t xml:space="preserve"> </w:t>
      </w:r>
      <w:r w:rsidRPr="00DE4822">
        <w:t>La</w:t>
      </w:r>
      <w:r w:rsidR="00EC442C">
        <w:t xml:space="preserve"> </w:t>
      </w:r>
      <w:r w:rsidRPr="00DE4822">
        <w:t>fréquence</w:t>
      </w:r>
      <w:r w:rsidR="00EC442C">
        <w:t xml:space="preserve"> </w:t>
      </w:r>
      <w:r w:rsidRPr="00DE4822">
        <w:t>normale</w:t>
      </w:r>
      <w:r w:rsidR="00EC442C">
        <w:t xml:space="preserve"> </w:t>
      </w:r>
      <w:r w:rsidRPr="00DE4822">
        <w:t>de</w:t>
      </w:r>
      <w:r w:rsidR="00EC442C">
        <w:t xml:space="preserve"> </w:t>
      </w:r>
      <w:r w:rsidRPr="00DE4822">
        <w:t>ces</w:t>
      </w:r>
      <w:r w:rsidR="00EC442C">
        <w:t xml:space="preserve"> </w:t>
      </w:r>
      <w:r w:rsidRPr="00DE4822">
        <w:t>vérifications</w:t>
      </w:r>
      <w:r w:rsidR="00EC442C">
        <w:t xml:space="preserve"> </w:t>
      </w:r>
      <w:r w:rsidRPr="00DE4822">
        <w:t>est</w:t>
      </w:r>
      <w:r w:rsidR="00EC442C">
        <w:t xml:space="preserve"> </w:t>
      </w:r>
      <w:r w:rsidRPr="00DE4822">
        <w:t>d’une</w:t>
      </w:r>
      <w:r w:rsidR="00EC442C">
        <w:t xml:space="preserve"> </w:t>
      </w:r>
      <w:r w:rsidRPr="00DE4822">
        <w:t>tous</w:t>
      </w:r>
      <w:r w:rsidR="00EC442C">
        <w:t xml:space="preserve"> </w:t>
      </w:r>
      <w:r w:rsidRPr="00DE4822">
        <w:t>les</w:t>
      </w:r>
      <w:r w:rsidR="00EC442C">
        <w:t xml:space="preserve"> </w:t>
      </w:r>
      <w:r w:rsidRPr="00DE4822">
        <w:t>deux</w:t>
      </w:r>
      <w:r w:rsidR="00EC442C">
        <w:t xml:space="preserve"> </w:t>
      </w:r>
      <w:r w:rsidRPr="00DE4822">
        <w:t>ans.</w:t>
      </w:r>
    </w:p>
    <w:p w:rsidR="00D643A6" w:rsidRPr="00DE4822" w:rsidRDefault="00D643A6" w:rsidP="00C20735">
      <w:pPr>
        <w:pStyle w:val="HChG"/>
        <w:ind w:left="2268"/>
        <w:rPr>
          <w:lang w:val="fr-FR"/>
        </w:rPr>
      </w:pPr>
      <w:r w:rsidRPr="00DE4822">
        <w:rPr>
          <w:lang w:val="fr-FR"/>
        </w:rPr>
        <w:t>8.</w:t>
      </w:r>
      <w:r w:rsidRPr="00DE4822">
        <w:rPr>
          <w:lang w:val="fr-FR"/>
        </w:rPr>
        <w:tab/>
        <w:t>Sanctions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non</w:t>
      </w:r>
      <w:r w:rsidR="00EB0752">
        <w:rPr>
          <w:lang w:val="fr-FR"/>
        </w:rPr>
        <w:t>-</w:t>
      </w:r>
      <w:r w:rsidRPr="00DE4822">
        <w:rPr>
          <w:lang w:val="fr-FR"/>
        </w:rPr>
        <w:t>conformité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production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8.1</w:t>
      </w:r>
      <w:r w:rsidRPr="00DE4822">
        <w:rPr>
          <w:lang w:val="fr-FR"/>
        </w:rPr>
        <w:tab/>
        <w:t>L’homologation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délivrée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type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application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retirée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énoncées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7.1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ci</w:t>
      </w:r>
      <w:r w:rsidR="00EB0752">
        <w:rPr>
          <w:lang w:val="fr-FR"/>
        </w:rPr>
        <w:noBreakHyphen/>
      </w:r>
      <w:r w:rsidRPr="00DE4822">
        <w:rPr>
          <w:lang w:val="fr-FR"/>
        </w:rPr>
        <w:t>dessus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respectées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prélevés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n’ont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satisfait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6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8.2</w:t>
      </w:r>
      <w:r w:rsidRPr="00DE4822">
        <w:rPr>
          <w:lang w:val="fr-FR"/>
        </w:rPr>
        <w:tab/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où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contractante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l’Accord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appliquant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retirerait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qu’elle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précédemment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accordée,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informerait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aussitôt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autres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l’Accord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appliquant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moyen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fiche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communication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conforme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modèle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l’annexe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1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Règlement.</w:t>
      </w:r>
    </w:p>
    <w:p w:rsidR="00D643A6" w:rsidRPr="00DE4822" w:rsidRDefault="00D643A6" w:rsidP="00C20735">
      <w:pPr>
        <w:pStyle w:val="HChG"/>
        <w:ind w:left="2268"/>
        <w:rPr>
          <w:lang w:val="fr-FR"/>
        </w:rPr>
      </w:pPr>
      <w:r w:rsidRPr="00DE4822">
        <w:rPr>
          <w:lang w:val="fr-FR"/>
        </w:rPr>
        <w:t>9.</w:t>
      </w:r>
      <w:r w:rsidRPr="00DE4822">
        <w:rPr>
          <w:lang w:val="fr-FR"/>
        </w:rPr>
        <w:tab/>
        <w:t>Modification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extension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type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9.1</w:t>
      </w:r>
      <w:r w:rsidRPr="00DE4822">
        <w:rPr>
          <w:lang w:val="fr-FR"/>
        </w:rPr>
        <w:tab/>
        <w:t>Toute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modification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type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notifiée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l’autorité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accordé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type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Cette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autorité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alors</w:t>
      </w:r>
      <w:r w:rsidR="00EC442C">
        <w:rPr>
          <w:lang w:val="fr-FR"/>
        </w:rPr>
        <w:t> :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9.1.1</w:t>
      </w:r>
      <w:r w:rsidRPr="00DE4822">
        <w:rPr>
          <w:lang w:val="fr-FR"/>
        </w:rPr>
        <w:tab/>
      </w:r>
      <w:r w:rsidR="00F52084" w:rsidRPr="00DE4822">
        <w:rPr>
          <w:lang w:val="fr-FR"/>
        </w:rPr>
        <w:t>Soit</w:t>
      </w:r>
      <w:r w:rsidR="00F52084">
        <w:rPr>
          <w:lang w:val="fr-FR"/>
        </w:rPr>
        <w:t xml:space="preserve"> </w:t>
      </w:r>
      <w:r w:rsidRPr="00DE4822">
        <w:rPr>
          <w:lang w:val="fr-FR"/>
        </w:rPr>
        <w:t>considérer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modifications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apportées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risquent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d’avoir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effet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défavorable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notable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qu’en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satisfait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encore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> ;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9.1.2</w:t>
      </w:r>
      <w:r w:rsidRPr="00DE4822">
        <w:rPr>
          <w:lang w:val="fr-FR"/>
        </w:rPr>
        <w:tab/>
      </w:r>
      <w:r w:rsidR="00F52084" w:rsidRPr="00DE4822">
        <w:rPr>
          <w:lang w:val="fr-FR"/>
        </w:rPr>
        <w:t>Soit</w:t>
      </w:r>
      <w:r w:rsidR="00F52084">
        <w:rPr>
          <w:lang w:val="fr-FR"/>
        </w:rPr>
        <w:t xml:space="preserve"> </w:t>
      </w:r>
      <w:r w:rsidRPr="00DE4822">
        <w:rPr>
          <w:lang w:val="fr-FR"/>
        </w:rPr>
        <w:t>exiger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nouveau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procès</w:t>
      </w:r>
      <w:r w:rsidR="004D15A8">
        <w:rPr>
          <w:lang w:val="fr-FR"/>
        </w:rPr>
        <w:t>-</w:t>
      </w:r>
      <w:r w:rsidRPr="00DE4822">
        <w:rPr>
          <w:lang w:val="fr-FR"/>
        </w:rPr>
        <w:t>verbal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service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technique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responsable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l’exécution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essais.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9.2</w:t>
      </w:r>
      <w:r w:rsidRPr="00DE4822">
        <w:rPr>
          <w:lang w:val="fr-FR"/>
        </w:rPr>
        <w:tab/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confirmation,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l’extension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refus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l’homologation,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avec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indication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modifications,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notifié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l’Accord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appliquant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selon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procédure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indiquée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4.3.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9.3</w:t>
      </w:r>
      <w:r w:rsidRPr="00DE4822">
        <w:rPr>
          <w:lang w:val="fr-FR"/>
        </w:rPr>
        <w:tab/>
        <w:t>L’autorité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compétente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ayant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délivré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l’extension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attribue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numéro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série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ladite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extension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informe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autres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l’Accord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1958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appliquant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moyen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fiche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communication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conforme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modèle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l’annexe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1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Règlement.</w:t>
      </w:r>
    </w:p>
    <w:p w:rsidR="00D643A6" w:rsidRPr="00DE4822" w:rsidRDefault="00D643A6" w:rsidP="00C20735">
      <w:pPr>
        <w:pStyle w:val="HChG"/>
        <w:ind w:left="2268"/>
        <w:rPr>
          <w:lang w:val="fr-FR"/>
        </w:rPr>
      </w:pPr>
      <w:r w:rsidRPr="00DE4822">
        <w:rPr>
          <w:lang w:val="fr-FR"/>
        </w:rPr>
        <w:t>10.</w:t>
      </w:r>
      <w:r w:rsidRPr="00DE4822">
        <w:rPr>
          <w:lang w:val="fr-FR"/>
        </w:rPr>
        <w:tab/>
        <w:t>Arrêt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définitif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production</w:t>
      </w:r>
    </w:p>
    <w:p w:rsidR="00D643A6" w:rsidRPr="00DE4822" w:rsidRDefault="00D643A6" w:rsidP="009B31CF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détenteur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arrête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définitivement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fabrication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type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homologué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conformément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informer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l’autorité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ayant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délivré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l’homologation,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laquelle,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tour,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notifiera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autres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l’Accord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1958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appliquant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lastRenderedPageBreak/>
        <w:t>Règlement,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moyen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fiche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communication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conforme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modèle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l’annexe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1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Règlement.</w:t>
      </w:r>
    </w:p>
    <w:p w:rsidR="00135D4B" w:rsidRDefault="00D643A6" w:rsidP="00135D4B">
      <w:pPr>
        <w:pStyle w:val="HChG"/>
        <w:ind w:left="2268"/>
        <w:rPr>
          <w:lang w:val="fr-FR"/>
        </w:rPr>
      </w:pPr>
      <w:r w:rsidRPr="00DE4822">
        <w:rPr>
          <w:lang w:val="fr-FR"/>
        </w:rPr>
        <w:t>11.</w:t>
      </w:r>
      <w:r w:rsidRPr="00DE4822">
        <w:rPr>
          <w:lang w:val="fr-FR"/>
        </w:rPr>
        <w:tab/>
        <w:t>Noms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adresses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services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techniques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chargés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essais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autorités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type</w:t>
      </w:r>
    </w:p>
    <w:p w:rsidR="00D643A6" w:rsidRPr="00DE4822" w:rsidRDefault="00D643A6" w:rsidP="00135D4B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l’Accord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1958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appliquant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communiquent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Secrétariat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l’Organisation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Nations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nom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l’adresse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services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techniques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chargés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essais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autorités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spacing w:val="-2"/>
          <w:lang w:val="fr-FR"/>
        </w:rPr>
        <w:t>délivrent</w:t>
      </w:r>
      <w:r w:rsidR="00EC442C">
        <w:rPr>
          <w:spacing w:val="-2"/>
          <w:lang w:val="fr-FR"/>
        </w:rPr>
        <w:t xml:space="preserve"> </w:t>
      </w:r>
      <w:r w:rsidRPr="00DE4822">
        <w:rPr>
          <w:spacing w:val="-2"/>
          <w:lang w:val="fr-FR"/>
        </w:rPr>
        <w:t>l’homologation</w:t>
      </w:r>
      <w:r w:rsidR="00EC442C">
        <w:rPr>
          <w:spacing w:val="-2"/>
          <w:lang w:val="fr-FR"/>
        </w:rPr>
        <w:t xml:space="preserve"> </w:t>
      </w:r>
      <w:r w:rsidRPr="00DE4822">
        <w:rPr>
          <w:spacing w:val="-2"/>
          <w:lang w:val="fr-FR"/>
        </w:rPr>
        <w:t>et</w:t>
      </w:r>
      <w:r w:rsidR="00EC442C">
        <w:rPr>
          <w:spacing w:val="-2"/>
          <w:lang w:val="fr-FR"/>
        </w:rPr>
        <w:t xml:space="preserve"> </w:t>
      </w:r>
      <w:r w:rsidRPr="00DE4822">
        <w:rPr>
          <w:spacing w:val="-2"/>
          <w:lang w:val="fr-FR"/>
        </w:rPr>
        <w:t>auxquelles</w:t>
      </w:r>
      <w:r w:rsidR="00EC442C">
        <w:rPr>
          <w:spacing w:val="-2"/>
          <w:lang w:val="fr-FR"/>
        </w:rPr>
        <w:t xml:space="preserve"> </w:t>
      </w:r>
      <w:r w:rsidRPr="00DE4822">
        <w:rPr>
          <w:spacing w:val="-2"/>
          <w:lang w:val="fr-FR"/>
        </w:rPr>
        <w:t>doivent</w:t>
      </w:r>
      <w:r w:rsidR="00EC442C">
        <w:rPr>
          <w:spacing w:val="-2"/>
          <w:lang w:val="fr-FR"/>
        </w:rPr>
        <w:t xml:space="preserve"> </w:t>
      </w:r>
      <w:r w:rsidRPr="00DE4822">
        <w:rPr>
          <w:spacing w:val="-2"/>
          <w:lang w:val="fr-FR"/>
        </w:rPr>
        <w:t>être</w:t>
      </w:r>
      <w:r w:rsidR="00EC442C">
        <w:rPr>
          <w:spacing w:val="-2"/>
          <w:lang w:val="fr-FR"/>
        </w:rPr>
        <w:t xml:space="preserve"> </w:t>
      </w:r>
      <w:r w:rsidRPr="00DE4822">
        <w:rPr>
          <w:spacing w:val="-2"/>
          <w:lang w:val="fr-FR"/>
        </w:rPr>
        <w:t>envoyées</w:t>
      </w:r>
      <w:r w:rsidR="00EC442C">
        <w:rPr>
          <w:spacing w:val="-2"/>
          <w:lang w:val="fr-FR"/>
        </w:rPr>
        <w:t xml:space="preserve"> </w:t>
      </w:r>
      <w:r w:rsidRPr="00DE4822">
        <w:rPr>
          <w:spacing w:val="-2"/>
          <w:lang w:val="fr-FR"/>
        </w:rPr>
        <w:t>les</w:t>
      </w:r>
      <w:r w:rsidR="00EC442C">
        <w:rPr>
          <w:spacing w:val="-2"/>
          <w:lang w:val="fr-FR"/>
        </w:rPr>
        <w:t xml:space="preserve"> </w:t>
      </w:r>
      <w:r w:rsidRPr="00DE4822">
        <w:rPr>
          <w:spacing w:val="-2"/>
          <w:lang w:val="fr-FR"/>
        </w:rPr>
        <w:t>fiches</w:t>
      </w:r>
      <w:r w:rsidR="00EC442C">
        <w:rPr>
          <w:spacing w:val="-2"/>
          <w:lang w:val="fr-FR"/>
        </w:rPr>
        <w:t xml:space="preserve"> </w:t>
      </w:r>
      <w:r w:rsidRPr="00DE4822">
        <w:rPr>
          <w:spacing w:val="-2"/>
          <w:lang w:val="fr-FR"/>
        </w:rPr>
        <w:t>d’homologation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d’extension,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refus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retrait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émises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autres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pays.</w:t>
      </w:r>
    </w:p>
    <w:p w:rsidR="00D643A6" w:rsidRPr="00DE4822" w:rsidRDefault="00D643A6" w:rsidP="00C20735">
      <w:pPr>
        <w:pStyle w:val="HChG"/>
        <w:ind w:left="2268"/>
        <w:rPr>
          <w:lang w:val="fr-FR"/>
        </w:rPr>
      </w:pPr>
      <w:r w:rsidRPr="00DE4822">
        <w:rPr>
          <w:lang w:val="fr-FR"/>
        </w:rPr>
        <w:t>12.</w:t>
      </w:r>
      <w:r w:rsidRPr="00DE4822">
        <w:rPr>
          <w:lang w:val="fr-FR"/>
        </w:rPr>
        <w:tab/>
        <w:t>Dispositions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transitoires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12.1</w:t>
      </w:r>
      <w:r w:rsidRPr="00DE4822">
        <w:rPr>
          <w:lang w:val="fr-FR"/>
        </w:rPr>
        <w:tab/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officielle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d’entrée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vigueur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série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02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d’amendements,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aucune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contractante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appliquant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pourra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refuser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d’accorder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d’accepter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type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vertu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dudit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modifié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série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02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d’amendements.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12.2</w:t>
      </w:r>
      <w:r w:rsidRPr="00DE4822">
        <w:rPr>
          <w:lang w:val="fr-FR"/>
        </w:rPr>
        <w:tab/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1</w:t>
      </w:r>
      <w:r w:rsidRPr="00A148BB">
        <w:rPr>
          <w:vertAlign w:val="superscript"/>
          <w:lang w:val="fr-FR"/>
        </w:rPr>
        <w:t>er</w:t>
      </w:r>
      <w:r w:rsidR="00A148BB">
        <w:rPr>
          <w:lang w:val="fr-FR"/>
        </w:rPr>
        <w:t> </w:t>
      </w:r>
      <w:r w:rsidRPr="00DE4822">
        <w:rPr>
          <w:lang w:val="fr-FR"/>
        </w:rPr>
        <w:t>avril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2018,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contractantes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appliquant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pourront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accorder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type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type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homologuer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satisfait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dudit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modifié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série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02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d’amendements.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12.3</w:t>
      </w:r>
      <w:r w:rsidRPr="00DE4822">
        <w:rPr>
          <w:lang w:val="fr-FR"/>
        </w:rPr>
        <w:tab/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1</w:t>
      </w:r>
      <w:r w:rsidRPr="00A148BB">
        <w:rPr>
          <w:vertAlign w:val="superscript"/>
          <w:lang w:val="fr-FR"/>
        </w:rPr>
        <w:t>er</w:t>
      </w:r>
      <w:r w:rsidR="00A148BB">
        <w:rPr>
          <w:lang w:val="fr-FR"/>
        </w:rPr>
        <w:t> </w:t>
      </w:r>
      <w:r w:rsidRPr="00DE4822">
        <w:rPr>
          <w:lang w:val="fr-FR"/>
        </w:rPr>
        <w:t>avril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2021,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contractantes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appliquant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seront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tenues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d’accepter,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fins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nationale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régionale,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type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homologué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conformément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précédente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série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d’amendements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audit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12.4</w:t>
      </w:r>
      <w:r w:rsidRPr="00DE4822">
        <w:rPr>
          <w:lang w:val="fr-FR"/>
        </w:rPr>
        <w:tab/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contractantes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appliquant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pourront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refuser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d’accorder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extensions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homologations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types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existants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accordées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conformément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précédente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série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d’amendements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audit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Règlement.</w:t>
      </w:r>
    </w:p>
    <w:p w:rsidR="00D643A6" w:rsidRPr="00DE4822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12.5</w:t>
      </w:r>
      <w:r w:rsidRPr="00DE4822">
        <w:rPr>
          <w:lang w:val="fr-FR"/>
        </w:rPr>
        <w:tab/>
        <w:t>Nonobstant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dispositions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12.3,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homologations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type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accordées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titre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précédente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série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d’amendements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concernées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série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02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d’amendements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restent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valides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contractantes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appliquant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ledit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continuer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accepter.</w:t>
      </w:r>
    </w:p>
    <w:p w:rsidR="00D643A6" w:rsidRDefault="00D643A6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12.6</w:t>
      </w:r>
      <w:r w:rsidRPr="00DE4822">
        <w:rPr>
          <w:lang w:val="fr-FR"/>
        </w:rPr>
        <w:tab/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dérogation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12.2,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jusqu’au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1</w:t>
      </w:r>
      <w:r w:rsidRPr="00A148BB">
        <w:rPr>
          <w:vertAlign w:val="superscript"/>
          <w:lang w:val="fr-FR"/>
        </w:rPr>
        <w:t>er</w:t>
      </w:r>
      <w:r w:rsidR="00A148BB">
        <w:rPr>
          <w:lang w:val="fr-FR"/>
        </w:rPr>
        <w:t> </w:t>
      </w:r>
      <w:r w:rsidRPr="00DE4822">
        <w:rPr>
          <w:lang w:val="fr-FR"/>
        </w:rPr>
        <w:t>avril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2020,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homologations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type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pourront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accordées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nouveaux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types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respectant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couleur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avertissant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mains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tiennent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conformément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5.6.2.2.5,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affichages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multi</w:t>
      </w:r>
      <w:r w:rsidR="004D15A8">
        <w:rPr>
          <w:lang w:val="fr-FR"/>
        </w:rPr>
        <w:t>-</w:t>
      </w:r>
      <w:r w:rsidRPr="00DE4822">
        <w:rPr>
          <w:lang w:val="fr-FR"/>
        </w:rPr>
        <w:t>informations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tableau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bord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capables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d’émettre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d’avertissement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rouges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utilisent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uniquement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témoins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indépendants.</w:t>
      </w:r>
    </w:p>
    <w:p w:rsidR="00A148BB" w:rsidRPr="00DE4822" w:rsidRDefault="00A148BB" w:rsidP="00E32E15">
      <w:pPr>
        <w:pStyle w:val="SingleTxtG"/>
        <w:ind w:left="2268" w:hanging="1134"/>
        <w:rPr>
          <w:lang w:val="fr-FR"/>
        </w:rPr>
      </w:pPr>
    </w:p>
    <w:p w:rsidR="005F0772" w:rsidRPr="00DE4822" w:rsidRDefault="005F0772" w:rsidP="00F74289">
      <w:pPr>
        <w:sectPr w:rsidR="005F0772" w:rsidRPr="00DE4822" w:rsidSect="00B64A2D">
          <w:endnotePr>
            <w:numFmt w:val="decimal"/>
          </w:endnotePr>
          <w:type w:val="oddPage"/>
          <w:pgSz w:w="11907" w:h="16840" w:code="9"/>
          <w:pgMar w:top="1417" w:right="1134" w:bottom="1134" w:left="1134" w:header="680" w:footer="567" w:gutter="0"/>
          <w:cols w:space="720"/>
          <w:docGrid w:linePitch="272"/>
        </w:sectPr>
      </w:pPr>
    </w:p>
    <w:p w:rsidR="00DF2F8E" w:rsidRPr="00DE4822" w:rsidRDefault="005F0772" w:rsidP="004A5F51">
      <w:pPr>
        <w:pStyle w:val="HChG"/>
        <w:rPr>
          <w:lang w:val="fr-FR"/>
        </w:rPr>
      </w:pPr>
      <w:r w:rsidRPr="00DE4822">
        <w:rPr>
          <w:lang w:val="fr-FR"/>
        </w:rPr>
        <w:lastRenderedPageBreak/>
        <w:t>Annexe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1</w:t>
      </w:r>
    </w:p>
    <w:p w:rsidR="00DF2F8E" w:rsidRPr="00DE4822" w:rsidRDefault="00DF2F8E" w:rsidP="00DF2F8E">
      <w:pPr>
        <w:pStyle w:val="HChG"/>
        <w:rPr>
          <w:lang w:val="fr-FR"/>
        </w:rPr>
      </w:pPr>
      <w:r w:rsidRPr="00DE4822">
        <w:rPr>
          <w:lang w:val="fr-FR"/>
        </w:rPr>
        <w:tab/>
      </w:r>
      <w:r w:rsidRPr="00DE4822">
        <w:rPr>
          <w:lang w:val="fr-FR"/>
        </w:rPr>
        <w:tab/>
      </w:r>
      <w:r w:rsidR="005F0772" w:rsidRPr="00DE4822">
        <w:rPr>
          <w:lang w:val="fr-FR"/>
        </w:rPr>
        <w:t>Communication</w:t>
      </w:r>
    </w:p>
    <w:p w:rsidR="005F0772" w:rsidRPr="00DE4822" w:rsidRDefault="00295DBD" w:rsidP="00295DBD">
      <w:pPr>
        <w:pStyle w:val="SingleTxtG"/>
        <w:rPr>
          <w:lang w:val="fr-FR"/>
        </w:rPr>
      </w:pPr>
      <w:r w:rsidRPr="00DE4822">
        <w:rPr>
          <w:lang w:val="fr-FR"/>
        </w:rPr>
        <w:t>(f</w:t>
      </w:r>
      <w:r w:rsidR="005F0772" w:rsidRPr="00DE4822">
        <w:rPr>
          <w:lang w:val="fr-FR"/>
        </w:rPr>
        <w:t>ormat</w:t>
      </w:r>
      <w:r w:rsidR="00EC442C">
        <w:rPr>
          <w:lang w:val="fr-FR"/>
        </w:rPr>
        <w:t xml:space="preserve"> </w:t>
      </w:r>
      <w:r w:rsidR="005F0772" w:rsidRPr="00DE4822">
        <w:rPr>
          <w:lang w:val="fr-FR"/>
        </w:rPr>
        <w:t>maximal</w:t>
      </w:r>
      <w:r w:rsidR="00EC442C">
        <w:rPr>
          <w:lang w:val="fr-FR"/>
        </w:rPr>
        <w:t xml:space="preserve"> : </w:t>
      </w:r>
      <w:r w:rsidRPr="00DE4822">
        <w:rPr>
          <w:lang w:val="fr-FR"/>
        </w:rPr>
        <w:t>A4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(210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297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mm))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536"/>
      </w:tblGrid>
      <w:tr w:rsidR="00DE4822" w:rsidRPr="00DE4822" w:rsidTr="008963D3">
        <w:tc>
          <w:tcPr>
            <w:tcW w:w="2835" w:type="dxa"/>
          </w:tcPr>
          <w:p w:rsidR="004B7AAC" w:rsidRPr="00DE4822" w:rsidRDefault="004B7AAC" w:rsidP="004B7AAC">
            <w:pPr>
              <w:pStyle w:val="SingleTxtG"/>
              <w:ind w:left="0"/>
              <w:rPr>
                <w:lang w:val="fr-FR"/>
              </w:rPr>
            </w:pPr>
            <w:r w:rsidRPr="00DE4822">
              <w:rPr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53AF7EAB" wp14:editId="0E9B5744">
                      <wp:simplePos x="0" y="0"/>
                      <wp:positionH relativeFrom="column">
                        <wp:posOffset>538393</wp:posOffset>
                      </wp:positionH>
                      <wp:positionV relativeFrom="paragraph">
                        <wp:posOffset>253365</wp:posOffset>
                      </wp:positionV>
                      <wp:extent cx="304800" cy="310515"/>
                      <wp:effectExtent l="0" t="0" r="0" b="0"/>
                      <wp:wrapNone/>
                      <wp:docPr id="8" name="Zone de tex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1FBA" w:rsidRPr="00295DBD" w:rsidRDefault="00BD1FBA" w:rsidP="00295DB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95DB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F7EAB" id="Zone de texte 8" o:spid="_x0000_s1030" type="#_x0000_t202" style="position:absolute;left:0;text-align:left;margin-left:42.4pt;margin-top:19.95pt;width:24pt;height:24.4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" stroked="f">
                      <v:textbox inset="0,0,0,0">
                        <w:txbxContent>
                          <w:p w:rsidR="00BD1FBA" w:rsidRPr="00295DBD" w:rsidRDefault="00BD1FBA" w:rsidP="00295DB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95DBD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4822">
              <w:rPr>
                <w:noProof/>
                <w:sz w:val="22"/>
                <w:szCs w:val="22"/>
                <w:lang w:eastAsia="fr-CH"/>
              </w:rPr>
              <w:drawing>
                <wp:inline distT="0" distB="0" distL="0" distR="0" wp14:anchorId="786F89D1" wp14:editId="6A070704">
                  <wp:extent cx="991870" cy="930910"/>
                  <wp:effectExtent l="0" t="0" r="0" b="254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99" t="-1198" r="-1199" b="-11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0914" w:rsidRPr="00DE4822">
              <w:rPr>
                <w:rStyle w:val="FootnoteReference"/>
                <w:color w:val="FFFFFF" w:themeColor="background1"/>
              </w:rPr>
              <w:footnoteReference w:id="6"/>
            </w:r>
          </w:p>
        </w:tc>
        <w:tc>
          <w:tcPr>
            <w:tcW w:w="4536" w:type="dxa"/>
          </w:tcPr>
          <w:p w:rsidR="004B7AAC" w:rsidRPr="00DE4822" w:rsidRDefault="004B7AAC" w:rsidP="008963D3">
            <w:pPr>
              <w:jc w:val="both"/>
            </w:pPr>
            <w:r w:rsidRPr="00DE4822">
              <w:t>émanant</w:t>
            </w:r>
            <w:r w:rsidR="00EC442C">
              <w:t xml:space="preserve"> </w:t>
            </w:r>
            <w:r w:rsidRPr="00DE4822">
              <w:t>de</w:t>
            </w:r>
            <w:r w:rsidR="00EC442C">
              <w:t> :</w:t>
            </w:r>
            <w:r w:rsidRPr="00DE4822">
              <w:tab/>
              <w:t>Nom</w:t>
            </w:r>
            <w:r w:rsidR="00EC442C">
              <w:t xml:space="preserve"> </w:t>
            </w:r>
            <w:r w:rsidRPr="00DE4822">
              <w:t>de</w:t>
            </w:r>
            <w:r w:rsidR="00EC442C">
              <w:t xml:space="preserve"> </w:t>
            </w:r>
            <w:r w:rsidRPr="00DE4822">
              <w:t>l’administration</w:t>
            </w:r>
            <w:r w:rsidR="00EC442C">
              <w:t> :</w:t>
            </w:r>
          </w:p>
          <w:p w:rsidR="004B7AAC" w:rsidRPr="00DE4822" w:rsidRDefault="008963D3" w:rsidP="00B338A1">
            <w:pPr>
              <w:tabs>
                <w:tab w:val="right" w:leader="dot" w:pos="3402"/>
              </w:tabs>
              <w:ind w:left="1134"/>
              <w:jc w:val="both"/>
            </w:pPr>
            <w:r w:rsidRPr="00DE4822">
              <w:tab/>
            </w:r>
          </w:p>
          <w:p w:rsidR="004B7AAC" w:rsidRPr="00DE4822" w:rsidRDefault="00D40914" w:rsidP="00D40914">
            <w:pPr>
              <w:tabs>
                <w:tab w:val="right" w:leader="dot" w:pos="3402"/>
              </w:tabs>
              <w:ind w:left="1134"/>
              <w:jc w:val="both"/>
            </w:pPr>
            <w:r w:rsidRPr="00DE4822">
              <w:tab/>
            </w:r>
          </w:p>
          <w:p w:rsidR="008963D3" w:rsidRPr="00DE4822" w:rsidRDefault="008963D3" w:rsidP="00D40914">
            <w:pPr>
              <w:tabs>
                <w:tab w:val="right" w:leader="dot" w:pos="3402"/>
              </w:tabs>
              <w:ind w:left="1134"/>
              <w:jc w:val="both"/>
            </w:pPr>
            <w:r w:rsidRPr="00DE4822">
              <w:tab/>
            </w:r>
          </w:p>
        </w:tc>
      </w:tr>
    </w:tbl>
    <w:p w:rsidR="00A0354D" w:rsidRPr="00DE4822" w:rsidRDefault="005F0772" w:rsidP="00A148BB">
      <w:pPr>
        <w:pStyle w:val="SingleTxtG"/>
        <w:spacing w:after="0"/>
        <w:rPr>
          <w:lang w:val="fr-FR"/>
        </w:rPr>
      </w:pPr>
      <w:r w:rsidRPr="00DE4822">
        <w:rPr>
          <w:lang w:val="fr-FR"/>
        </w:rPr>
        <w:t>Objet</w:t>
      </w:r>
      <w:r w:rsidR="00DE4822">
        <w:rPr>
          <w:rStyle w:val="FootnoteReference"/>
        </w:rPr>
        <w:footnoteReference w:id="7"/>
      </w:r>
      <w:r w:rsidR="00EC442C">
        <w:rPr>
          <w:lang w:val="fr-FR"/>
        </w:rPr>
        <w:t> :</w:t>
      </w:r>
      <w:r w:rsidRPr="00DE4822">
        <w:rPr>
          <w:b/>
          <w:bCs/>
          <w:lang w:val="fr-FR"/>
        </w:rPr>
        <w:tab/>
      </w:r>
      <w:r w:rsidRPr="00DE4822">
        <w:rPr>
          <w:lang w:val="fr-FR"/>
        </w:rPr>
        <w:t>Délivrance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homologation</w:t>
      </w:r>
    </w:p>
    <w:p w:rsidR="00A0354D" w:rsidRPr="00DE4822" w:rsidRDefault="005F0772" w:rsidP="00A0354D">
      <w:pPr>
        <w:pStyle w:val="SingleTxtG"/>
        <w:spacing w:after="0"/>
        <w:ind w:left="2268"/>
        <w:rPr>
          <w:lang w:val="fr-FR"/>
        </w:rPr>
      </w:pPr>
      <w:r w:rsidRPr="00DE4822">
        <w:rPr>
          <w:lang w:val="fr-FR"/>
        </w:rPr>
        <w:t>Extension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homologation</w:t>
      </w:r>
    </w:p>
    <w:p w:rsidR="00A0354D" w:rsidRPr="00DE4822" w:rsidRDefault="005F0772" w:rsidP="00A0354D">
      <w:pPr>
        <w:pStyle w:val="SingleTxtG"/>
        <w:spacing w:after="0"/>
        <w:ind w:left="2268"/>
        <w:rPr>
          <w:lang w:val="fr-FR"/>
        </w:rPr>
      </w:pPr>
      <w:r w:rsidRPr="00DE4822">
        <w:rPr>
          <w:lang w:val="fr-FR"/>
        </w:rPr>
        <w:t>Refus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</w:t>
      </w:r>
      <w:r w:rsidR="00A0354D"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="00A0354D" w:rsidRPr="00DE4822">
        <w:rPr>
          <w:lang w:val="fr-FR"/>
        </w:rPr>
        <w:t>homologation</w:t>
      </w:r>
    </w:p>
    <w:p w:rsidR="00A0354D" w:rsidRPr="00DE4822" w:rsidRDefault="005F0772" w:rsidP="00A0354D">
      <w:pPr>
        <w:pStyle w:val="SingleTxtG"/>
        <w:spacing w:after="0"/>
        <w:ind w:left="2268"/>
        <w:rPr>
          <w:lang w:val="fr-FR"/>
        </w:rPr>
      </w:pPr>
      <w:r w:rsidRPr="00DE4822">
        <w:rPr>
          <w:lang w:val="fr-FR"/>
        </w:rPr>
        <w:t>Retrait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</w:t>
      </w:r>
      <w:r w:rsidR="00A0354D"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="00A0354D" w:rsidRPr="00DE4822">
        <w:rPr>
          <w:lang w:val="fr-FR"/>
        </w:rPr>
        <w:t>homologation</w:t>
      </w:r>
    </w:p>
    <w:p w:rsidR="005F0772" w:rsidRPr="00DE4822" w:rsidRDefault="005F0772" w:rsidP="00A0354D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Arrêt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définitif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production</w:t>
      </w:r>
    </w:p>
    <w:p w:rsidR="005F0772" w:rsidRPr="00DE4822" w:rsidRDefault="005F0772" w:rsidP="00A0354D">
      <w:pPr>
        <w:pStyle w:val="SingleTxtG"/>
        <w:rPr>
          <w:lang w:val="fr-FR"/>
        </w:rPr>
      </w:pP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type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concerne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application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ONU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</w:t>
      </w:r>
      <w:r w:rsidRPr="00DE4822">
        <w:rPr>
          <w:vertAlign w:val="superscript"/>
          <w:lang w:val="fr-FR"/>
        </w:rPr>
        <w:t>o</w:t>
      </w:r>
      <w:r w:rsidR="00A148BB">
        <w:rPr>
          <w:lang w:val="fr-FR"/>
        </w:rPr>
        <w:t> </w:t>
      </w:r>
      <w:r w:rsidRPr="00DE4822">
        <w:rPr>
          <w:lang w:val="fr-FR"/>
        </w:rPr>
        <w:t>79</w:t>
      </w:r>
    </w:p>
    <w:p w:rsidR="005F0772" w:rsidRPr="00DE4822" w:rsidRDefault="005F0772" w:rsidP="002D7088">
      <w:pPr>
        <w:pStyle w:val="SingleTxtG"/>
        <w:tabs>
          <w:tab w:val="right" w:leader="dot" w:pos="4536"/>
          <w:tab w:val="left" w:pos="5103"/>
          <w:tab w:val="right" w:leader="dot" w:pos="8505"/>
        </w:tabs>
        <w:rPr>
          <w:lang w:val="fr-FR"/>
        </w:rPr>
      </w:pPr>
      <w:r w:rsidRPr="00DE4822">
        <w:rPr>
          <w:lang w:val="fr-FR"/>
        </w:rPr>
        <w:t>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</w:t>
      </w:r>
      <w:r w:rsidRPr="00DE4822">
        <w:rPr>
          <w:vertAlign w:val="superscript"/>
          <w:lang w:val="fr-FR"/>
        </w:rPr>
        <w:t>o</w:t>
      </w:r>
      <w:r w:rsidRPr="00DE4822">
        <w:rPr>
          <w:lang w:val="fr-FR"/>
        </w:rPr>
        <w:tab/>
      </w:r>
      <w:r w:rsidR="002D7088" w:rsidRPr="00DE4822">
        <w:rPr>
          <w:lang w:val="fr-FR"/>
        </w:rPr>
        <w:tab/>
      </w:r>
      <w:r w:rsidRPr="00DE4822">
        <w:rPr>
          <w:lang w:val="fr-FR"/>
        </w:rPr>
        <w:t>Extension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</w:t>
      </w:r>
      <w:r w:rsidRPr="00DE4822">
        <w:rPr>
          <w:vertAlign w:val="superscript"/>
          <w:lang w:val="fr-FR"/>
        </w:rPr>
        <w:t>o</w:t>
      </w:r>
      <w:r w:rsidRPr="00DE4822">
        <w:rPr>
          <w:lang w:val="fr-FR"/>
        </w:rPr>
        <w:tab/>
      </w:r>
    </w:p>
    <w:p w:rsidR="005F0772" w:rsidRPr="00DE4822" w:rsidRDefault="005F0772" w:rsidP="00E2171F">
      <w:pPr>
        <w:pStyle w:val="SingleTxtG"/>
        <w:tabs>
          <w:tab w:val="left" w:pos="1701"/>
          <w:tab w:val="right" w:leader="dot" w:pos="8505"/>
        </w:tabs>
        <w:ind w:left="1701" w:hanging="567"/>
        <w:rPr>
          <w:lang w:val="fr-FR"/>
        </w:rPr>
      </w:pPr>
      <w:r w:rsidRPr="00DE4822">
        <w:rPr>
          <w:lang w:val="fr-FR"/>
        </w:rPr>
        <w:t>1.</w:t>
      </w:r>
      <w:r w:rsidRPr="00DE4822">
        <w:rPr>
          <w:lang w:val="fr-FR"/>
        </w:rPr>
        <w:tab/>
        <w:t>Marque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fabrique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commerce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Pr="00DE4822">
        <w:rPr>
          <w:lang w:val="fr-FR"/>
        </w:rPr>
        <w:tab/>
      </w:r>
    </w:p>
    <w:p w:rsidR="005F0772" w:rsidRPr="00DE4822" w:rsidRDefault="005F0772" w:rsidP="00E2171F">
      <w:pPr>
        <w:pStyle w:val="SingleTxtG"/>
        <w:tabs>
          <w:tab w:val="left" w:pos="1701"/>
          <w:tab w:val="right" w:leader="dot" w:pos="8505"/>
        </w:tabs>
        <w:ind w:left="1701" w:hanging="567"/>
        <w:rPr>
          <w:lang w:val="fr-FR"/>
        </w:rPr>
      </w:pPr>
      <w:r w:rsidRPr="00DE4822">
        <w:rPr>
          <w:lang w:val="fr-FR"/>
        </w:rPr>
        <w:t>2.</w:t>
      </w:r>
      <w:r w:rsidRPr="00DE4822">
        <w:rPr>
          <w:lang w:val="fr-FR"/>
        </w:rPr>
        <w:tab/>
        <w:t>Type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Pr="00DE4822">
        <w:rPr>
          <w:lang w:val="fr-FR"/>
        </w:rPr>
        <w:tab/>
      </w:r>
    </w:p>
    <w:p w:rsidR="005F0772" w:rsidRPr="00DE4822" w:rsidRDefault="005F0772" w:rsidP="00E2171F">
      <w:pPr>
        <w:pStyle w:val="SingleTxtG"/>
        <w:tabs>
          <w:tab w:val="left" w:pos="1701"/>
          <w:tab w:val="right" w:leader="dot" w:pos="8505"/>
        </w:tabs>
        <w:ind w:left="1701" w:hanging="567"/>
        <w:rPr>
          <w:lang w:val="fr-FR"/>
        </w:rPr>
      </w:pPr>
      <w:r w:rsidRPr="00DE4822">
        <w:rPr>
          <w:lang w:val="fr-FR"/>
        </w:rPr>
        <w:t>3.</w:t>
      </w:r>
      <w:r w:rsidRPr="00DE4822">
        <w:rPr>
          <w:lang w:val="fr-FR"/>
        </w:rPr>
        <w:tab/>
        <w:t>Nom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adresse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constructeur</w:t>
      </w:r>
      <w:r w:rsidRPr="00DE4822">
        <w:rPr>
          <w:lang w:val="fr-FR"/>
        </w:rPr>
        <w:tab/>
      </w:r>
    </w:p>
    <w:p w:rsidR="005F0772" w:rsidRPr="00DE4822" w:rsidRDefault="005F0772" w:rsidP="00E2171F">
      <w:pPr>
        <w:pStyle w:val="SingleTxtG"/>
        <w:tabs>
          <w:tab w:val="left" w:pos="1701"/>
          <w:tab w:val="right" w:leader="dot" w:pos="8505"/>
        </w:tabs>
        <w:ind w:left="1701" w:hanging="567"/>
        <w:rPr>
          <w:lang w:val="fr-FR"/>
        </w:rPr>
      </w:pPr>
      <w:r w:rsidRPr="00DE4822">
        <w:rPr>
          <w:lang w:val="fr-FR"/>
        </w:rPr>
        <w:t>4.</w:t>
      </w:r>
      <w:r w:rsidRPr="00DE4822">
        <w:rPr>
          <w:lang w:val="fr-FR"/>
        </w:rPr>
        <w:tab/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échéant,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nom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adresse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mandataire</w:t>
      </w:r>
      <w:r w:rsidRPr="00DE4822">
        <w:rPr>
          <w:lang w:val="fr-FR"/>
        </w:rPr>
        <w:tab/>
      </w:r>
    </w:p>
    <w:p w:rsidR="005F0772" w:rsidRPr="00DE4822" w:rsidRDefault="005F0772" w:rsidP="00E2171F">
      <w:pPr>
        <w:pStyle w:val="SingleTxtG"/>
        <w:tabs>
          <w:tab w:val="left" w:pos="1701"/>
          <w:tab w:val="right" w:leader="dot" w:pos="8505"/>
        </w:tabs>
        <w:ind w:left="1701" w:hanging="567"/>
        <w:rPr>
          <w:lang w:val="fr-FR"/>
        </w:rPr>
      </w:pPr>
      <w:r w:rsidRPr="00DE4822">
        <w:rPr>
          <w:lang w:val="fr-FR"/>
        </w:rPr>
        <w:t>5.</w:t>
      </w:r>
      <w:r w:rsidRPr="00DE4822">
        <w:rPr>
          <w:lang w:val="fr-FR"/>
        </w:rPr>
        <w:tab/>
        <w:t>Description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sommaire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</w:p>
    <w:p w:rsidR="005F0772" w:rsidRPr="00DE4822" w:rsidRDefault="005F0772" w:rsidP="00E2171F">
      <w:pPr>
        <w:pStyle w:val="SingleTxtG"/>
        <w:tabs>
          <w:tab w:val="left" w:pos="1701"/>
          <w:tab w:val="right" w:leader="dot" w:pos="8505"/>
        </w:tabs>
        <w:ind w:left="1701" w:hanging="567"/>
        <w:rPr>
          <w:lang w:val="fr-FR"/>
        </w:rPr>
      </w:pPr>
      <w:r w:rsidRPr="00DE4822">
        <w:rPr>
          <w:lang w:val="fr-FR"/>
        </w:rPr>
        <w:t>5.1</w:t>
      </w:r>
      <w:r w:rsidRPr="00DE4822">
        <w:rPr>
          <w:lang w:val="fr-FR"/>
        </w:rPr>
        <w:tab/>
        <w:t>Type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Pr="00DE4822">
        <w:rPr>
          <w:lang w:val="fr-FR"/>
        </w:rPr>
        <w:tab/>
      </w:r>
    </w:p>
    <w:p w:rsidR="005F0772" w:rsidRPr="00DE4822" w:rsidRDefault="005F0772" w:rsidP="00E2171F">
      <w:pPr>
        <w:pStyle w:val="SingleTxtG"/>
        <w:tabs>
          <w:tab w:val="left" w:pos="1701"/>
          <w:tab w:val="right" w:leader="dot" w:pos="8505"/>
        </w:tabs>
        <w:ind w:left="1701" w:hanging="567"/>
        <w:rPr>
          <w:lang w:val="fr-FR"/>
        </w:rPr>
      </w:pPr>
      <w:r w:rsidRPr="00DE4822">
        <w:rPr>
          <w:lang w:val="fr-FR"/>
        </w:rPr>
        <w:t>5.2</w:t>
      </w:r>
      <w:r w:rsidRPr="00DE4822">
        <w:rPr>
          <w:lang w:val="fr-FR"/>
        </w:rPr>
        <w:tab/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Pr="00DE4822">
        <w:rPr>
          <w:lang w:val="fr-FR"/>
        </w:rPr>
        <w:tab/>
      </w:r>
    </w:p>
    <w:p w:rsidR="005F0772" w:rsidRPr="00DE4822" w:rsidRDefault="005F0772" w:rsidP="00E2171F">
      <w:pPr>
        <w:pStyle w:val="SingleTxtG"/>
        <w:tabs>
          <w:tab w:val="left" w:pos="1701"/>
          <w:tab w:val="right" w:leader="dot" w:pos="8505"/>
        </w:tabs>
        <w:ind w:left="1701" w:hanging="567"/>
        <w:rPr>
          <w:lang w:val="fr-FR"/>
        </w:rPr>
      </w:pPr>
      <w:r w:rsidRPr="00DE4822">
        <w:rPr>
          <w:lang w:val="fr-FR"/>
        </w:rPr>
        <w:t>5.3</w:t>
      </w:r>
      <w:r w:rsidRPr="00DE4822">
        <w:rPr>
          <w:lang w:val="fr-FR"/>
        </w:rPr>
        <w:tab/>
        <w:t>Timonerie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Pr="00DE4822">
        <w:rPr>
          <w:lang w:val="fr-FR"/>
        </w:rPr>
        <w:tab/>
      </w:r>
    </w:p>
    <w:p w:rsidR="005F0772" w:rsidRPr="00DE4822" w:rsidRDefault="005F0772" w:rsidP="00E2171F">
      <w:pPr>
        <w:pStyle w:val="SingleTxtG"/>
        <w:tabs>
          <w:tab w:val="left" w:pos="1701"/>
          <w:tab w:val="right" w:leader="dot" w:pos="8505"/>
        </w:tabs>
        <w:ind w:left="1701" w:hanging="567"/>
        <w:rPr>
          <w:lang w:val="fr-FR"/>
        </w:rPr>
      </w:pPr>
      <w:r w:rsidRPr="00DE4822">
        <w:rPr>
          <w:lang w:val="fr-FR"/>
        </w:rPr>
        <w:t>5.4</w:t>
      </w:r>
      <w:r w:rsidRPr="00DE4822">
        <w:rPr>
          <w:lang w:val="fr-FR"/>
        </w:rPr>
        <w:tab/>
        <w:t>Roues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directrices</w:t>
      </w:r>
      <w:r w:rsidRPr="00DE4822">
        <w:rPr>
          <w:lang w:val="fr-FR"/>
        </w:rPr>
        <w:tab/>
      </w:r>
    </w:p>
    <w:p w:rsidR="005F0772" w:rsidRPr="00DE4822" w:rsidRDefault="005F0772" w:rsidP="00E2171F">
      <w:pPr>
        <w:pStyle w:val="SingleTxtG"/>
        <w:tabs>
          <w:tab w:val="left" w:pos="1701"/>
          <w:tab w:val="right" w:leader="dot" w:pos="8505"/>
        </w:tabs>
        <w:ind w:left="1701" w:hanging="567"/>
        <w:rPr>
          <w:lang w:val="fr-FR"/>
        </w:rPr>
      </w:pPr>
      <w:r w:rsidRPr="00DE4822">
        <w:rPr>
          <w:lang w:val="fr-FR"/>
        </w:rPr>
        <w:t>5.5</w:t>
      </w:r>
      <w:r w:rsidRPr="00DE4822">
        <w:rPr>
          <w:lang w:val="fr-FR"/>
        </w:rPr>
        <w:tab/>
        <w:t>Source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d’énergie</w:t>
      </w:r>
      <w:r w:rsidRPr="00DE4822">
        <w:rPr>
          <w:lang w:val="fr-FR"/>
        </w:rPr>
        <w:tab/>
      </w:r>
    </w:p>
    <w:p w:rsidR="005F0772" w:rsidRPr="00DE4822" w:rsidRDefault="005F0772" w:rsidP="00E2171F">
      <w:pPr>
        <w:pStyle w:val="SingleTxtG"/>
        <w:tabs>
          <w:tab w:val="left" w:pos="1701"/>
          <w:tab w:val="right" w:leader="dot" w:pos="8505"/>
        </w:tabs>
        <w:ind w:left="1701" w:hanging="567"/>
        <w:rPr>
          <w:lang w:val="fr-FR"/>
        </w:rPr>
      </w:pPr>
      <w:r w:rsidRPr="00DE4822">
        <w:rPr>
          <w:lang w:val="fr-FR"/>
        </w:rPr>
        <w:t>6.</w:t>
      </w:r>
      <w:r w:rsidRPr="00DE4822">
        <w:rPr>
          <w:lang w:val="fr-FR"/>
        </w:rPr>
        <w:tab/>
        <w:t>Résultats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essais,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caractéristiques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Pr="00DE4822">
        <w:rPr>
          <w:lang w:val="fr-FR"/>
        </w:rPr>
        <w:tab/>
      </w:r>
    </w:p>
    <w:p w:rsidR="005F0772" w:rsidRPr="00DE4822" w:rsidRDefault="005F0772" w:rsidP="00E2171F">
      <w:pPr>
        <w:pStyle w:val="SingleTxtG"/>
        <w:tabs>
          <w:tab w:val="left" w:pos="1701"/>
          <w:tab w:val="right" w:leader="dot" w:pos="8505"/>
        </w:tabs>
        <w:ind w:left="1701" w:hanging="567"/>
        <w:rPr>
          <w:lang w:val="fr-FR"/>
        </w:rPr>
      </w:pPr>
      <w:r w:rsidRPr="00DE4822">
        <w:rPr>
          <w:lang w:val="fr-FR"/>
        </w:rPr>
        <w:t>6.1</w:t>
      </w:r>
      <w:r w:rsidRPr="00DE4822">
        <w:rPr>
          <w:lang w:val="fr-FR"/>
        </w:rPr>
        <w:tab/>
        <w:t>Effort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nécessaire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décrire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cercle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12</w:t>
      </w:r>
      <w:r w:rsidR="00A148BB">
        <w:rPr>
          <w:lang w:val="fr-FR"/>
        </w:rPr>
        <w:t> </w:t>
      </w:r>
      <w:r w:rsidRPr="00DE4822">
        <w:rPr>
          <w:lang w:val="fr-FR"/>
        </w:rPr>
        <w:t>m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rayon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avec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intact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20</w:t>
      </w:r>
      <w:r w:rsidR="00A148BB">
        <w:rPr>
          <w:lang w:val="fr-FR"/>
        </w:rPr>
        <w:t> </w:t>
      </w:r>
      <w:r w:rsidRPr="00DE4822">
        <w:rPr>
          <w:lang w:val="fr-FR"/>
        </w:rPr>
        <w:t>m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rayon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avec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défaillant</w:t>
      </w:r>
      <w:r w:rsidRPr="00DE4822">
        <w:rPr>
          <w:lang w:val="fr-FR"/>
        </w:rPr>
        <w:tab/>
      </w:r>
    </w:p>
    <w:p w:rsidR="005F0772" w:rsidRPr="00DE4822" w:rsidRDefault="005F0772" w:rsidP="00E2171F">
      <w:pPr>
        <w:pStyle w:val="SingleTxtG"/>
        <w:tabs>
          <w:tab w:val="left" w:pos="1701"/>
          <w:tab w:val="right" w:leader="dot" w:pos="8505"/>
        </w:tabs>
        <w:ind w:left="1701" w:hanging="567"/>
        <w:rPr>
          <w:lang w:val="fr-FR"/>
        </w:rPr>
      </w:pPr>
      <w:r w:rsidRPr="00DE4822">
        <w:rPr>
          <w:lang w:val="fr-FR"/>
        </w:rPr>
        <w:t>6.1.1</w:t>
      </w:r>
      <w:r w:rsidRPr="00DE4822">
        <w:rPr>
          <w:lang w:val="fr-FR"/>
        </w:rPr>
        <w:tab/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conditions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normales</w:t>
      </w:r>
      <w:r w:rsidRPr="00DE4822">
        <w:rPr>
          <w:lang w:val="fr-FR"/>
        </w:rPr>
        <w:tab/>
      </w:r>
    </w:p>
    <w:p w:rsidR="005F0772" w:rsidRPr="00DE4822" w:rsidRDefault="005F0772" w:rsidP="00E2171F">
      <w:pPr>
        <w:pStyle w:val="SingleTxtG"/>
        <w:tabs>
          <w:tab w:val="left" w:pos="1701"/>
          <w:tab w:val="right" w:leader="dot" w:pos="8505"/>
        </w:tabs>
        <w:ind w:left="1701" w:hanging="567"/>
        <w:rPr>
          <w:lang w:val="fr-FR"/>
        </w:rPr>
      </w:pPr>
      <w:r w:rsidRPr="00DE4822">
        <w:rPr>
          <w:lang w:val="fr-FR"/>
        </w:rPr>
        <w:t>6.1.2</w:t>
      </w:r>
      <w:r w:rsidRPr="00DE4822">
        <w:rPr>
          <w:lang w:val="fr-FR"/>
        </w:rPr>
        <w:tab/>
        <w:t>Après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spécial</w:t>
      </w:r>
      <w:r w:rsidRPr="00DE4822">
        <w:rPr>
          <w:lang w:val="fr-FR"/>
        </w:rPr>
        <w:tab/>
      </w:r>
    </w:p>
    <w:p w:rsidR="005F0772" w:rsidRPr="00DE4822" w:rsidRDefault="005F0772" w:rsidP="00E2171F">
      <w:pPr>
        <w:pStyle w:val="SingleTxtG"/>
        <w:tabs>
          <w:tab w:val="left" w:pos="1701"/>
          <w:tab w:val="right" w:leader="dot" w:pos="8505"/>
        </w:tabs>
        <w:ind w:left="1701" w:hanging="567"/>
        <w:rPr>
          <w:lang w:val="fr-FR"/>
        </w:rPr>
      </w:pPr>
      <w:r w:rsidRPr="00DE4822">
        <w:rPr>
          <w:lang w:val="fr-FR"/>
        </w:rPr>
        <w:t>6.2</w:t>
      </w:r>
      <w:r w:rsidRPr="00DE4822">
        <w:rPr>
          <w:lang w:val="fr-FR"/>
        </w:rPr>
        <w:tab/>
        <w:t>Autres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essais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requis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</w:t>
      </w:r>
      <w:r w:rsidRPr="00DE4822">
        <w:rPr>
          <w:lang w:val="fr-FR"/>
        </w:rPr>
        <w:tab/>
        <w:t>succès/échec</w:t>
      </w:r>
      <w:r w:rsidRPr="00F87466">
        <w:rPr>
          <w:rStyle w:val="FootnoteReference"/>
        </w:rPr>
        <w:t>2</w:t>
      </w:r>
    </w:p>
    <w:p w:rsidR="005F0772" w:rsidRPr="00DE4822" w:rsidRDefault="005F0772" w:rsidP="00E2171F">
      <w:pPr>
        <w:pStyle w:val="SingleTxtG"/>
        <w:tabs>
          <w:tab w:val="left" w:pos="1701"/>
          <w:tab w:val="right" w:leader="dot" w:pos="8505"/>
        </w:tabs>
        <w:ind w:left="1701" w:hanging="567"/>
        <w:rPr>
          <w:lang w:val="fr-FR"/>
        </w:rPr>
      </w:pPr>
      <w:r w:rsidRPr="00DE4822">
        <w:rPr>
          <w:lang w:val="fr-FR"/>
        </w:rPr>
        <w:t>6.3</w:t>
      </w:r>
      <w:r w:rsidRPr="00DE4822">
        <w:rPr>
          <w:lang w:val="fr-FR"/>
        </w:rPr>
        <w:tab/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documentation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appropriée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visée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l’annexe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6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concerne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organes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ci</w:t>
      </w:r>
      <w:r w:rsidR="004D15A8">
        <w:rPr>
          <w:lang w:val="fr-FR"/>
        </w:rPr>
        <w:t>-</w:t>
      </w:r>
      <w:r w:rsidRPr="00DE4822">
        <w:rPr>
          <w:lang w:val="fr-FR"/>
        </w:rPr>
        <w:t>après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Pr="00DE4822">
        <w:rPr>
          <w:lang w:val="fr-FR"/>
        </w:rPr>
        <w:tab/>
      </w:r>
    </w:p>
    <w:p w:rsidR="005F0772" w:rsidRPr="00DE4822" w:rsidRDefault="005F0772" w:rsidP="00E2171F">
      <w:pPr>
        <w:pStyle w:val="SingleTxtG"/>
        <w:tabs>
          <w:tab w:val="left" w:pos="1701"/>
          <w:tab w:val="right" w:leader="dot" w:pos="8505"/>
        </w:tabs>
        <w:ind w:left="1701" w:hanging="567"/>
        <w:rPr>
          <w:lang w:val="fr-FR"/>
        </w:rPr>
      </w:pPr>
      <w:r w:rsidRPr="00DE4822">
        <w:rPr>
          <w:lang w:val="fr-FR"/>
        </w:rPr>
        <w:t>7.</w:t>
      </w:r>
      <w:r w:rsidRPr="00DE4822">
        <w:rPr>
          <w:lang w:val="fr-FR"/>
        </w:rPr>
        <w:tab/>
        <w:t>Applicable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uniquement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tracteurs</w:t>
      </w:r>
    </w:p>
    <w:p w:rsidR="005F0772" w:rsidRPr="00DE4822" w:rsidRDefault="005F0772" w:rsidP="00E2171F">
      <w:pPr>
        <w:pStyle w:val="SingleTxtG"/>
        <w:tabs>
          <w:tab w:val="left" w:pos="1701"/>
          <w:tab w:val="right" w:leader="dot" w:pos="8505"/>
        </w:tabs>
        <w:ind w:left="1701" w:hanging="567"/>
        <w:rPr>
          <w:lang w:val="fr-FR"/>
        </w:rPr>
      </w:pPr>
      <w:r w:rsidRPr="00DE4822">
        <w:rPr>
          <w:lang w:val="fr-FR"/>
        </w:rPr>
        <w:t>7.1</w:t>
      </w:r>
      <w:r w:rsidRPr="00DE4822">
        <w:rPr>
          <w:lang w:val="fr-FR"/>
        </w:rPr>
        <w:tab/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est/n’est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Pr="00F87466">
        <w:rPr>
          <w:rStyle w:val="FootnoteReference"/>
        </w:rPr>
        <w:t>2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équipé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raccord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conforme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pertinentes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l’annexe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7</w:t>
      </w:r>
    </w:p>
    <w:p w:rsidR="005F0772" w:rsidRPr="00DE4822" w:rsidRDefault="005F0772" w:rsidP="00A0354D">
      <w:pPr>
        <w:pStyle w:val="SingleTxtG"/>
        <w:tabs>
          <w:tab w:val="left" w:pos="1701"/>
          <w:tab w:val="right" w:leader="dot" w:pos="8505"/>
        </w:tabs>
        <w:ind w:left="1701" w:hanging="567"/>
        <w:rPr>
          <w:lang w:val="fr-FR"/>
        </w:rPr>
      </w:pPr>
      <w:r w:rsidRPr="00DE4822">
        <w:rPr>
          <w:lang w:val="fr-FR"/>
        </w:rPr>
        <w:lastRenderedPageBreak/>
        <w:t>7.2</w:t>
      </w:r>
      <w:r w:rsidRPr="00DE4822">
        <w:rPr>
          <w:lang w:val="fr-FR"/>
        </w:rPr>
        <w:tab/>
        <w:t>L’intensité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maximale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disponible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Pr="00DE4822">
        <w:rPr>
          <w:lang w:val="fr-FR"/>
        </w:rPr>
        <w:tab/>
        <w:t>A</w:t>
      </w:r>
      <w:r w:rsidR="00F87466">
        <w:rPr>
          <w:rStyle w:val="FootnoteReference"/>
        </w:rPr>
        <w:footnoteReference w:id="8"/>
      </w:r>
    </w:p>
    <w:p w:rsidR="005F0772" w:rsidRPr="00DE4822" w:rsidRDefault="005F0772" w:rsidP="00E2171F">
      <w:pPr>
        <w:pStyle w:val="SingleTxtG"/>
        <w:tabs>
          <w:tab w:val="left" w:pos="1701"/>
          <w:tab w:val="right" w:leader="dot" w:pos="8505"/>
        </w:tabs>
        <w:ind w:left="1701" w:hanging="567"/>
        <w:rPr>
          <w:lang w:val="fr-FR"/>
        </w:rPr>
      </w:pPr>
      <w:r w:rsidRPr="00DE4822">
        <w:rPr>
          <w:lang w:val="fr-FR"/>
        </w:rPr>
        <w:t>8.</w:t>
      </w:r>
      <w:r w:rsidRPr="00DE4822">
        <w:rPr>
          <w:lang w:val="fr-FR"/>
        </w:rPr>
        <w:tab/>
        <w:t>Applicable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uniquement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remorques</w:t>
      </w:r>
    </w:p>
    <w:p w:rsidR="005F0772" w:rsidRPr="00DE4822" w:rsidRDefault="005F0772" w:rsidP="00E2171F">
      <w:pPr>
        <w:pStyle w:val="SingleTxtG"/>
        <w:tabs>
          <w:tab w:val="left" w:pos="1701"/>
          <w:tab w:val="right" w:leader="dot" w:pos="8505"/>
        </w:tabs>
        <w:ind w:left="1701" w:hanging="567"/>
        <w:rPr>
          <w:lang w:val="fr-FR"/>
        </w:rPr>
      </w:pPr>
      <w:r w:rsidRPr="00DE4822">
        <w:rPr>
          <w:lang w:val="fr-FR"/>
        </w:rPr>
        <w:t>8.1</w:t>
      </w:r>
      <w:r w:rsidRPr="00DE4822">
        <w:rPr>
          <w:lang w:val="fr-FR"/>
        </w:rPr>
        <w:tab/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remplit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conditions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pertinentes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énoncées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l’annexe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7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ONU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</w:t>
      </w:r>
      <w:r w:rsidRPr="00DE4822">
        <w:rPr>
          <w:vertAlign w:val="superscript"/>
          <w:lang w:val="fr-FR"/>
        </w:rPr>
        <w:t>o</w:t>
      </w:r>
      <w:r w:rsidR="004E7881">
        <w:rPr>
          <w:lang w:val="fr-FR"/>
        </w:rPr>
        <w:t> </w:t>
      </w:r>
      <w:r w:rsidRPr="00DE4822">
        <w:rPr>
          <w:lang w:val="fr-FR"/>
        </w:rPr>
        <w:t>79</w:t>
      </w:r>
      <w:r w:rsidRPr="00DE4822">
        <w:rPr>
          <w:lang w:val="fr-FR"/>
        </w:rPr>
        <w:tab/>
        <w:t>Oui/Non</w:t>
      </w:r>
      <w:r w:rsidRPr="00DE4822">
        <w:rPr>
          <w:vertAlign w:val="superscript"/>
          <w:lang w:val="fr-FR"/>
        </w:rPr>
        <w:t>2</w:t>
      </w:r>
    </w:p>
    <w:p w:rsidR="005F0772" w:rsidRPr="00DE4822" w:rsidRDefault="005F0772" w:rsidP="00E2171F">
      <w:pPr>
        <w:pStyle w:val="SingleTxtG"/>
        <w:tabs>
          <w:tab w:val="left" w:pos="1701"/>
          <w:tab w:val="right" w:leader="dot" w:pos="8505"/>
        </w:tabs>
        <w:ind w:left="1701" w:hanging="567"/>
        <w:rPr>
          <w:lang w:val="fr-FR"/>
        </w:rPr>
      </w:pPr>
      <w:r w:rsidRPr="00DE4822">
        <w:rPr>
          <w:lang w:val="fr-FR"/>
        </w:rPr>
        <w:t>8.2</w:t>
      </w:r>
      <w:r w:rsidRPr="00DE4822">
        <w:rPr>
          <w:lang w:val="fr-FR"/>
        </w:rPr>
        <w:tab/>
        <w:t>L’intensité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maximale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nécessaire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304EEA">
        <w:rPr>
          <w:lang w:val="fr-FR"/>
        </w:rPr>
        <w:br/>
      </w:r>
      <w:r w:rsidR="00304EEA">
        <w:rPr>
          <w:lang w:val="fr-FR"/>
        </w:rPr>
        <w:tab/>
      </w:r>
      <w:r w:rsidRPr="00DE4822">
        <w:rPr>
          <w:lang w:val="fr-FR"/>
        </w:rPr>
        <w:t>A</w:t>
      </w:r>
      <w:r w:rsidRPr="004E7881">
        <w:rPr>
          <w:rStyle w:val="FootnoteReference"/>
        </w:rPr>
        <w:t>3</w:t>
      </w:r>
    </w:p>
    <w:p w:rsidR="005F0772" w:rsidRPr="00DE4822" w:rsidRDefault="005F0772" w:rsidP="00E2171F">
      <w:pPr>
        <w:pStyle w:val="SingleTxtG"/>
        <w:tabs>
          <w:tab w:val="left" w:pos="1701"/>
          <w:tab w:val="right" w:leader="dot" w:pos="8505"/>
        </w:tabs>
        <w:ind w:left="1701" w:hanging="567"/>
        <w:rPr>
          <w:lang w:val="fr-FR"/>
        </w:rPr>
      </w:pPr>
      <w:r w:rsidRPr="00DE4822">
        <w:rPr>
          <w:lang w:val="fr-FR"/>
        </w:rPr>
        <w:t>8.3</w:t>
      </w:r>
      <w:r w:rsidRPr="00DE4822">
        <w:rPr>
          <w:lang w:val="fr-FR"/>
        </w:rPr>
        <w:tab/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est/n’est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Pr="004E7881">
        <w:rPr>
          <w:rStyle w:val="FootnoteReference"/>
        </w:rPr>
        <w:t>2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capable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d’alimenter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auxiliaire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énergie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électrique.</w:t>
      </w:r>
    </w:p>
    <w:p w:rsidR="005F0772" w:rsidRPr="00DE4822" w:rsidRDefault="005F0772" w:rsidP="00E2171F">
      <w:pPr>
        <w:pStyle w:val="SingleTxtG"/>
        <w:tabs>
          <w:tab w:val="left" w:pos="1701"/>
          <w:tab w:val="right" w:leader="dot" w:pos="8505"/>
        </w:tabs>
        <w:ind w:left="1701" w:hanging="567"/>
        <w:rPr>
          <w:lang w:val="fr-FR"/>
        </w:rPr>
      </w:pPr>
      <w:r w:rsidRPr="00DE4822">
        <w:rPr>
          <w:lang w:val="fr-FR"/>
        </w:rPr>
        <w:t>9.</w:t>
      </w:r>
      <w:r w:rsidRPr="00DE4822">
        <w:rPr>
          <w:lang w:val="fr-FR"/>
        </w:rPr>
        <w:tab/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Pr="00DE4822">
        <w:rPr>
          <w:lang w:val="fr-FR"/>
        </w:rPr>
        <w:tab/>
      </w:r>
    </w:p>
    <w:p w:rsidR="005F0772" w:rsidRPr="00DE4822" w:rsidRDefault="005F0772" w:rsidP="00E2171F">
      <w:pPr>
        <w:pStyle w:val="SingleTxtG"/>
        <w:tabs>
          <w:tab w:val="left" w:pos="1701"/>
          <w:tab w:val="right" w:leader="dot" w:pos="8505"/>
        </w:tabs>
        <w:ind w:left="1701" w:hanging="567"/>
        <w:rPr>
          <w:lang w:val="fr-FR"/>
        </w:rPr>
      </w:pPr>
      <w:r w:rsidRPr="00DE4822">
        <w:rPr>
          <w:lang w:val="fr-FR"/>
        </w:rPr>
        <w:t>10.</w:t>
      </w:r>
      <w:r w:rsidRPr="00DE4822">
        <w:rPr>
          <w:lang w:val="fr-FR"/>
        </w:rPr>
        <w:tab/>
        <w:t>Service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technique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chargé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essais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d’homologation</w:t>
      </w:r>
      <w:r w:rsidRPr="00DE4822">
        <w:rPr>
          <w:lang w:val="fr-FR"/>
        </w:rPr>
        <w:tab/>
      </w:r>
    </w:p>
    <w:p w:rsidR="005F0772" w:rsidRPr="00DE4822" w:rsidRDefault="005F0772" w:rsidP="00E2171F">
      <w:pPr>
        <w:pStyle w:val="SingleTxtG"/>
        <w:tabs>
          <w:tab w:val="left" w:pos="1701"/>
          <w:tab w:val="right" w:leader="dot" w:pos="8505"/>
        </w:tabs>
        <w:ind w:left="1701" w:hanging="567"/>
        <w:rPr>
          <w:lang w:val="fr-FR"/>
        </w:rPr>
      </w:pPr>
      <w:r w:rsidRPr="00DE4822">
        <w:rPr>
          <w:lang w:val="fr-FR"/>
        </w:rPr>
        <w:t>11.</w:t>
      </w:r>
      <w:r w:rsidRPr="00DE4822">
        <w:rPr>
          <w:lang w:val="fr-FR"/>
        </w:rPr>
        <w:tab/>
        <w:t>Date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procès</w:t>
      </w:r>
      <w:r w:rsidR="004D15A8">
        <w:rPr>
          <w:lang w:val="fr-FR"/>
        </w:rPr>
        <w:t>-</w:t>
      </w:r>
      <w:r w:rsidRPr="00DE4822">
        <w:rPr>
          <w:lang w:val="fr-FR"/>
        </w:rPr>
        <w:t>verbal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délivré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service</w:t>
      </w:r>
      <w:r w:rsidRPr="00DE4822">
        <w:rPr>
          <w:lang w:val="fr-FR"/>
        </w:rPr>
        <w:tab/>
      </w:r>
    </w:p>
    <w:p w:rsidR="005F0772" w:rsidRPr="00DE4822" w:rsidRDefault="005F0772" w:rsidP="00E2171F">
      <w:pPr>
        <w:pStyle w:val="SingleTxtG"/>
        <w:tabs>
          <w:tab w:val="left" w:pos="1701"/>
          <w:tab w:val="right" w:leader="dot" w:pos="8505"/>
        </w:tabs>
        <w:ind w:left="1701" w:hanging="567"/>
        <w:rPr>
          <w:lang w:val="fr-FR"/>
        </w:rPr>
      </w:pPr>
      <w:r w:rsidRPr="00DE4822">
        <w:rPr>
          <w:lang w:val="fr-FR"/>
        </w:rPr>
        <w:t>12.</w:t>
      </w:r>
      <w:r w:rsidRPr="00DE4822">
        <w:rPr>
          <w:lang w:val="fr-FR"/>
        </w:rPr>
        <w:tab/>
        <w:t>Numéro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procès</w:t>
      </w:r>
      <w:r w:rsidR="004D15A8">
        <w:rPr>
          <w:lang w:val="fr-FR"/>
        </w:rPr>
        <w:t>-</w:t>
      </w:r>
      <w:r w:rsidRPr="00DE4822">
        <w:rPr>
          <w:lang w:val="fr-FR"/>
        </w:rPr>
        <w:t>verbal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délivré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service</w:t>
      </w:r>
      <w:r w:rsidRPr="00DE4822">
        <w:rPr>
          <w:lang w:val="fr-FR"/>
        </w:rPr>
        <w:tab/>
      </w:r>
    </w:p>
    <w:p w:rsidR="005F0772" w:rsidRPr="00DE4822" w:rsidRDefault="005F0772" w:rsidP="00E2171F">
      <w:pPr>
        <w:pStyle w:val="SingleTxtG"/>
        <w:tabs>
          <w:tab w:val="left" w:pos="1701"/>
          <w:tab w:val="right" w:leader="dot" w:pos="8505"/>
        </w:tabs>
        <w:ind w:left="1701" w:hanging="567"/>
        <w:rPr>
          <w:lang w:val="fr-FR"/>
        </w:rPr>
      </w:pPr>
      <w:r w:rsidRPr="00DE4822">
        <w:rPr>
          <w:lang w:val="fr-FR"/>
        </w:rPr>
        <w:t>13.</w:t>
      </w:r>
      <w:r w:rsidRPr="00DE4822">
        <w:rPr>
          <w:lang w:val="fr-FR"/>
        </w:rPr>
        <w:tab/>
        <w:t>L’homologation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accordée/refusée/étendue/retirée</w:t>
      </w:r>
      <w:r w:rsidRPr="004E7881">
        <w:rPr>
          <w:rStyle w:val="FootnoteReference"/>
        </w:rPr>
        <w:t>2</w:t>
      </w:r>
      <w:r w:rsidRPr="00DE4822">
        <w:rPr>
          <w:lang w:val="fr-FR"/>
        </w:rPr>
        <w:tab/>
      </w:r>
    </w:p>
    <w:p w:rsidR="005F0772" w:rsidRPr="00DE4822" w:rsidRDefault="005F0772" w:rsidP="00F87466">
      <w:pPr>
        <w:pStyle w:val="SingleTxtG"/>
        <w:tabs>
          <w:tab w:val="left" w:pos="1701"/>
          <w:tab w:val="right" w:leader="dot" w:pos="8505"/>
        </w:tabs>
        <w:ind w:left="1701" w:hanging="567"/>
        <w:rPr>
          <w:lang w:val="fr-FR"/>
        </w:rPr>
      </w:pPr>
      <w:r w:rsidRPr="00DE4822">
        <w:rPr>
          <w:lang w:val="fr-FR"/>
        </w:rPr>
        <w:t>14.</w:t>
      </w:r>
      <w:r w:rsidRPr="00DE4822">
        <w:rPr>
          <w:lang w:val="fr-FR"/>
        </w:rPr>
        <w:tab/>
        <w:t>Emplacement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marque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Pr="00DE4822">
        <w:rPr>
          <w:lang w:val="fr-FR"/>
        </w:rPr>
        <w:tab/>
      </w:r>
    </w:p>
    <w:p w:rsidR="005F0772" w:rsidRPr="00DE4822" w:rsidRDefault="005F0772" w:rsidP="00E2171F">
      <w:pPr>
        <w:pStyle w:val="SingleTxtG"/>
        <w:tabs>
          <w:tab w:val="left" w:pos="1701"/>
          <w:tab w:val="right" w:leader="dot" w:pos="8505"/>
        </w:tabs>
        <w:ind w:left="1701" w:hanging="567"/>
        <w:rPr>
          <w:lang w:val="fr-FR"/>
        </w:rPr>
      </w:pPr>
      <w:r w:rsidRPr="00DE4822">
        <w:rPr>
          <w:lang w:val="fr-FR"/>
        </w:rPr>
        <w:t>15.</w:t>
      </w:r>
      <w:r w:rsidRPr="00DE4822">
        <w:rPr>
          <w:lang w:val="fr-FR"/>
        </w:rPr>
        <w:tab/>
        <w:t>Fait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Pr="00DE4822">
        <w:rPr>
          <w:lang w:val="fr-FR"/>
        </w:rPr>
        <w:tab/>
      </w:r>
    </w:p>
    <w:p w:rsidR="005F0772" w:rsidRPr="00DE4822" w:rsidRDefault="005F0772" w:rsidP="00E2171F">
      <w:pPr>
        <w:pStyle w:val="SingleTxtG"/>
        <w:tabs>
          <w:tab w:val="left" w:pos="1701"/>
          <w:tab w:val="right" w:leader="dot" w:pos="8505"/>
        </w:tabs>
        <w:ind w:left="1701" w:hanging="567"/>
        <w:rPr>
          <w:lang w:val="fr-FR"/>
        </w:rPr>
      </w:pPr>
      <w:r w:rsidRPr="00DE4822">
        <w:rPr>
          <w:lang w:val="fr-FR"/>
        </w:rPr>
        <w:t>16.</w:t>
      </w:r>
      <w:r w:rsidRPr="00DE4822">
        <w:rPr>
          <w:lang w:val="fr-FR"/>
        </w:rPr>
        <w:tab/>
        <w:t>Date</w:t>
      </w:r>
      <w:r w:rsidRPr="00DE4822">
        <w:rPr>
          <w:lang w:val="fr-FR"/>
        </w:rPr>
        <w:tab/>
      </w:r>
    </w:p>
    <w:p w:rsidR="005F0772" w:rsidRPr="00DE4822" w:rsidRDefault="005F0772" w:rsidP="00E2171F">
      <w:pPr>
        <w:pStyle w:val="SingleTxtG"/>
        <w:tabs>
          <w:tab w:val="left" w:pos="1701"/>
          <w:tab w:val="right" w:leader="dot" w:pos="8505"/>
        </w:tabs>
        <w:ind w:left="1701" w:hanging="567"/>
        <w:rPr>
          <w:lang w:val="fr-FR"/>
        </w:rPr>
      </w:pPr>
      <w:r w:rsidRPr="00DE4822">
        <w:rPr>
          <w:lang w:val="fr-FR"/>
        </w:rPr>
        <w:t>17.</w:t>
      </w:r>
      <w:r w:rsidRPr="00DE4822">
        <w:rPr>
          <w:lang w:val="fr-FR"/>
        </w:rPr>
        <w:tab/>
        <w:t>Signature</w:t>
      </w:r>
      <w:r w:rsidRPr="00DE4822">
        <w:rPr>
          <w:lang w:val="fr-FR"/>
        </w:rPr>
        <w:tab/>
      </w:r>
    </w:p>
    <w:p w:rsidR="005F0772" w:rsidRPr="00DE4822" w:rsidRDefault="005F0772" w:rsidP="00E2171F">
      <w:pPr>
        <w:pStyle w:val="SingleTxtG"/>
        <w:tabs>
          <w:tab w:val="left" w:pos="1701"/>
          <w:tab w:val="right" w:leader="dot" w:pos="8505"/>
        </w:tabs>
        <w:ind w:left="1701" w:hanging="567"/>
        <w:rPr>
          <w:lang w:val="fr-FR"/>
        </w:rPr>
      </w:pPr>
      <w:r w:rsidRPr="00DE4822">
        <w:rPr>
          <w:lang w:val="fr-FR"/>
        </w:rPr>
        <w:t>18.</w:t>
      </w:r>
      <w:r w:rsidRPr="00DE4822">
        <w:rPr>
          <w:lang w:val="fr-FR"/>
        </w:rPr>
        <w:tab/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liste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documents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dossier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déposé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auprès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services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administratifs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ayant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délivré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l’homologation,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figure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annexe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cette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communication,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obtenue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demande.</w:t>
      </w:r>
    </w:p>
    <w:p w:rsidR="005F0772" w:rsidRPr="00DE4822" w:rsidRDefault="005F0772" w:rsidP="005F0772">
      <w:pPr>
        <w:rPr>
          <w:sz w:val="18"/>
          <w:szCs w:val="18"/>
          <w:lang w:val="fr-FR"/>
        </w:rPr>
      </w:pPr>
    </w:p>
    <w:p w:rsidR="00D858FA" w:rsidRPr="00DE4822" w:rsidRDefault="00D858FA" w:rsidP="005F0772">
      <w:pPr>
        <w:sectPr w:rsidR="00D858FA" w:rsidRPr="00DE4822" w:rsidSect="005F0772">
          <w:headerReference w:type="even" r:id="rId16"/>
          <w:headerReference w:type="default" r:id="rId17"/>
          <w:footerReference w:type="even" r:id="rId18"/>
          <w:footerReference w:type="default" r:id="rId19"/>
          <w:footnotePr>
            <w:numRestart w:val="eachSect"/>
          </w:footnotePr>
          <w:endnotePr>
            <w:numFmt w:val="decimal"/>
          </w:endnotePr>
          <w:pgSz w:w="11907" w:h="16840" w:code="9"/>
          <w:pgMar w:top="1417" w:right="1134" w:bottom="1134" w:left="1134" w:header="680" w:footer="567" w:gutter="0"/>
          <w:cols w:space="720"/>
          <w:docGrid w:linePitch="272"/>
        </w:sectPr>
      </w:pPr>
    </w:p>
    <w:p w:rsidR="00D858FA" w:rsidRPr="00DE4822" w:rsidRDefault="00D858FA" w:rsidP="00026736">
      <w:pPr>
        <w:pStyle w:val="HChG"/>
        <w:rPr>
          <w:lang w:val="fr-FR"/>
        </w:rPr>
      </w:pPr>
      <w:r w:rsidRPr="00DE4822">
        <w:rPr>
          <w:lang w:val="fr-FR"/>
        </w:rPr>
        <w:lastRenderedPageBreak/>
        <w:t>Annexe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2</w:t>
      </w:r>
    </w:p>
    <w:p w:rsidR="00D858FA" w:rsidRPr="00DE4822" w:rsidRDefault="00026736" w:rsidP="00026736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D858FA" w:rsidRPr="00DE4822">
        <w:rPr>
          <w:lang w:val="fr-FR"/>
        </w:rPr>
        <w:t>Exemples</w:t>
      </w:r>
      <w:r w:rsidR="00EC442C">
        <w:rPr>
          <w:lang w:val="fr-FR"/>
        </w:rPr>
        <w:t xml:space="preserve"> </w:t>
      </w:r>
      <w:r w:rsidR="00D858FA"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="00D858FA" w:rsidRPr="00DE4822">
        <w:rPr>
          <w:lang w:val="fr-FR"/>
        </w:rPr>
        <w:t>marque</w:t>
      </w:r>
      <w:r w:rsidR="00EC442C">
        <w:rPr>
          <w:lang w:val="fr-FR"/>
        </w:rPr>
        <w:t xml:space="preserve"> </w:t>
      </w:r>
      <w:r w:rsidR="00D858FA" w:rsidRPr="00DE4822">
        <w:rPr>
          <w:lang w:val="fr-FR"/>
        </w:rPr>
        <w:t>d’homologation</w:t>
      </w:r>
    </w:p>
    <w:p w:rsidR="00D858FA" w:rsidRDefault="00D858FA" w:rsidP="00C4594F">
      <w:pPr>
        <w:pStyle w:val="Heading1"/>
        <w:spacing w:after="120"/>
        <w:rPr>
          <w:lang w:val="fr-FR"/>
        </w:rPr>
      </w:pPr>
      <w:r w:rsidRPr="00DE4822">
        <w:rPr>
          <w:lang w:val="fr-FR"/>
        </w:rPr>
        <w:t>Modèle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</w:t>
      </w:r>
      <w:r w:rsidR="00C4594F">
        <w:rPr>
          <w:lang w:val="fr-FR"/>
        </w:rPr>
        <w:br/>
      </w:r>
      <w:r w:rsidRPr="00DE4822">
        <w:rPr>
          <w:lang w:val="fr-FR"/>
        </w:rPr>
        <w:t>(Voir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4.4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Règlement)</w:t>
      </w:r>
    </w:p>
    <w:p w:rsidR="009D336D" w:rsidRPr="00DE4822" w:rsidRDefault="00B93517" w:rsidP="00026736">
      <w:pPr>
        <w:pStyle w:val="SingleTxtG"/>
        <w:rPr>
          <w:lang w:val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F753E84" wp14:editId="4FEC4A8F">
                <wp:simplePos x="0" y="0"/>
                <wp:positionH relativeFrom="column">
                  <wp:posOffset>2822027</wp:posOffset>
                </wp:positionH>
                <wp:positionV relativeFrom="paragraph">
                  <wp:posOffset>308610</wp:posOffset>
                </wp:positionV>
                <wp:extent cx="1828800" cy="288098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80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1FBA" w:rsidRPr="009D336D" w:rsidRDefault="00BD1FB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D336D">
                              <w:rPr>
                                <w:b/>
                                <w:bCs/>
                                <w:iCs/>
                                <w:sz w:val="40"/>
                                <w:szCs w:val="40"/>
                              </w:rPr>
                              <w:t>79 R - 022439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53E84" id="Zone de texte 22" o:spid="_x0000_s1031" type="#_x0000_t202" style="position:absolute;left:0;text-align:left;margin-left:222.2pt;margin-top:24.3pt;width:2in;height:22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" filled="f" stroked="f" strokeweight=".5pt">
                <v:textbox inset="0,0,0,0">
                  <w:txbxContent>
                    <w:p w:rsidR="00BD1FBA" w:rsidRPr="009D336D" w:rsidRDefault="00BD1FBA">
                      <w:pPr>
                        <w:rPr>
                          <w:sz w:val="40"/>
                          <w:szCs w:val="40"/>
                        </w:rPr>
                      </w:pPr>
                      <w:r w:rsidRPr="009D336D">
                        <w:rPr>
                          <w:b/>
                          <w:bCs/>
                          <w:iCs/>
                          <w:sz w:val="40"/>
                          <w:szCs w:val="40"/>
                        </w:rPr>
                        <w:t>79 R - 022439</w:t>
                      </w:r>
                    </w:p>
                  </w:txbxContent>
                </v:textbox>
              </v:shape>
            </w:pict>
          </mc:Fallback>
        </mc:AlternateContent>
      </w:r>
      <w:r w:rsidR="009D336D">
        <w:rPr>
          <w:noProof/>
          <w:lang w:eastAsia="fr-CH"/>
        </w:rPr>
        <w:drawing>
          <wp:inline distT="0" distB="0" distL="0" distR="0" wp14:anchorId="53EEBBBF" wp14:editId="08A56528">
            <wp:extent cx="4678680" cy="927100"/>
            <wp:effectExtent l="0" t="0" r="7620" b="635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8FA" w:rsidRPr="00DE4822" w:rsidRDefault="00D858FA" w:rsidP="00B93517">
      <w:pPr>
        <w:pStyle w:val="SingleTxtG"/>
        <w:jc w:val="right"/>
        <w:rPr>
          <w:lang w:val="fr-FR"/>
        </w:rPr>
      </w:pPr>
      <w:r w:rsidRPr="00DE4822">
        <w:rPr>
          <w:lang w:val="fr-FR"/>
        </w:rPr>
        <w:t>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=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8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mm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min</w:t>
      </w:r>
    </w:p>
    <w:p w:rsidR="00D858FA" w:rsidRPr="00DE4822" w:rsidRDefault="00D858FA" w:rsidP="00A45907">
      <w:pPr>
        <w:pStyle w:val="SingleTxtG"/>
        <w:ind w:firstLine="567"/>
        <w:rPr>
          <w:lang w:val="fr-FR"/>
        </w:rPr>
      </w:pP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marque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ci</w:t>
      </w:r>
      <w:r w:rsidR="004D15A8">
        <w:rPr>
          <w:lang w:val="fr-FR"/>
        </w:rPr>
        <w:t>-</w:t>
      </w:r>
      <w:r w:rsidRPr="00DE4822">
        <w:rPr>
          <w:lang w:val="fr-FR"/>
        </w:rPr>
        <w:t>dessus,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apposée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type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homologué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Pays</w:t>
      </w:r>
      <w:r w:rsidR="004D15A8">
        <w:rPr>
          <w:lang w:val="fr-FR"/>
        </w:rPr>
        <w:t>-</w:t>
      </w:r>
      <w:r w:rsidRPr="00DE4822">
        <w:rPr>
          <w:lang w:val="fr-FR"/>
        </w:rPr>
        <w:t>Bas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(E</w:t>
      </w:r>
      <w:r w:rsidR="00D67D23">
        <w:rPr>
          <w:lang w:val="fr-FR"/>
        </w:rPr>
        <w:t> </w:t>
      </w:r>
      <w:r w:rsidRPr="00DE4822">
        <w:rPr>
          <w:lang w:val="fr-FR"/>
        </w:rPr>
        <w:t>4),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concerne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application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ONU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</w:t>
      </w:r>
      <w:r w:rsidRPr="00DE4822">
        <w:rPr>
          <w:vertAlign w:val="superscript"/>
          <w:lang w:val="fr-FR"/>
        </w:rPr>
        <w:t>o</w:t>
      </w:r>
      <w:r w:rsidR="00D67D23">
        <w:rPr>
          <w:lang w:val="fr-FR"/>
        </w:rPr>
        <w:t> </w:t>
      </w:r>
      <w:r w:rsidRPr="00DE4822">
        <w:rPr>
          <w:lang w:val="fr-FR"/>
        </w:rPr>
        <w:t>79,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numéro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022439.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numéro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délivrée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conformément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ONU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</w:t>
      </w:r>
      <w:r w:rsidRPr="00DE4822">
        <w:rPr>
          <w:vertAlign w:val="superscript"/>
          <w:lang w:val="fr-FR"/>
        </w:rPr>
        <w:t>o</w:t>
      </w:r>
      <w:r w:rsidR="00D67D23">
        <w:rPr>
          <w:lang w:val="fr-FR"/>
        </w:rPr>
        <w:t> </w:t>
      </w:r>
      <w:r w:rsidRPr="00DE4822">
        <w:rPr>
          <w:lang w:val="fr-FR"/>
        </w:rPr>
        <w:t>79,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alors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série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02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d’amendements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y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avait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déjà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incorporée.</w:t>
      </w:r>
    </w:p>
    <w:p w:rsidR="00D858FA" w:rsidRPr="00DE4822" w:rsidRDefault="00D858FA" w:rsidP="00C4594F">
      <w:pPr>
        <w:pStyle w:val="Heading1"/>
        <w:spacing w:after="120"/>
        <w:rPr>
          <w:lang w:val="fr-FR"/>
        </w:rPr>
      </w:pPr>
      <w:r w:rsidRPr="00DE4822">
        <w:rPr>
          <w:lang w:val="fr-FR"/>
        </w:rPr>
        <w:t>Modèle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</w:t>
      </w:r>
      <w:r w:rsidR="00C4594F">
        <w:rPr>
          <w:lang w:val="fr-FR"/>
        </w:rPr>
        <w:br/>
      </w:r>
      <w:r w:rsidRPr="00DE4822">
        <w:rPr>
          <w:lang w:val="fr-FR"/>
        </w:rPr>
        <w:t>(Voir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4.5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Règlement)</w:t>
      </w:r>
    </w:p>
    <w:p w:rsidR="00D858FA" w:rsidRPr="00DE4822" w:rsidRDefault="00F73BE1" w:rsidP="00F73BE1">
      <w:pPr>
        <w:pStyle w:val="SingleTxtG"/>
        <w:rPr>
          <w:lang w:val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2749620</wp:posOffset>
                </wp:positionH>
                <wp:positionV relativeFrom="paragraph">
                  <wp:posOffset>214760</wp:posOffset>
                </wp:positionV>
                <wp:extent cx="1747380" cy="588724"/>
                <wp:effectExtent l="0" t="0" r="0" b="190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7380" cy="5887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301"/>
                              <w:gridCol w:w="1367"/>
                            </w:tblGrid>
                            <w:tr w:rsidR="00BD1FBA" w:rsidTr="00BD1FBA">
                              <w:tc>
                                <w:tcPr>
                                  <w:tcW w:w="1406" w:type="dxa"/>
                                </w:tcPr>
                                <w:p w:rsidR="00BD1FBA" w:rsidRDefault="00BD1FBA" w:rsidP="00F73BE1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 w:rsidR="00BD1FBA" w:rsidRDefault="00BD1FBA" w:rsidP="00F73BE1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022439</w:t>
                                  </w:r>
                                </w:p>
                              </w:tc>
                            </w:tr>
                            <w:tr w:rsidR="00BD1FBA" w:rsidTr="00BD1FBA">
                              <w:tc>
                                <w:tcPr>
                                  <w:tcW w:w="1406" w:type="dxa"/>
                                </w:tcPr>
                                <w:p w:rsidR="00BD1FBA" w:rsidRDefault="00BD1FBA" w:rsidP="00F73BE1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 w:rsidR="00BD1FBA" w:rsidRDefault="00BD1FBA" w:rsidP="00F73BE1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021628</w:t>
                                  </w:r>
                                </w:p>
                              </w:tc>
                            </w:tr>
                          </w:tbl>
                          <w:p w:rsidR="00BD1FBA" w:rsidRDefault="00BD1FBA" w:rsidP="00F73BE1"/>
                          <w:p w:rsidR="00BD1FBA" w:rsidRDefault="00BD1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4" o:spid="_x0000_s1032" type="#_x0000_t202" style="position:absolute;left:0;text-align:left;margin-left:216.5pt;margin-top:16.9pt;width:137.6pt;height:46.3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" filled="f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301"/>
                        <w:gridCol w:w="1367"/>
                      </w:tblGrid>
                      <w:tr w:rsidR="00BD1FBA" w:rsidTr="00BD1FBA">
                        <w:tc>
                          <w:tcPr>
                            <w:tcW w:w="1406" w:type="dxa"/>
                          </w:tcPr>
                          <w:p w:rsidR="00BD1FBA" w:rsidRDefault="00BD1FBA" w:rsidP="00F73BE1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 w:rsidR="00BD1FBA" w:rsidRDefault="00BD1FBA" w:rsidP="00F73BE1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022439</w:t>
                            </w:r>
                          </w:p>
                        </w:tc>
                      </w:tr>
                      <w:tr w:rsidR="00BD1FBA" w:rsidTr="00BD1FBA">
                        <w:tc>
                          <w:tcPr>
                            <w:tcW w:w="1406" w:type="dxa"/>
                          </w:tcPr>
                          <w:p w:rsidR="00BD1FBA" w:rsidRDefault="00BD1FBA" w:rsidP="00F73BE1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 w:rsidR="00BD1FBA" w:rsidRDefault="00BD1FBA" w:rsidP="00F73BE1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021628</w:t>
                            </w:r>
                          </w:p>
                        </w:tc>
                      </w:tr>
                    </w:tbl>
                    <w:p w:rsidR="00BD1FBA" w:rsidRDefault="00BD1FBA" w:rsidP="00F73BE1"/>
                    <w:p w:rsidR="00BD1FBA" w:rsidRDefault="00BD1FBA"/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w:drawing>
          <wp:inline distT="0" distB="0" distL="0" distR="0">
            <wp:extent cx="4644000" cy="920228"/>
            <wp:effectExtent l="0" t="0" r="444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0" cy="92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8FA" w:rsidRPr="00DE4822" w:rsidRDefault="00D858FA" w:rsidP="00B93517">
      <w:pPr>
        <w:pStyle w:val="SingleTxtG"/>
        <w:jc w:val="right"/>
        <w:rPr>
          <w:lang w:val="fr-FR"/>
        </w:rPr>
      </w:pPr>
      <w:r w:rsidRPr="00DE4822">
        <w:rPr>
          <w:lang w:val="fr-FR"/>
        </w:rPr>
        <w:t>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=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8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mm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min</w:t>
      </w:r>
    </w:p>
    <w:p w:rsidR="00D858FA" w:rsidRPr="00C4594F" w:rsidRDefault="00D858FA" w:rsidP="00A45907">
      <w:pPr>
        <w:pStyle w:val="SingleTxtG"/>
        <w:ind w:firstLine="567"/>
        <w:rPr>
          <w:lang w:val="fr-FR"/>
        </w:rPr>
      </w:pPr>
      <w:r w:rsidRPr="00C4594F">
        <w:rPr>
          <w:lang w:val="fr-FR"/>
        </w:rPr>
        <w:t>La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marque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d’homologation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ci</w:t>
      </w:r>
      <w:r w:rsidR="004D15A8" w:rsidRPr="00C4594F">
        <w:rPr>
          <w:lang w:val="fr-FR"/>
        </w:rPr>
        <w:t>-</w:t>
      </w:r>
      <w:r w:rsidRPr="00C4594F">
        <w:rPr>
          <w:lang w:val="fr-FR"/>
        </w:rPr>
        <w:t>dessus,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apposée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sur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un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véhicule,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indique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que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le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type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de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ce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véhicule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a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été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homologué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aux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Pays</w:t>
      </w:r>
      <w:r w:rsidR="004D15A8" w:rsidRPr="00C4594F">
        <w:rPr>
          <w:lang w:val="fr-FR"/>
        </w:rPr>
        <w:t>-</w:t>
      </w:r>
      <w:r w:rsidRPr="00C4594F">
        <w:rPr>
          <w:lang w:val="fr-FR"/>
        </w:rPr>
        <w:t>Bas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(E</w:t>
      </w:r>
      <w:r w:rsidR="00D67D23">
        <w:rPr>
          <w:lang w:val="fr-FR"/>
        </w:rPr>
        <w:t xml:space="preserve"> </w:t>
      </w:r>
      <w:r w:rsidRPr="00C4594F">
        <w:rPr>
          <w:lang w:val="fr-FR"/>
        </w:rPr>
        <w:t>4),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en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application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des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Règlements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ONU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n</w:t>
      </w:r>
      <w:r w:rsidRPr="00C4594F">
        <w:rPr>
          <w:vertAlign w:val="superscript"/>
          <w:lang w:val="fr-FR"/>
        </w:rPr>
        <w:t>os</w:t>
      </w:r>
      <w:r w:rsidR="00D67D23">
        <w:rPr>
          <w:lang w:val="fr-FR"/>
        </w:rPr>
        <w:t> </w:t>
      </w:r>
      <w:r w:rsidRPr="00C4594F">
        <w:rPr>
          <w:lang w:val="fr-FR"/>
        </w:rPr>
        <w:t>79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et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31</w:t>
      </w:r>
      <w:r w:rsidR="00C4594F">
        <w:rPr>
          <w:rStyle w:val="FootnoteReference"/>
        </w:rPr>
        <w:footnoteReference w:id="9"/>
      </w:r>
      <w:r w:rsidRPr="00C4594F">
        <w:rPr>
          <w:bCs/>
          <w:lang w:val="fr-FR"/>
        </w:rPr>
        <w:t>.</w:t>
      </w:r>
      <w:r w:rsidR="00EC442C" w:rsidRPr="00C4594F">
        <w:rPr>
          <w:bCs/>
          <w:lang w:val="fr-FR"/>
        </w:rPr>
        <w:t xml:space="preserve"> </w:t>
      </w:r>
      <w:r w:rsidRPr="00C4594F">
        <w:rPr>
          <w:lang w:val="fr-FR"/>
        </w:rPr>
        <w:t>Les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numéros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d’homologation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respectifs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indiquent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que,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aux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dates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où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ces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homologations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ont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été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accordées,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le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Règlement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n</w:t>
      </w:r>
      <w:r w:rsidRPr="00C4594F">
        <w:rPr>
          <w:vertAlign w:val="superscript"/>
          <w:lang w:val="fr-FR"/>
        </w:rPr>
        <w:t>o</w:t>
      </w:r>
      <w:r w:rsidR="00D67D23">
        <w:rPr>
          <w:lang w:val="fr-FR"/>
        </w:rPr>
        <w:t> </w:t>
      </w:r>
      <w:r w:rsidRPr="00C4594F">
        <w:rPr>
          <w:lang w:val="fr-FR"/>
        </w:rPr>
        <w:t>79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comprenait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la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série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0</w:t>
      </w:r>
      <w:r w:rsidR="004F6943">
        <w:rPr>
          <w:lang w:val="fr-FR"/>
        </w:rPr>
        <w:t>2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d’amendements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et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le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Règlement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n</w:t>
      </w:r>
      <w:r w:rsidRPr="00C4594F">
        <w:rPr>
          <w:vertAlign w:val="superscript"/>
          <w:lang w:val="fr-FR"/>
        </w:rPr>
        <w:t>o</w:t>
      </w:r>
      <w:r w:rsidR="00D67D23">
        <w:rPr>
          <w:lang w:val="fr-FR"/>
        </w:rPr>
        <w:t> </w:t>
      </w:r>
      <w:r w:rsidRPr="00C4594F">
        <w:rPr>
          <w:lang w:val="fr-FR"/>
        </w:rPr>
        <w:t>31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comprenait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la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série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0</w:t>
      </w:r>
      <w:r w:rsidR="004F6943">
        <w:rPr>
          <w:lang w:val="fr-FR"/>
        </w:rPr>
        <w:t>2</w:t>
      </w:r>
      <w:r w:rsidR="00EC442C" w:rsidRPr="00C4594F">
        <w:rPr>
          <w:lang w:val="fr-FR"/>
        </w:rPr>
        <w:t xml:space="preserve"> </w:t>
      </w:r>
      <w:r w:rsidRPr="00C4594F">
        <w:rPr>
          <w:lang w:val="fr-FR"/>
        </w:rPr>
        <w:t>d’amendements.</w:t>
      </w:r>
    </w:p>
    <w:p w:rsidR="00A45907" w:rsidRPr="00DE4822" w:rsidRDefault="00A45907" w:rsidP="00D858FA">
      <w:pPr>
        <w:rPr>
          <w:sz w:val="18"/>
          <w:szCs w:val="18"/>
          <w:lang w:val="fr-FR"/>
        </w:rPr>
      </w:pPr>
    </w:p>
    <w:p w:rsidR="00B249BA" w:rsidRPr="00DE4822" w:rsidRDefault="00B249BA" w:rsidP="00D858FA">
      <w:pPr>
        <w:sectPr w:rsidR="00B249BA" w:rsidRPr="00DE4822" w:rsidSect="00D858FA">
          <w:headerReference w:type="even" r:id="rId21"/>
          <w:headerReference w:type="default" r:id="rId22"/>
          <w:footerReference w:type="even" r:id="rId23"/>
          <w:footerReference w:type="default" r:id="rId24"/>
          <w:footnotePr>
            <w:numRestart w:val="eachSect"/>
          </w:footnotePr>
          <w:endnotePr>
            <w:numFmt w:val="decimal"/>
          </w:endnotePr>
          <w:pgSz w:w="11907" w:h="16840" w:code="9"/>
          <w:pgMar w:top="1417" w:right="1134" w:bottom="1134" w:left="1134" w:header="680" w:footer="567" w:gutter="0"/>
          <w:cols w:space="720"/>
          <w:docGrid w:linePitch="272"/>
        </w:sectPr>
      </w:pPr>
    </w:p>
    <w:p w:rsidR="00B249BA" w:rsidRPr="00DE4822" w:rsidRDefault="00B249BA" w:rsidP="004A5F51">
      <w:pPr>
        <w:pStyle w:val="HChG"/>
        <w:rPr>
          <w:lang w:val="fr-FR"/>
        </w:rPr>
      </w:pPr>
      <w:r w:rsidRPr="00DE4822">
        <w:rPr>
          <w:lang w:val="fr-FR"/>
        </w:rPr>
        <w:lastRenderedPageBreak/>
        <w:t>Annexe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3</w:t>
      </w:r>
    </w:p>
    <w:p w:rsidR="00B249BA" w:rsidRPr="00DE4822" w:rsidRDefault="004A5F51" w:rsidP="004A5F51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B249BA" w:rsidRPr="00DE4822">
        <w:rPr>
          <w:lang w:val="fr-FR"/>
        </w:rPr>
        <w:t>Efficacité</w:t>
      </w:r>
      <w:r w:rsidR="00EC442C">
        <w:rPr>
          <w:lang w:val="fr-FR"/>
        </w:rPr>
        <w:t xml:space="preserve"> </w:t>
      </w:r>
      <w:r w:rsidR="00B249BA"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="00B249BA" w:rsidRPr="00DE4822">
        <w:rPr>
          <w:lang w:val="fr-FR"/>
        </w:rPr>
        <w:t>freinage</w:t>
      </w:r>
      <w:r w:rsidR="00EC442C">
        <w:rPr>
          <w:lang w:val="fr-FR"/>
        </w:rPr>
        <w:t xml:space="preserve"> </w:t>
      </w:r>
      <w:r w:rsidR="00B249BA"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="00B249BA" w:rsidRPr="00DE4822">
        <w:rPr>
          <w:lang w:val="fr-FR"/>
        </w:rPr>
        <w:t>véhicules</w:t>
      </w:r>
      <w:r w:rsidR="00EC442C">
        <w:rPr>
          <w:lang w:val="fr-FR"/>
        </w:rPr>
        <w:t xml:space="preserve"> </w:t>
      </w:r>
      <w:r w:rsidR="00B249BA" w:rsidRPr="00DE4822">
        <w:rPr>
          <w:lang w:val="fr-FR"/>
        </w:rPr>
        <w:t>utilisant</w:t>
      </w:r>
      <w:r w:rsidR="00EC442C">
        <w:rPr>
          <w:lang w:val="fr-FR"/>
        </w:rPr>
        <w:t xml:space="preserve"> </w:t>
      </w:r>
      <w:r w:rsidR="00B249BA"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="00B249BA" w:rsidRPr="00DE4822">
        <w:rPr>
          <w:lang w:val="fr-FR"/>
        </w:rPr>
        <w:t>même</w:t>
      </w:r>
      <w:r w:rsidR="00EC442C">
        <w:rPr>
          <w:lang w:val="fr-FR"/>
        </w:rPr>
        <w:t xml:space="preserve"> </w:t>
      </w:r>
      <w:r w:rsidR="00B249BA" w:rsidRPr="00DE4822">
        <w:rPr>
          <w:lang w:val="fr-FR"/>
        </w:rPr>
        <w:t>source</w:t>
      </w:r>
      <w:r w:rsidR="00EC442C">
        <w:rPr>
          <w:lang w:val="fr-FR"/>
        </w:rPr>
        <w:t xml:space="preserve"> </w:t>
      </w:r>
      <w:r w:rsidR="00B249BA" w:rsidRPr="00DE4822">
        <w:rPr>
          <w:lang w:val="fr-FR"/>
        </w:rPr>
        <w:t>d’énergie</w:t>
      </w:r>
      <w:r w:rsidR="00EC442C">
        <w:rPr>
          <w:lang w:val="fr-FR"/>
        </w:rPr>
        <w:t xml:space="preserve"> </w:t>
      </w:r>
      <w:r w:rsidR="00B249BA"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="00B249BA" w:rsidRPr="00DE4822">
        <w:rPr>
          <w:lang w:val="fr-FR"/>
        </w:rPr>
        <w:t>alimenter</w:t>
      </w:r>
      <w:r w:rsidR="00EC442C">
        <w:rPr>
          <w:lang w:val="fr-FR"/>
        </w:rPr>
        <w:t xml:space="preserve"> </w:t>
      </w:r>
      <w:r w:rsidR="00B249BA" w:rsidRPr="00DE4822">
        <w:rPr>
          <w:lang w:val="fr-FR"/>
        </w:rPr>
        <w:t>l’équipement</w:t>
      </w:r>
      <w:r w:rsidR="00EC442C">
        <w:rPr>
          <w:lang w:val="fr-FR"/>
        </w:rPr>
        <w:t xml:space="preserve"> </w:t>
      </w:r>
      <w:r w:rsidR="00B249BA"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="00B249BA"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="00B249BA" w:rsidRPr="00DE4822">
        <w:rPr>
          <w:lang w:val="fr-FR"/>
        </w:rPr>
        <w:t>et</w:t>
      </w:r>
      <w:r>
        <w:rPr>
          <w:lang w:val="fr-FR"/>
        </w:rPr>
        <w:t> </w:t>
      </w:r>
      <w:r w:rsidR="00B249BA"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="00B249BA"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="00B249BA"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="00B249BA" w:rsidRPr="00DE4822">
        <w:rPr>
          <w:lang w:val="fr-FR"/>
        </w:rPr>
        <w:t>freinage</w:t>
      </w:r>
    </w:p>
    <w:p w:rsidR="00B249BA" w:rsidRPr="00DE4822" w:rsidRDefault="00B249BA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1.</w:t>
      </w:r>
      <w:r w:rsidRPr="00DE4822">
        <w:rPr>
          <w:lang w:val="fr-FR"/>
        </w:rPr>
        <w:tab/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essais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effectués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conformément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annexe,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conforme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suivantes</w:t>
      </w:r>
      <w:r w:rsidR="00EC442C">
        <w:rPr>
          <w:lang w:val="fr-FR"/>
        </w:rPr>
        <w:t> :</w:t>
      </w:r>
    </w:p>
    <w:p w:rsidR="00B249BA" w:rsidRPr="00DE4822" w:rsidRDefault="00B249BA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1.1</w:t>
      </w:r>
      <w:r w:rsidRPr="00DE4822">
        <w:rPr>
          <w:lang w:val="fr-FR"/>
        </w:rPr>
        <w:tab/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chargé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jusqu’à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maximale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techniquement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autorisée,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répartie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essieux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conformément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déclaration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constructeur.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S’il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prévu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répartie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différentes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façons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essieux,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répartition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maximale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essieux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essieu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proportionnelle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maximale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autorisée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essieu.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tracteurs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semi</w:t>
      </w:r>
      <w:r w:rsidR="004D15A8">
        <w:rPr>
          <w:lang w:val="fr-FR"/>
        </w:rPr>
        <w:t>-</w:t>
      </w:r>
      <w:r w:rsidRPr="00DE4822">
        <w:rPr>
          <w:lang w:val="fr-FR"/>
        </w:rPr>
        <w:t>remorques,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repositionnée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environ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mi</w:t>
      </w:r>
      <w:r w:rsidR="004D15A8">
        <w:rPr>
          <w:lang w:val="fr-FR"/>
        </w:rPr>
        <w:t>-</w:t>
      </w:r>
      <w:r w:rsidRPr="00DE4822">
        <w:rPr>
          <w:lang w:val="fr-FR"/>
        </w:rPr>
        <w:t>chemin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position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pivot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d’attelage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résultant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conditions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chargement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ci</w:t>
      </w:r>
      <w:r w:rsidR="004D15A8">
        <w:rPr>
          <w:lang w:val="fr-FR"/>
        </w:rPr>
        <w:t>-</w:t>
      </w:r>
      <w:r w:rsidRPr="00DE4822">
        <w:rPr>
          <w:lang w:val="fr-FR"/>
        </w:rPr>
        <w:t>dessus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longitudinal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l’essieu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essieux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arrière</w:t>
      </w:r>
      <w:r w:rsidR="00EC442C">
        <w:rPr>
          <w:lang w:val="fr-FR"/>
        </w:rPr>
        <w:t> ;</w:t>
      </w:r>
    </w:p>
    <w:p w:rsidR="00B249BA" w:rsidRPr="00DE4822" w:rsidRDefault="00B249BA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1.2</w:t>
      </w:r>
      <w:r w:rsidRPr="00DE4822">
        <w:rPr>
          <w:lang w:val="fr-FR"/>
        </w:rPr>
        <w:tab/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pneumatiques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gonflés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pression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gonflage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froid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qu’ils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supporter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lorsque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l’arrêt</w:t>
      </w:r>
      <w:r w:rsidR="00EC442C">
        <w:rPr>
          <w:lang w:val="fr-FR"/>
        </w:rPr>
        <w:t> ;</w:t>
      </w:r>
    </w:p>
    <w:p w:rsidR="00B249BA" w:rsidRPr="00DE4822" w:rsidRDefault="00B249BA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1.3</w:t>
      </w:r>
      <w:r w:rsidRPr="00DE4822">
        <w:rPr>
          <w:lang w:val="fr-FR"/>
        </w:rPr>
        <w:tab/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début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essais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freins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froids,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c’est</w:t>
      </w:r>
      <w:r w:rsidR="004D15A8">
        <w:rPr>
          <w:lang w:val="fr-FR"/>
        </w:rPr>
        <w:t>-</w:t>
      </w:r>
      <w:r w:rsidRPr="00DE4822">
        <w:rPr>
          <w:lang w:val="fr-FR"/>
        </w:rPr>
        <w:t>à</w:t>
      </w:r>
      <w:r w:rsidR="004D15A8">
        <w:rPr>
          <w:lang w:val="fr-FR"/>
        </w:rPr>
        <w:t>-</w:t>
      </w:r>
      <w:r w:rsidRPr="00DE4822">
        <w:rPr>
          <w:lang w:val="fr-FR"/>
        </w:rPr>
        <w:t>dire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température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extérieure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disques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tambours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inférieure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100</w:t>
      </w:r>
      <w:r w:rsidR="004A5F51">
        <w:rPr>
          <w:lang w:val="fr-FR"/>
        </w:rPr>
        <w:t> </w:t>
      </w:r>
      <w:r w:rsidRPr="00DE4822">
        <w:rPr>
          <w:lang w:val="fr-FR"/>
        </w:rPr>
        <w:t>°C.</w:t>
      </w:r>
    </w:p>
    <w:p w:rsidR="00B249BA" w:rsidRPr="00DE4822" w:rsidRDefault="00B249BA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</w:t>
      </w:r>
      <w:r w:rsidRPr="00DE4822">
        <w:rPr>
          <w:lang w:val="fr-FR"/>
        </w:rPr>
        <w:tab/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source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d’énergie,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l’efficacité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frein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service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atteindre,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premier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freinage,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valeurs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indiquées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tableau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ci</w:t>
      </w:r>
      <w:r w:rsidR="004A5F51">
        <w:rPr>
          <w:lang w:val="fr-FR"/>
        </w:rPr>
        <w:noBreakHyphen/>
      </w:r>
      <w:r w:rsidRPr="00DE4822">
        <w:rPr>
          <w:lang w:val="fr-FR"/>
        </w:rPr>
        <w:t>dessous.</w:t>
      </w:r>
    </w:p>
    <w:p w:rsidR="00B249BA" w:rsidRPr="00DE4822" w:rsidRDefault="00B249BA" w:rsidP="00033C0C">
      <w:pPr>
        <w:pStyle w:val="Heading1"/>
        <w:spacing w:after="120"/>
        <w:rPr>
          <w:lang w:val="fr-FR"/>
        </w:rPr>
      </w:pPr>
      <w:r w:rsidRPr="00DE4822">
        <w:rPr>
          <w:lang w:val="fr-FR"/>
        </w:rPr>
        <w:t>Tableau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3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552"/>
        <w:gridCol w:w="1696"/>
        <w:gridCol w:w="1975"/>
        <w:gridCol w:w="1975"/>
      </w:tblGrid>
      <w:tr w:rsidR="00B249BA" w:rsidRPr="00B002F9" w:rsidTr="00CD5EC5">
        <w:trPr>
          <w:tblHeader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BA" w:rsidRPr="00B002F9" w:rsidRDefault="00B249BA" w:rsidP="00CD5EC5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FR"/>
              </w:rPr>
            </w:pPr>
            <w:r w:rsidRPr="00B002F9">
              <w:rPr>
                <w:i/>
                <w:sz w:val="16"/>
                <w:lang w:val="fr-FR"/>
              </w:rPr>
              <w:t>Catégorie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BA" w:rsidRPr="00B002F9" w:rsidRDefault="00B249BA" w:rsidP="00CD5EC5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FR"/>
              </w:rPr>
            </w:pPr>
            <w:r w:rsidRPr="00B002F9">
              <w:rPr>
                <w:i/>
                <w:sz w:val="16"/>
                <w:lang w:val="fr-FR"/>
              </w:rPr>
              <w:t>V</w:t>
            </w:r>
            <w:r w:rsidR="00EC442C" w:rsidRPr="00B002F9">
              <w:rPr>
                <w:i/>
                <w:sz w:val="16"/>
                <w:lang w:val="fr-FR"/>
              </w:rPr>
              <w:t xml:space="preserve"> </w:t>
            </w:r>
            <w:r w:rsidRPr="00B002F9">
              <w:rPr>
                <w:i/>
                <w:sz w:val="16"/>
                <w:lang w:val="fr-FR"/>
              </w:rPr>
              <w:t>(km/h)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BA" w:rsidRPr="00B002F9" w:rsidRDefault="00B249BA" w:rsidP="00CD5EC5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FR"/>
              </w:rPr>
            </w:pPr>
            <w:r w:rsidRPr="00B002F9">
              <w:rPr>
                <w:i/>
                <w:sz w:val="16"/>
                <w:lang w:val="fr-FR"/>
              </w:rPr>
              <w:t>Frein</w:t>
            </w:r>
            <w:r w:rsidR="00EC442C" w:rsidRPr="00B002F9">
              <w:rPr>
                <w:i/>
                <w:sz w:val="16"/>
                <w:lang w:val="fr-FR"/>
              </w:rPr>
              <w:t xml:space="preserve"> </w:t>
            </w:r>
            <w:r w:rsidRPr="00B002F9">
              <w:rPr>
                <w:i/>
                <w:sz w:val="16"/>
                <w:lang w:val="fr-FR"/>
              </w:rPr>
              <w:t>de</w:t>
            </w:r>
            <w:r w:rsidR="00EC442C" w:rsidRPr="00B002F9">
              <w:rPr>
                <w:i/>
                <w:sz w:val="16"/>
                <w:lang w:val="fr-FR"/>
              </w:rPr>
              <w:t xml:space="preserve"> </w:t>
            </w:r>
            <w:r w:rsidRPr="00B002F9">
              <w:rPr>
                <w:i/>
                <w:sz w:val="16"/>
                <w:lang w:val="fr-FR"/>
              </w:rPr>
              <w:t>service</w:t>
            </w:r>
            <w:r w:rsidRPr="00B002F9">
              <w:rPr>
                <w:i/>
                <w:sz w:val="16"/>
                <w:lang w:val="fr-FR"/>
              </w:rPr>
              <w:br/>
              <w:t>(m/s</w:t>
            </w:r>
            <w:r w:rsidRPr="00B002F9">
              <w:rPr>
                <w:i/>
                <w:sz w:val="16"/>
                <w:vertAlign w:val="superscript"/>
                <w:lang w:val="fr-FR"/>
              </w:rPr>
              <w:t>2</w:t>
            </w:r>
            <w:r w:rsidRPr="00B002F9">
              <w:rPr>
                <w:i/>
                <w:sz w:val="16"/>
                <w:lang w:val="fr-FR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BA" w:rsidRPr="00B002F9" w:rsidRDefault="00B249BA" w:rsidP="00CD5EC5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FR"/>
              </w:rPr>
            </w:pPr>
            <w:r w:rsidRPr="00B002F9">
              <w:rPr>
                <w:i/>
                <w:sz w:val="16"/>
                <w:lang w:val="fr-FR"/>
              </w:rPr>
              <w:t>Force</w:t>
            </w:r>
            <w:r w:rsidRPr="00B002F9">
              <w:rPr>
                <w:i/>
                <w:sz w:val="16"/>
                <w:lang w:val="fr-FR"/>
              </w:rPr>
              <w:br/>
              <w:t>(daN)</w:t>
            </w:r>
          </w:p>
        </w:tc>
      </w:tr>
      <w:tr w:rsidR="00B249BA" w:rsidRPr="00B002F9" w:rsidTr="00033C0C"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9BA" w:rsidRPr="00EA71C5" w:rsidRDefault="00B249BA" w:rsidP="00B002F9">
            <w:pPr>
              <w:suppressAutoHyphens w:val="0"/>
              <w:spacing w:before="40" w:after="40" w:line="220" w:lineRule="exact"/>
              <w:ind w:left="57" w:right="57"/>
              <w:rPr>
                <w:i/>
                <w:sz w:val="18"/>
                <w:lang w:val="fr-FR"/>
              </w:rPr>
            </w:pPr>
            <w:r w:rsidRPr="00EA71C5">
              <w:rPr>
                <w:i/>
                <w:sz w:val="18"/>
                <w:lang w:val="fr-FR"/>
              </w:rPr>
              <w:t>M</w:t>
            </w:r>
            <w:r w:rsidRPr="00EA71C5">
              <w:rPr>
                <w:i/>
                <w:sz w:val="18"/>
                <w:vertAlign w:val="subscript"/>
                <w:lang w:val="fr-FR"/>
              </w:rPr>
              <w:t>1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BA" w:rsidRPr="00B002F9" w:rsidRDefault="00B249BA" w:rsidP="00B002F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B002F9">
              <w:rPr>
                <w:sz w:val="18"/>
                <w:lang w:val="fr-FR"/>
              </w:rPr>
              <w:t>100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BA" w:rsidRPr="00B002F9" w:rsidRDefault="00B249BA" w:rsidP="00B002F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B002F9">
              <w:rPr>
                <w:sz w:val="18"/>
                <w:lang w:val="fr-FR"/>
              </w:rPr>
              <w:t>6,43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BA" w:rsidRPr="00B002F9" w:rsidRDefault="00B249BA" w:rsidP="00B002F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B002F9">
              <w:rPr>
                <w:sz w:val="18"/>
                <w:lang w:val="fr-FR"/>
              </w:rPr>
              <w:t>50</w:t>
            </w:r>
          </w:p>
        </w:tc>
      </w:tr>
      <w:tr w:rsidR="00B249BA" w:rsidRPr="00B002F9" w:rsidTr="00033C0C"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9BA" w:rsidRPr="00EA71C5" w:rsidRDefault="00B249BA" w:rsidP="00B002F9">
            <w:pPr>
              <w:suppressAutoHyphens w:val="0"/>
              <w:spacing w:before="40" w:after="40" w:line="220" w:lineRule="exact"/>
              <w:ind w:left="57" w:right="57"/>
              <w:rPr>
                <w:i/>
                <w:sz w:val="18"/>
                <w:lang w:val="fr-FR"/>
              </w:rPr>
            </w:pPr>
            <w:r w:rsidRPr="00EA71C5">
              <w:rPr>
                <w:i/>
                <w:sz w:val="18"/>
                <w:lang w:val="fr-FR"/>
              </w:rPr>
              <w:t>M</w:t>
            </w:r>
            <w:r w:rsidRPr="00EA71C5">
              <w:rPr>
                <w:i/>
                <w:sz w:val="18"/>
                <w:vertAlign w:val="subscript"/>
                <w:lang w:val="fr-FR"/>
              </w:rPr>
              <w:t>2</w:t>
            </w:r>
            <w:r w:rsidR="00EC442C" w:rsidRPr="00EA71C5">
              <w:rPr>
                <w:i/>
                <w:sz w:val="18"/>
                <w:lang w:val="fr-FR"/>
              </w:rPr>
              <w:t xml:space="preserve"> </w:t>
            </w:r>
            <w:r w:rsidRPr="00EA71C5">
              <w:rPr>
                <w:i/>
                <w:sz w:val="18"/>
                <w:lang w:val="fr-FR"/>
              </w:rPr>
              <w:t>et</w:t>
            </w:r>
            <w:r w:rsidR="00EC442C" w:rsidRPr="00EA71C5">
              <w:rPr>
                <w:i/>
                <w:sz w:val="18"/>
                <w:lang w:val="fr-FR"/>
              </w:rPr>
              <w:t xml:space="preserve"> </w:t>
            </w:r>
            <w:r w:rsidRPr="00EA71C5">
              <w:rPr>
                <w:i/>
                <w:sz w:val="18"/>
                <w:lang w:val="fr-FR"/>
              </w:rPr>
              <w:t>M</w:t>
            </w:r>
            <w:r w:rsidRPr="00EA71C5">
              <w:rPr>
                <w:i/>
                <w:sz w:val="18"/>
                <w:vertAlign w:val="subscript"/>
                <w:lang w:val="fr-FR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BA" w:rsidRPr="00B002F9" w:rsidRDefault="00B249BA" w:rsidP="00B002F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B002F9">
              <w:rPr>
                <w:sz w:val="18"/>
                <w:lang w:val="fr-FR"/>
              </w:rPr>
              <w:t>60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BA" w:rsidRPr="00B002F9" w:rsidRDefault="00B249BA" w:rsidP="00B002F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B002F9">
              <w:rPr>
                <w:sz w:val="18"/>
                <w:lang w:val="fr-FR"/>
              </w:rPr>
              <w:t>5,0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BA" w:rsidRPr="00B002F9" w:rsidRDefault="00B249BA" w:rsidP="00B002F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B002F9">
              <w:rPr>
                <w:sz w:val="18"/>
                <w:lang w:val="fr-FR"/>
              </w:rPr>
              <w:t>70</w:t>
            </w:r>
          </w:p>
        </w:tc>
      </w:tr>
      <w:tr w:rsidR="00B249BA" w:rsidRPr="00B002F9" w:rsidTr="00033C0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9BA" w:rsidRPr="00EA71C5" w:rsidRDefault="00B249BA" w:rsidP="00B002F9">
            <w:pPr>
              <w:suppressAutoHyphens w:val="0"/>
              <w:spacing w:before="40" w:after="40" w:line="220" w:lineRule="exact"/>
              <w:ind w:left="57" w:right="57"/>
              <w:rPr>
                <w:i/>
                <w:strike/>
                <w:sz w:val="18"/>
                <w:lang w:val="fr-FR"/>
              </w:rPr>
            </w:pPr>
            <w:r w:rsidRPr="00EA71C5">
              <w:rPr>
                <w:i/>
                <w:sz w:val="18"/>
                <w:lang w:val="fr-FR"/>
              </w:rPr>
              <w:t>N</w:t>
            </w:r>
            <w:r w:rsidRPr="00EA71C5">
              <w:rPr>
                <w:i/>
                <w:sz w:val="18"/>
                <w:vertAlign w:val="subscript"/>
                <w:lang w:val="fr-FR"/>
              </w:rPr>
              <w:t>1</w:t>
            </w:r>
            <w:r w:rsidRPr="0095387F">
              <w:rPr>
                <w:sz w:val="18"/>
                <w:szCs w:val="18"/>
                <w:vertAlign w:val="superscript"/>
                <w:lang w:val="fr-FR"/>
              </w:rPr>
              <w:t>a,</w:t>
            </w:r>
            <w:r w:rsidR="00EC442C" w:rsidRPr="0095387F">
              <w:rPr>
                <w:sz w:val="18"/>
                <w:szCs w:val="18"/>
                <w:vertAlign w:val="superscript"/>
                <w:lang w:val="fr-FR"/>
              </w:rPr>
              <w:t xml:space="preserve"> </w:t>
            </w:r>
            <w:r w:rsidRPr="0095387F">
              <w:rPr>
                <w:sz w:val="18"/>
                <w:szCs w:val="18"/>
                <w:vertAlign w:val="superscript"/>
                <w:lang w:val="fr-FR"/>
              </w:rPr>
              <w:t>b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A" w:rsidRPr="00EA71C5" w:rsidRDefault="00B249BA" w:rsidP="0095387F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i/>
                <w:sz w:val="18"/>
                <w:lang w:val="fr-FR"/>
              </w:rPr>
            </w:pPr>
            <w:r w:rsidRPr="00EA71C5">
              <w:rPr>
                <w:i/>
                <w:sz w:val="18"/>
                <w:lang w:val="fr-FR"/>
              </w:rPr>
              <w:t>i)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BA" w:rsidRPr="00B002F9" w:rsidRDefault="00B249BA" w:rsidP="00B002F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B002F9">
              <w:rPr>
                <w:sz w:val="18"/>
                <w:lang w:val="fr-FR"/>
              </w:rPr>
              <w:t>80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BA" w:rsidRPr="00B002F9" w:rsidRDefault="00B249BA" w:rsidP="00B002F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B002F9">
              <w:rPr>
                <w:sz w:val="18"/>
                <w:lang w:val="fr-FR"/>
              </w:rPr>
              <w:t>5,0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BA" w:rsidRPr="00B002F9" w:rsidRDefault="00B249BA" w:rsidP="00B002F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B002F9">
              <w:rPr>
                <w:sz w:val="18"/>
                <w:lang w:val="fr-FR"/>
              </w:rPr>
              <w:t>70</w:t>
            </w:r>
          </w:p>
        </w:tc>
      </w:tr>
      <w:tr w:rsidR="00B249BA" w:rsidRPr="00B002F9" w:rsidTr="00033C0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9BA" w:rsidRPr="00EA71C5" w:rsidRDefault="00B249BA" w:rsidP="00B002F9">
            <w:pPr>
              <w:suppressAutoHyphens w:val="0"/>
              <w:spacing w:before="40" w:after="40" w:line="220" w:lineRule="exact"/>
              <w:ind w:left="57" w:right="57"/>
              <w:rPr>
                <w:i/>
                <w:strike/>
                <w:sz w:val="18"/>
                <w:lang w:val="fr-F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A" w:rsidRPr="00EA71C5" w:rsidRDefault="00B249BA" w:rsidP="0095387F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i/>
                <w:sz w:val="18"/>
                <w:lang w:val="fr-FR"/>
              </w:rPr>
            </w:pPr>
            <w:r w:rsidRPr="00EA71C5">
              <w:rPr>
                <w:i/>
                <w:sz w:val="18"/>
                <w:lang w:val="fr-FR"/>
              </w:rPr>
              <w:t>ii)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BA" w:rsidRPr="00B002F9" w:rsidRDefault="00B249BA" w:rsidP="00B002F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B002F9">
              <w:rPr>
                <w:sz w:val="18"/>
                <w:lang w:val="fr-FR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BA" w:rsidRPr="00B002F9" w:rsidRDefault="00B249BA" w:rsidP="00B002F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B002F9">
              <w:rPr>
                <w:sz w:val="18"/>
                <w:lang w:val="fr-FR"/>
              </w:rPr>
              <w:t>6,43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BA" w:rsidRPr="00B002F9" w:rsidRDefault="00B249BA" w:rsidP="00B002F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B002F9">
              <w:rPr>
                <w:sz w:val="18"/>
                <w:lang w:val="fr-FR"/>
              </w:rPr>
              <w:t>50</w:t>
            </w:r>
          </w:p>
        </w:tc>
      </w:tr>
      <w:tr w:rsidR="00B249BA" w:rsidRPr="00B002F9" w:rsidTr="00033C0C"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249BA" w:rsidRPr="00EA71C5" w:rsidRDefault="00B249BA" w:rsidP="00B002F9">
            <w:pPr>
              <w:suppressAutoHyphens w:val="0"/>
              <w:spacing w:before="40" w:after="40" w:line="220" w:lineRule="exact"/>
              <w:ind w:left="57" w:right="57"/>
              <w:rPr>
                <w:i/>
                <w:sz w:val="18"/>
                <w:lang w:val="fr-FR"/>
              </w:rPr>
            </w:pPr>
            <w:r w:rsidRPr="00EA71C5">
              <w:rPr>
                <w:i/>
                <w:sz w:val="18"/>
                <w:lang w:val="fr-FR"/>
              </w:rPr>
              <w:t>N</w:t>
            </w:r>
            <w:r w:rsidRPr="00EA71C5">
              <w:rPr>
                <w:i/>
                <w:sz w:val="18"/>
                <w:vertAlign w:val="subscript"/>
                <w:lang w:val="fr-FR"/>
              </w:rPr>
              <w:t>2</w:t>
            </w:r>
            <w:r w:rsidR="00EC442C" w:rsidRPr="00EA71C5">
              <w:rPr>
                <w:i/>
                <w:sz w:val="18"/>
                <w:lang w:val="fr-FR"/>
              </w:rPr>
              <w:t xml:space="preserve"> </w:t>
            </w:r>
            <w:r w:rsidRPr="00EA71C5">
              <w:rPr>
                <w:i/>
                <w:sz w:val="18"/>
                <w:lang w:val="fr-FR"/>
              </w:rPr>
              <w:t>et</w:t>
            </w:r>
            <w:r w:rsidR="00EC442C" w:rsidRPr="00EA71C5">
              <w:rPr>
                <w:i/>
                <w:sz w:val="18"/>
                <w:lang w:val="fr-FR"/>
              </w:rPr>
              <w:t xml:space="preserve"> </w:t>
            </w:r>
            <w:r w:rsidRPr="00EA71C5">
              <w:rPr>
                <w:i/>
                <w:sz w:val="18"/>
                <w:lang w:val="fr-FR"/>
              </w:rPr>
              <w:t>N</w:t>
            </w:r>
            <w:r w:rsidRPr="00EA71C5">
              <w:rPr>
                <w:i/>
                <w:sz w:val="18"/>
                <w:vertAlign w:val="subscript"/>
                <w:lang w:val="fr-FR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BA" w:rsidRPr="00B002F9" w:rsidRDefault="00B249BA" w:rsidP="00B002F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B002F9">
              <w:rPr>
                <w:sz w:val="18"/>
                <w:lang w:val="fr-FR"/>
              </w:rPr>
              <w:t>60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BA" w:rsidRPr="00B002F9" w:rsidRDefault="00B249BA" w:rsidP="00B002F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B002F9">
              <w:rPr>
                <w:sz w:val="18"/>
                <w:lang w:val="fr-FR"/>
              </w:rPr>
              <w:t>5,0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BA" w:rsidRPr="00B002F9" w:rsidRDefault="00B249BA" w:rsidP="00B002F9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B002F9">
              <w:rPr>
                <w:sz w:val="18"/>
                <w:lang w:val="fr-FR"/>
              </w:rPr>
              <w:t>70</w:t>
            </w:r>
          </w:p>
        </w:tc>
      </w:tr>
    </w:tbl>
    <w:p w:rsidR="00B249BA" w:rsidRPr="00DE4822" w:rsidRDefault="00B249BA" w:rsidP="00033C0C">
      <w:pPr>
        <w:pStyle w:val="SingleTxtG"/>
        <w:tabs>
          <w:tab w:val="left" w:pos="1418"/>
        </w:tabs>
        <w:spacing w:after="0" w:line="200" w:lineRule="atLeast"/>
        <w:ind w:firstLine="170"/>
        <w:jc w:val="left"/>
        <w:rPr>
          <w:sz w:val="18"/>
          <w:szCs w:val="18"/>
          <w:lang w:val="fr-FR"/>
        </w:rPr>
      </w:pPr>
      <w:r w:rsidRPr="00DE4822">
        <w:rPr>
          <w:sz w:val="18"/>
          <w:szCs w:val="18"/>
          <w:vertAlign w:val="superscript"/>
          <w:lang w:val="fr-FR"/>
        </w:rPr>
        <w:t>a</w:t>
      </w:r>
      <w:r w:rsidR="00EC442C">
        <w:rPr>
          <w:sz w:val="18"/>
          <w:szCs w:val="18"/>
          <w:lang w:val="fr-FR"/>
        </w:rPr>
        <w:t xml:space="preserve"> </w:t>
      </w:r>
      <w:r w:rsidR="002A7EA0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Le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demandeur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doit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choisir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les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valeurs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appropriées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(ligne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i)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ou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ii)),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ce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choix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étant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soumis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à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l’approbation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du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service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technique.</w:t>
      </w:r>
    </w:p>
    <w:p w:rsidR="00B249BA" w:rsidRPr="00DE4822" w:rsidRDefault="00B249BA" w:rsidP="00033C0C">
      <w:pPr>
        <w:pStyle w:val="SingleTxtG"/>
        <w:tabs>
          <w:tab w:val="left" w:pos="1418"/>
        </w:tabs>
        <w:spacing w:after="240" w:line="200" w:lineRule="atLeast"/>
        <w:ind w:firstLine="170"/>
        <w:jc w:val="left"/>
        <w:rPr>
          <w:sz w:val="18"/>
          <w:szCs w:val="18"/>
          <w:lang w:val="fr-FR"/>
        </w:rPr>
      </w:pPr>
      <w:r w:rsidRPr="00DE4822">
        <w:rPr>
          <w:sz w:val="18"/>
          <w:szCs w:val="18"/>
          <w:vertAlign w:val="superscript"/>
          <w:lang w:val="fr-FR"/>
        </w:rPr>
        <w:t>b</w:t>
      </w:r>
      <w:r w:rsidR="00EC442C">
        <w:rPr>
          <w:sz w:val="18"/>
          <w:szCs w:val="18"/>
          <w:lang w:val="fr-FR"/>
        </w:rPr>
        <w:t xml:space="preserve"> </w:t>
      </w:r>
      <w:r w:rsidR="002A7EA0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Pour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information</w:t>
      </w:r>
      <w:r w:rsidR="00EC442C">
        <w:rPr>
          <w:sz w:val="18"/>
          <w:szCs w:val="18"/>
          <w:lang w:val="fr-FR"/>
        </w:rPr>
        <w:t xml:space="preserve"> : </w:t>
      </w:r>
      <w:r w:rsidRPr="00DE4822">
        <w:rPr>
          <w:sz w:val="18"/>
          <w:szCs w:val="18"/>
          <w:lang w:val="fr-FR"/>
        </w:rPr>
        <w:t>Les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valeurs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mentionnées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sur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la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ligne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i)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correspondent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aux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dispositions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pertinentes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du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Règlement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ONU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n</w:t>
      </w:r>
      <w:r w:rsidRPr="00DE4822">
        <w:rPr>
          <w:sz w:val="18"/>
          <w:szCs w:val="18"/>
          <w:vertAlign w:val="superscript"/>
          <w:lang w:val="fr-FR"/>
        </w:rPr>
        <w:t>o</w:t>
      </w:r>
      <w:r w:rsidR="002A7EA0" w:rsidRPr="002A7EA0">
        <w:rPr>
          <w:sz w:val="18"/>
          <w:szCs w:val="18"/>
        </w:rPr>
        <w:t> </w:t>
      </w:r>
      <w:r w:rsidRPr="00DE4822">
        <w:rPr>
          <w:sz w:val="18"/>
          <w:szCs w:val="18"/>
          <w:lang w:val="fr-FR"/>
        </w:rPr>
        <w:t>13</w:t>
      </w:r>
      <w:r w:rsidR="00EC442C">
        <w:rPr>
          <w:sz w:val="18"/>
          <w:szCs w:val="18"/>
          <w:lang w:val="fr-FR"/>
        </w:rPr>
        <w:t xml:space="preserve"> ; </w:t>
      </w:r>
      <w:r w:rsidRPr="00DE4822">
        <w:rPr>
          <w:sz w:val="18"/>
          <w:szCs w:val="18"/>
          <w:lang w:val="fr-FR"/>
        </w:rPr>
        <w:t>celles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de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la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ligne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ii)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correspondent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aux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dispositions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pertinentes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du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Règlement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ONU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n</w:t>
      </w:r>
      <w:r w:rsidRPr="00DE4822">
        <w:rPr>
          <w:sz w:val="18"/>
          <w:szCs w:val="18"/>
          <w:vertAlign w:val="superscript"/>
          <w:lang w:val="fr-FR"/>
        </w:rPr>
        <w:t>o</w:t>
      </w:r>
      <w:r w:rsidR="002A7EA0">
        <w:rPr>
          <w:sz w:val="18"/>
          <w:szCs w:val="18"/>
          <w:lang w:val="fr-FR"/>
        </w:rPr>
        <w:t> </w:t>
      </w:r>
      <w:r w:rsidRPr="00DE4822">
        <w:rPr>
          <w:sz w:val="18"/>
          <w:szCs w:val="18"/>
          <w:lang w:val="fr-FR"/>
        </w:rPr>
        <w:t>13</w:t>
      </w:r>
      <w:r w:rsidR="004D15A8">
        <w:rPr>
          <w:sz w:val="18"/>
          <w:szCs w:val="18"/>
          <w:lang w:val="fr-FR"/>
        </w:rPr>
        <w:t>-</w:t>
      </w:r>
      <w:r w:rsidRPr="00DE4822">
        <w:rPr>
          <w:sz w:val="18"/>
          <w:szCs w:val="18"/>
          <w:lang w:val="fr-FR"/>
        </w:rPr>
        <w:t>H.</w:t>
      </w:r>
    </w:p>
    <w:p w:rsidR="00B249BA" w:rsidRPr="00DE4822" w:rsidRDefault="00B249BA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</w:t>
      </w:r>
      <w:r w:rsidRPr="00DE4822">
        <w:rPr>
          <w:lang w:val="fr-FR"/>
        </w:rPr>
        <w:tab/>
        <w:t>Après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l’alimentation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énergie,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possible,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après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huit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actionnements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frein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service,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d’obtenir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neuvième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efficacité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moins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égale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frein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secours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(voir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tableau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ci</w:t>
      </w:r>
      <w:r w:rsidR="004D15A8">
        <w:rPr>
          <w:lang w:val="fr-FR"/>
        </w:rPr>
        <w:t>-</w:t>
      </w:r>
      <w:r w:rsidRPr="00DE4822">
        <w:rPr>
          <w:lang w:val="fr-FR"/>
        </w:rPr>
        <w:t>dessous).</w:t>
      </w:r>
    </w:p>
    <w:p w:rsidR="00B249BA" w:rsidRPr="00DE4822" w:rsidRDefault="00B249BA" w:rsidP="002A7EA0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frein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secours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alimenté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réservoir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d’énergie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actionné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moyen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distincte,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encore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possible,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après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huit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actionnements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frein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service,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d’obtenir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neuvième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l’efficacité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résiduelle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indiquée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(voir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tableau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ci</w:t>
      </w:r>
      <w:r w:rsidR="004D15A8">
        <w:rPr>
          <w:lang w:val="fr-FR"/>
        </w:rPr>
        <w:t>-</w:t>
      </w:r>
      <w:r w:rsidRPr="00DE4822">
        <w:rPr>
          <w:lang w:val="fr-FR"/>
        </w:rPr>
        <w:t>dessous).</w:t>
      </w:r>
    </w:p>
    <w:p w:rsidR="00B249BA" w:rsidRPr="002A7EA0" w:rsidRDefault="00B249BA" w:rsidP="00CD5EC5">
      <w:pPr>
        <w:pStyle w:val="Heading1"/>
        <w:spacing w:after="120"/>
        <w:rPr>
          <w:b/>
          <w:lang w:val="fr-FR"/>
        </w:rPr>
      </w:pPr>
      <w:r w:rsidRPr="00DE4822">
        <w:rPr>
          <w:lang w:val="fr-FR"/>
        </w:rPr>
        <w:lastRenderedPageBreak/>
        <w:t>Tableau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4</w:t>
      </w:r>
      <w:r w:rsidR="002A7EA0">
        <w:rPr>
          <w:lang w:val="fr-FR"/>
        </w:rPr>
        <w:br/>
      </w:r>
      <w:r w:rsidRPr="002A7EA0">
        <w:rPr>
          <w:b/>
          <w:lang w:val="fr-FR"/>
        </w:rPr>
        <w:t>Efficacité</w:t>
      </w:r>
      <w:r w:rsidR="00EC442C" w:rsidRPr="002A7EA0">
        <w:rPr>
          <w:b/>
          <w:lang w:val="fr-FR"/>
        </w:rPr>
        <w:t xml:space="preserve"> </w:t>
      </w:r>
      <w:r w:rsidRPr="002A7EA0">
        <w:rPr>
          <w:b/>
          <w:lang w:val="fr-FR"/>
        </w:rPr>
        <w:t>du</w:t>
      </w:r>
      <w:r w:rsidR="00EC442C" w:rsidRPr="002A7EA0">
        <w:rPr>
          <w:b/>
          <w:lang w:val="fr-FR"/>
        </w:rPr>
        <w:t xml:space="preserve"> </w:t>
      </w:r>
      <w:r w:rsidRPr="002A7EA0">
        <w:rPr>
          <w:b/>
          <w:lang w:val="fr-FR"/>
        </w:rPr>
        <w:t>frein</w:t>
      </w:r>
      <w:r w:rsidR="00EC442C" w:rsidRPr="002A7EA0">
        <w:rPr>
          <w:b/>
          <w:lang w:val="fr-FR"/>
        </w:rPr>
        <w:t xml:space="preserve"> </w:t>
      </w:r>
      <w:r w:rsidRPr="002A7EA0">
        <w:rPr>
          <w:b/>
          <w:lang w:val="fr-FR"/>
        </w:rPr>
        <w:t>de</w:t>
      </w:r>
      <w:r w:rsidR="00EC442C" w:rsidRPr="002A7EA0">
        <w:rPr>
          <w:b/>
          <w:lang w:val="fr-FR"/>
        </w:rPr>
        <w:t xml:space="preserve"> </w:t>
      </w:r>
      <w:r w:rsidRPr="002A7EA0">
        <w:rPr>
          <w:b/>
          <w:lang w:val="fr-FR"/>
        </w:rPr>
        <w:t>secours</w:t>
      </w:r>
      <w:r w:rsidR="00EC442C" w:rsidRPr="002A7EA0">
        <w:rPr>
          <w:b/>
          <w:lang w:val="fr-FR"/>
        </w:rPr>
        <w:t xml:space="preserve"> </w:t>
      </w:r>
      <w:r w:rsidRPr="002A7EA0">
        <w:rPr>
          <w:b/>
          <w:lang w:val="fr-FR"/>
        </w:rPr>
        <w:t>et</w:t>
      </w:r>
      <w:r w:rsidR="00EC442C" w:rsidRPr="002A7EA0">
        <w:rPr>
          <w:b/>
          <w:lang w:val="fr-FR"/>
        </w:rPr>
        <w:t xml:space="preserve"> </w:t>
      </w:r>
      <w:r w:rsidRPr="002A7EA0">
        <w:rPr>
          <w:b/>
          <w:lang w:val="fr-FR"/>
        </w:rPr>
        <w:t>efficacité</w:t>
      </w:r>
      <w:r w:rsidR="00EC442C" w:rsidRPr="002A7EA0">
        <w:rPr>
          <w:b/>
          <w:lang w:val="fr-FR"/>
        </w:rPr>
        <w:t xml:space="preserve"> </w:t>
      </w:r>
      <w:r w:rsidRPr="002A7EA0">
        <w:rPr>
          <w:b/>
          <w:lang w:val="fr-FR"/>
        </w:rPr>
        <w:t>résiduelle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552"/>
        <w:gridCol w:w="1696"/>
        <w:gridCol w:w="1975"/>
        <w:gridCol w:w="1975"/>
      </w:tblGrid>
      <w:tr w:rsidR="00B249BA" w:rsidRPr="006763DC" w:rsidTr="00CD5EC5">
        <w:trPr>
          <w:tblHeader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BA" w:rsidRPr="006763DC" w:rsidRDefault="00B249BA" w:rsidP="00CD5EC5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FR"/>
              </w:rPr>
            </w:pPr>
            <w:r w:rsidRPr="006763DC">
              <w:rPr>
                <w:i/>
                <w:sz w:val="16"/>
                <w:lang w:val="fr-FR"/>
              </w:rPr>
              <w:t>Catégorie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BA" w:rsidRPr="006763DC" w:rsidRDefault="00B249BA" w:rsidP="00CD5EC5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FR"/>
              </w:rPr>
            </w:pPr>
            <w:r w:rsidRPr="006763DC">
              <w:rPr>
                <w:i/>
                <w:sz w:val="16"/>
                <w:lang w:val="fr-FR"/>
              </w:rPr>
              <w:t>V</w:t>
            </w:r>
            <w:r w:rsidR="00EC442C" w:rsidRPr="006763DC">
              <w:rPr>
                <w:i/>
                <w:sz w:val="16"/>
                <w:lang w:val="fr-FR"/>
              </w:rPr>
              <w:t xml:space="preserve"> </w:t>
            </w:r>
            <w:r w:rsidRPr="006763DC">
              <w:rPr>
                <w:i/>
                <w:sz w:val="16"/>
                <w:lang w:val="fr-FR"/>
              </w:rPr>
              <w:t>(km/h)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BA" w:rsidRPr="006763DC" w:rsidRDefault="00B249BA" w:rsidP="00CD5EC5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FR"/>
              </w:rPr>
            </w:pPr>
            <w:r w:rsidRPr="006763DC">
              <w:rPr>
                <w:i/>
                <w:sz w:val="16"/>
                <w:lang w:val="fr-FR"/>
              </w:rPr>
              <w:t>Frein</w:t>
            </w:r>
            <w:r w:rsidR="00EC442C" w:rsidRPr="006763DC">
              <w:rPr>
                <w:i/>
                <w:sz w:val="16"/>
                <w:lang w:val="fr-FR"/>
              </w:rPr>
              <w:t xml:space="preserve"> </w:t>
            </w:r>
            <w:r w:rsidRPr="006763DC">
              <w:rPr>
                <w:i/>
                <w:sz w:val="16"/>
                <w:lang w:val="fr-FR"/>
              </w:rPr>
              <w:t>de</w:t>
            </w:r>
            <w:r w:rsidR="00EC442C" w:rsidRPr="006763DC">
              <w:rPr>
                <w:i/>
                <w:sz w:val="16"/>
                <w:lang w:val="fr-FR"/>
              </w:rPr>
              <w:t xml:space="preserve"> </w:t>
            </w:r>
            <w:r w:rsidRPr="006763DC">
              <w:rPr>
                <w:i/>
                <w:sz w:val="16"/>
                <w:lang w:val="fr-FR"/>
              </w:rPr>
              <w:t>secours</w:t>
            </w:r>
            <w:r w:rsidRPr="006763DC">
              <w:rPr>
                <w:i/>
                <w:sz w:val="16"/>
                <w:lang w:val="fr-FR"/>
              </w:rPr>
              <w:br/>
              <w:t>(m/s</w:t>
            </w:r>
            <w:r w:rsidRPr="006763DC">
              <w:rPr>
                <w:i/>
                <w:sz w:val="16"/>
                <w:vertAlign w:val="superscript"/>
                <w:lang w:val="fr-FR"/>
              </w:rPr>
              <w:t>2</w:t>
            </w:r>
            <w:r w:rsidRPr="006763DC">
              <w:rPr>
                <w:i/>
                <w:sz w:val="16"/>
                <w:lang w:val="fr-FR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BA" w:rsidRPr="006763DC" w:rsidRDefault="00B249BA" w:rsidP="00CD5EC5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FR"/>
              </w:rPr>
            </w:pPr>
            <w:r w:rsidRPr="006763DC">
              <w:rPr>
                <w:i/>
                <w:sz w:val="16"/>
                <w:lang w:val="fr-FR"/>
              </w:rPr>
              <w:t>Efficacité</w:t>
            </w:r>
            <w:r w:rsidR="00EC442C" w:rsidRPr="006763DC">
              <w:rPr>
                <w:i/>
                <w:sz w:val="16"/>
                <w:lang w:val="fr-FR"/>
              </w:rPr>
              <w:t xml:space="preserve"> </w:t>
            </w:r>
            <w:r w:rsidRPr="006763DC">
              <w:rPr>
                <w:i/>
                <w:sz w:val="16"/>
                <w:lang w:val="fr-FR"/>
              </w:rPr>
              <w:t>résiduelle</w:t>
            </w:r>
            <w:r w:rsidR="00EC442C" w:rsidRPr="006763DC">
              <w:rPr>
                <w:i/>
                <w:sz w:val="16"/>
                <w:lang w:val="fr-FR"/>
              </w:rPr>
              <w:t xml:space="preserve"> </w:t>
            </w:r>
            <w:r w:rsidRPr="006763DC">
              <w:rPr>
                <w:i/>
                <w:sz w:val="16"/>
                <w:lang w:val="fr-FR"/>
              </w:rPr>
              <w:t>(m/s</w:t>
            </w:r>
            <w:r w:rsidRPr="006763DC">
              <w:rPr>
                <w:i/>
                <w:sz w:val="16"/>
                <w:vertAlign w:val="superscript"/>
                <w:lang w:val="fr-FR"/>
              </w:rPr>
              <w:t>2</w:t>
            </w:r>
            <w:r w:rsidRPr="006763DC">
              <w:rPr>
                <w:i/>
                <w:sz w:val="16"/>
                <w:lang w:val="fr-FR"/>
              </w:rPr>
              <w:t>)</w:t>
            </w:r>
          </w:p>
        </w:tc>
      </w:tr>
      <w:tr w:rsidR="00B249BA" w:rsidRPr="006763DC" w:rsidTr="00CD5EC5"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9BA" w:rsidRPr="00CD5EC5" w:rsidRDefault="00B249BA" w:rsidP="006763DC">
            <w:pPr>
              <w:suppressAutoHyphens w:val="0"/>
              <w:spacing w:before="40" w:after="40" w:line="220" w:lineRule="exact"/>
              <w:ind w:left="57" w:right="57"/>
              <w:rPr>
                <w:i/>
                <w:sz w:val="18"/>
                <w:lang w:val="fr-FR"/>
              </w:rPr>
            </w:pPr>
            <w:r w:rsidRPr="00CD5EC5">
              <w:rPr>
                <w:i/>
                <w:sz w:val="18"/>
                <w:lang w:val="fr-FR"/>
              </w:rPr>
              <w:t>M</w:t>
            </w:r>
            <w:r w:rsidRPr="00CD5EC5">
              <w:rPr>
                <w:i/>
                <w:sz w:val="18"/>
                <w:vertAlign w:val="subscript"/>
                <w:lang w:val="fr-FR"/>
              </w:rPr>
              <w:t>1</w:t>
            </w:r>
            <w:r w:rsidR="00EC442C" w:rsidRPr="00CD5EC5">
              <w:rPr>
                <w:i/>
                <w:sz w:val="18"/>
                <w:lang w:val="fr-FR"/>
              </w:rPr>
              <w:t xml:space="preserve"> 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BA" w:rsidRPr="006763DC" w:rsidRDefault="00B249BA" w:rsidP="00CD5EC5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6763DC">
              <w:rPr>
                <w:sz w:val="18"/>
                <w:lang w:val="fr-FR"/>
              </w:rPr>
              <w:t>100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BA" w:rsidRPr="006763DC" w:rsidRDefault="00B249BA" w:rsidP="00CD5EC5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6763DC">
              <w:rPr>
                <w:sz w:val="18"/>
                <w:lang w:val="fr-FR"/>
              </w:rPr>
              <w:t>2,44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BA" w:rsidRPr="006763DC" w:rsidRDefault="00563B4A" w:rsidP="00CD5EC5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trike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-</w:t>
            </w:r>
          </w:p>
        </w:tc>
      </w:tr>
      <w:tr w:rsidR="00B249BA" w:rsidRPr="006763DC" w:rsidTr="00CD5EC5"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9BA" w:rsidRPr="00CD5EC5" w:rsidRDefault="00B249BA" w:rsidP="006763DC">
            <w:pPr>
              <w:suppressAutoHyphens w:val="0"/>
              <w:spacing w:before="40" w:after="40" w:line="220" w:lineRule="exact"/>
              <w:ind w:left="57" w:right="57"/>
              <w:rPr>
                <w:i/>
                <w:sz w:val="18"/>
                <w:lang w:val="fr-FR"/>
              </w:rPr>
            </w:pPr>
            <w:r w:rsidRPr="00CD5EC5">
              <w:rPr>
                <w:i/>
                <w:sz w:val="18"/>
                <w:lang w:val="fr-FR"/>
              </w:rPr>
              <w:t>M</w:t>
            </w:r>
            <w:r w:rsidRPr="00CD5EC5">
              <w:rPr>
                <w:i/>
                <w:sz w:val="18"/>
                <w:vertAlign w:val="subscript"/>
                <w:lang w:val="fr-FR"/>
              </w:rPr>
              <w:t>2</w:t>
            </w:r>
            <w:r w:rsidR="00EC442C" w:rsidRPr="00CD5EC5">
              <w:rPr>
                <w:i/>
                <w:sz w:val="18"/>
                <w:lang w:val="fr-FR"/>
              </w:rPr>
              <w:t xml:space="preserve"> </w:t>
            </w:r>
            <w:r w:rsidRPr="00CD5EC5">
              <w:rPr>
                <w:i/>
                <w:sz w:val="18"/>
                <w:lang w:val="fr-FR"/>
              </w:rPr>
              <w:t>et</w:t>
            </w:r>
            <w:r w:rsidR="00EC442C" w:rsidRPr="00CD5EC5">
              <w:rPr>
                <w:i/>
                <w:sz w:val="18"/>
                <w:lang w:val="fr-FR"/>
              </w:rPr>
              <w:t xml:space="preserve"> </w:t>
            </w:r>
            <w:r w:rsidRPr="00CD5EC5">
              <w:rPr>
                <w:i/>
                <w:sz w:val="18"/>
                <w:lang w:val="fr-FR"/>
              </w:rPr>
              <w:t>M</w:t>
            </w:r>
            <w:r w:rsidRPr="00CD5EC5">
              <w:rPr>
                <w:i/>
                <w:sz w:val="18"/>
                <w:vertAlign w:val="subscript"/>
                <w:lang w:val="fr-FR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BA" w:rsidRPr="006763DC" w:rsidRDefault="00B249BA" w:rsidP="00CD5EC5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6763DC">
              <w:rPr>
                <w:sz w:val="18"/>
                <w:lang w:val="fr-FR"/>
              </w:rPr>
              <w:t>60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BA" w:rsidRPr="006763DC" w:rsidRDefault="00B249BA" w:rsidP="00CD5EC5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6763DC">
              <w:rPr>
                <w:sz w:val="18"/>
                <w:lang w:val="fr-FR"/>
              </w:rPr>
              <w:t>2,5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BA" w:rsidRPr="006763DC" w:rsidRDefault="00B249BA" w:rsidP="00CD5EC5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6763DC">
              <w:rPr>
                <w:sz w:val="18"/>
                <w:lang w:val="fr-FR"/>
              </w:rPr>
              <w:t>1,5</w:t>
            </w:r>
          </w:p>
        </w:tc>
      </w:tr>
      <w:tr w:rsidR="00B249BA" w:rsidRPr="006763DC" w:rsidTr="00CD5EC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9BA" w:rsidRPr="00CD5EC5" w:rsidRDefault="00B249BA" w:rsidP="006763DC">
            <w:pPr>
              <w:suppressAutoHyphens w:val="0"/>
              <w:spacing w:before="40" w:after="40" w:line="220" w:lineRule="exact"/>
              <w:ind w:left="57" w:right="57"/>
              <w:rPr>
                <w:i/>
                <w:strike/>
                <w:sz w:val="18"/>
                <w:lang w:val="fr-FR"/>
              </w:rPr>
            </w:pPr>
            <w:r w:rsidRPr="00CD5EC5">
              <w:rPr>
                <w:i/>
                <w:sz w:val="18"/>
                <w:lang w:val="fr-FR"/>
              </w:rPr>
              <w:t>N</w:t>
            </w:r>
            <w:r w:rsidRPr="00CD5EC5">
              <w:rPr>
                <w:i/>
                <w:sz w:val="18"/>
                <w:vertAlign w:val="subscript"/>
                <w:lang w:val="fr-FR"/>
              </w:rPr>
              <w:t>1</w:t>
            </w:r>
            <w:r w:rsidRPr="00411E9B">
              <w:rPr>
                <w:sz w:val="18"/>
                <w:szCs w:val="18"/>
                <w:vertAlign w:val="superscript"/>
                <w:lang w:val="fr-FR"/>
              </w:rPr>
              <w:t>a,</w:t>
            </w:r>
            <w:r w:rsidR="00EC442C" w:rsidRPr="00411E9B">
              <w:rPr>
                <w:sz w:val="18"/>
                <w:szCs w:val="18"/>
                <w:vertAlign w:val="superscript"/>
                <w:lang w:val="fr-FR"/>
              </w:rPr>
              <w:t xml:space="preserve"> </w:t>
            </w:r>
            <w:r w:rsidRPr="00411E9B">
              <w:rPr>
                <w:sz w:val="18"/>
                <w:szCs w:val="18"/>
                <w:vertAlign w:val="superscript"/>
                <w:lang w:val="fr-FR"/>
              </w:rPr>
              <w:t>b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A" w:rsidRPr="00CD5EC5" w:rsidRDefault="00B249BA" w:rsidP="00CD5EC5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i/>
                <w:sz w:val="18"/>
                <w:lang w:val="fr-FR"/>
              </w:rPr>
            </w:pPr>
            <w:r w:rsidRPr="00CD5EC5">
              <w:rPr>
                <w:i/>
                <w:sz w:val="18"/>
                <w:lang w:val="fr-FR"/>
              </w:rPr>
              <w:t>i)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BA" w:rsidRPr="006763DC" w:rsidRDefault="00B249BA" w:rsidP="00CD5EC5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6763DC">
              <w:rPr>
                <w:sz w:val="18"/>
                <w:lang w:val="fr-FR"/>
              </w:rPr>
              <w:t>70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BA" w:rsidRPr="006763DC" w:rsidRDefault="00B249BA" w:rsidP="00CD5EC5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6763DC">
              <w:rPr>
                <w:sz w:val="18"/>
                <w:lang w:val="fr-FR"/>
              </w:rPr>
              <w:t>2,2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BA" w:rsidRPr="006763DC" w:rsidRDefault="00B249BA" w:rsidP="00CD5EC5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6763DC">
              <w:rPr>
                <w:sz w:val="18"/>
                <w:lang w:val="fr-FR"/>
              </w:rPr>
              <w:t>1,3</w:t>
            </w:r>
          </w:p>
        </w:tc>
      </w:tr>
      <w:tr w:rsidR="00B249BA" w:rsidRPr="006763DC" w:rsidTr="00CD5EC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9BA" w:rsidRPr="00CD5EC5" w:rsidRDefault="00B249BA" w:rsidP="006763DC">
            <w:pPr>
              <w:suppressAutoHyphens w:val="0"/>
              <w:spacing w:before="40" w:after="40" w:line="220" w:lineRule="exact"/>
              <w:ind w:left="57" w:right="57"/>
              <w:rPr>
                <w:i/>
                <w:strike/>
                <w:sz w:val="18"/>
                <w:lang w:val="fr-F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A" w:rsidRPr="00CD5EC5" w:rsidRDefault="00B249BA" w:rsidP="00CD5EC5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i/>
                <w:sz w:val="18"/>
                <w:lang w:val="fr-FR"/>
              </w:rPr>
            </w:pPr>
            <w:r w:rsidRPr="00CD5EC5">
              <w:rPr>
                <w:i/>
                <w:sz w:val="18"/>
                <w:lang w:val="fr-FR"/>
              </w:rPr>
              <w:t>ii)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BA" w:rsidRPr="006763DC" w:rsidRDefault="00B249BA" w:rsidP="00CD5EC5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6763DC">
              <w:rPr>
                <w:sz w:val="18"/>
                <w:lang w:val="fr-FR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BA" w:rsidRPr="006763DC" w:rsidRDefault="00B249BA" w:rsidP="00CD5EC5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6763DC">
              <w:rPr>
                <w:sz w:val="18"/>
                <w:lang w:val="fr-FR"/>
              </w:rPr>
              <w:t>2,44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BA" w:rsidRPr="006763DC" w:rsidRDefault="004D15A8" w:rsidP="00CD5EC5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b/>
                <w:sz w:val="18"/>
                <w:lang w:val="fr-FR"/>
              </w:rPr>
            </w:pPr>
            <w:r w:rsidRPr="006763DC">
              <w:rPr>
                <w:b/>
                <w:sz w:val="18"/>
                <w:lang w:val="fr-FR"/>
              </w:rPr>
              <w:t>-</w:t>
            </w:r>
          </w:p>
        </w:tc>
      </w:tr>
      <w:tr w:rsidR="00B249BA" w:rsidRPr="006763DC" w:rsidTr="00CD5EC5"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9BA" w:rsidRPr="00CD5EC5" w:rsidRDefault="00B249BA" w:rsidP="006763DC">
            <w:pPr>
              <w:suppressAutoHyphens w:val="0"/>
              <w:spacing w:before="40" w:after="40" w:line="220" w:lineRule="exact"/>
              <w:ind w:left="57" w:right="57"/>
              <w:rPr>
                <w:i/>
                <w:sz w:val="18"/>
                <w:lang w:val="fr-FR"/>
              </w:rPr>
            </w:pPr>
            <w:r w:rsidRPr="00CD5EC5">
              <w:rPr>
                <w:i/>
                <w:sz w:val="18"/>
                <w:lang w:val="fr-FR"/>
              </w:rPr>
              <w:t>N</w:t>
            </w:r>
            <w:r w:rsidRPr="00CD5EC5">
              <w:rPr>
                <w:i/>
                <w:sz w:val="18"/>
                <w:vertAlign w:val="subscript"/>
                <w:lang w:val="fr-FR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BA" w:rsidRPr="006763DC" w:rsidRDefault="00B249BA" w:rsidP="00CD5EC5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6763DC">
              <w:rPr>
                <w:sz w:val="18"/>
                <w:lang w:val="fr-FR"/>
              </w:rPr>
              <w:t>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BA" w:rsidRPr="006763DC" w:rsidRDefault="00B249BA" w:rsidP="00CD5EC5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6763DC">
              <w:rPr>
                <w:sz w:val="18"/>
                <w:lang w:val="fr-FR"/>
              </w:rPr>
              <w:t>2,2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BA" w:rsidRPr="006763DC" w:rsidRDefault="00B249BA" w:rsidP="00CD5EC5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6763DC">
              <w:rPr>
                <w:sz w:val="18"/>
                <w:lang w:val="fr-FR"/>
              </w:rPr>
              <w:t>1,3</w:t>
            </w:r>
          </w:p>
        </w:tc>
      </w:tr>
      <w:tr w:rsidR="00B249BA" w:rsidRPr="006763DC" w:rsidTr="00CD5EC5"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249BA" w:rsidRPr="00CD5EC5" w:rsidRDefault="00B249BA" w:rsidP="006763DC">
            <w:pPr>
              <w:suppressAutoHyphens w:val="0"/>
              <w:spacing w:before="40" w:after="40" w:line="220" w:lineRule="exact"/>
              <w:ind w:left="57" w:right="57"/>
              <w:rPr>
                <w:i/>
                <w:sz w:val="18"/>
                <w:lang w:val="fr-FR"/>
              </w:rPr>
            </w:pPr>
            <w:r w:rsidRPr="00CD5EC5">
              <w:rPr>
                <w:i/>
                <w:sz w:val="18"/>
                <w:lang w:val="fr-FR"/>
              </w:rPr>
              <w:t>N</w:t>
            </w:r>
            <w:r w:rsidRPr="00CD5EC5">
              <w:rPr>
                <w:i/>
                <w:sz w:val="18"/>
                <w:vertAlign w:val="subscript"/>
                <w:lang w:val="fr-FR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BA" w:rsidRPr="006763DC" w:rsidRDefault="00B249BA" w:rsidP="00CD5EC5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6763DC">
              <w:rPr>
                <w:sz w:val="18"/>
                <w:lang w:val="fr-FR"/>
              </w:rPr>
              <w:t>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BA" w:rsidRPr="006763DC" w:rsidRDefault="00B249BA" w:rsidP="00CD5EC5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6763DC">
              <w:rPr>
                <w:sz w:val="18"/>
                <w:lang w:val="fr-FR"/>
              </w:rPr>
              <w:t>2,2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BA" w:rsidRPr="006763DC" w:rsidRDefault="00B249BA" w:rsidP="00CD5EC5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6763DC">
              <w:rPr>
                <w:sz w:val="18"/>
                <w:lang w:val="fr-FR"/>
              </w:rPr>
              <w:t>1,3</w:t>
            </w:r>
          </w:p>
        </w:tc>
      </w:tr>
    </w:tbl>
    <w:p w:rsidR="00B249BA" w:rsidRPr="00DE4822" w:rsidRDefault="00B249BA" w:rsidP="00CD5EC5">
      <w:pPr>
        <w:pStyle w:val="SingleTxtG"/>
        <w:tabs>
          <w:tab w:val="left" w:pos="1418"/>
        </w:tabs>
        <w:spacing w:after="0" w:line="200" w:lineRule="atLeast"/>
        <w:ind w:firstLine="170"/>
        <w:jc w:val="left"/>
        <w:rPr>
          <w:sz w:val="18"/>
          <w:szCs w:val="18"/>
          <w:lang w:val="fr-FR"/>
        </w:rPr>
      </w:pPr>
      <w:r w:rsidRPr="00DE4822">
        <w:rPr>
          <w:sz w:val="18"/>
          <w:szCs w:val="18"/>
          <w:vertAlign w:val="superscript"/>
          <w:lang w:val="fr-FR"/>
        </w:rPr>
        <w:t>a</w:t>
      </w:r>
      <w:r w:rsidR="00EC442C">
        <w:rPr>
          <w:sz w:val="18"/>
          <w:szCs w:val="18"/>
          <w:lang w:val="fr-FR"/>
        </w:rPr>
        <w:t xml:space="preserve"> </w:t>
      </w:r>
      <w:r w:rsidR="00A120AF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Le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demandeur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doit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choisir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les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valeurs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appropriées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(ligne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i)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ou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ii)),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ce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choix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étant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soumis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à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l’approbation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du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service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technique.</w:t>
      </w:r>
    </w:p>
    <w:p w:rsidR="00B249BA" w:rsidRDefault="00B249BA" w:rsidP="00CD5EC5">
      <w:pPr>
        <w:pStyle w:val="SingleTxtG"/>
        <w:tabs>
          <w:tab w:val="left" w:pos="1418"/>
        </w:tabs>
        <w:spacing w:after="240" w:line="200" w:lineRule="atLeast"/>
        <w:ind w:firstLine="170"/>
        <w:jc w:val="left"/>
        <w:rPr>
          <w:sz w:val="18"/>
          <w:szCs w:val="18"/>
          <w:lang w:val="fr-FR"/>
        </w:rPr>
      </w:pPr>
      <w:r w:rsidRPr="00DE4822">
        <w:rPr>
          <w:sz w:val="18"/>
          <w:szCs w:val="18"/>
          <w:vertAlign w:val="superscript"/>
          <w:lang w:val="fr-FR"/>
        </w:rPr>
        <w:t>b</w:t>
      </w:r>
      <w:r w:rsidR="00EC442C">
        <w:rPr>
          <w:sz w:val="18"/>
          <w:szCs w:val="18"/>
          <w:lang w:val="fr-FR"/>
        </w:rPr>
        <w:t xml:space="preserve"> </w:t>
      </w:r>
      <w:r w:rsidR="00A120AF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Pour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information</w:t>
      </w:r>
      <w:r w:rsidR="00EC442C">
        <w:rPr>
          <w:sz w:val="18"/>
          <w:szCs w:val="18"/>
          <w:lang w:val="fr-FR"/>
        </w:rPr>
        <w:t xml:space="preserve"> : </w:t>
      </w:r>
      <w:r w:rsidRPr="00DE4822">
        <w:rPr>
          <w:sz w:val="18"/>
          <w:szCs w:val="18"/>
          <w:lang w:val="fr-FR"/>
        </w:rPr>
        <w:t>Les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valeurs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mentionnées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sur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la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ligne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i)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correspondent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aux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dispositions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pertinentes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du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Règlement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ONU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n</w:t>
      </w:r>
      <w:r w:rsidRPr="00DE4822">
        <w:rPr>
          <w:sz w:val="18"/>
          <w:szCs w:val="18"/>
          <w:vertAlign w:val="superscript"/>
          <w:lang w:val="fr-FR"/>
        </w:rPr>
        <w:t>o</w:t>
      </w:r>
      <w:r w:rsidR="0047182E">
        <w:rPr>
          <w:sz w:val="18"/>
          <w:szCs w:val="18"/>
          <w:lang w:val="fr-FR"/>
        </w:rPr>
        <w:t> </w:t>
      </w:r>
      <w:r w:rsidRPr="00DE4822">
        <w:rPr>
          <w:sz w:val="18"/>
          <w:szCs w:val="18"/>
          <w:lang w:val="fr-FR"/>
        </w:rPr>
        <w:t>13</w:t>
      </w:r>
      <w:r w:rsidR="00EC442C">
        <w:rPr>
          <w:sz w:val="18"/>
          <w:szCs w:val="18"/>
          <w:lang w:val="fr-FR"/>
        </w:rPr>
        <w:t xml:space="preserve"> ; </w:t>
      </w:r>
      <w:r w:rsidRPr="00DE4822">
        <w:rPr>
          <w:sz w:val="18"/>
          <w:szCs w:val="18"/>
          <w:lang w:val="fr-FR"/>
        </w:rPr>
        <w:t>celles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de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la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ligne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ii)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correspondent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aux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dispositions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pertinentes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du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Règlement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ONU</w:t>
      </w:r>
      <w:r w:rsidR="00EC442C">
        <w:rPr>
          <w:sz w:val="18"/>
          <w:szCs w:val="18"/>
          <w:lang w:val="fr-FR"/>
        </w:rPr>
        <w:t xml:space="preserve"> </w:t>
      </w:r>
      <w:r w:rsidRPr="00DE4822">
        <w:rPr>
          <w:sz w:val="18"/>
          <w:szCs w:val="18"/>
          <w:lang w:val="fr-FR"/>
        </w:rPr>
        <w:t>n</w:t>
      </w:r>
      <w:r w:rsidRPr="00DE4822">
        <w:rPr>
          <w:sz w:val="18"/>
          <w:szCs w:val="18"/>
          <w:vertAlign w:val="superscript"/>
          <w:lang w:val="fr-FR"/>
        </w:rPr>
        <w:t>o</w:t>
      </w:r>
      <w:r w:rsidR="0047182E">
        <w:rPr>
          <w:sz w:val="18"/>
          <w:szCs w:val="18"/>
          <w:lang w:val="fr-FR"/>
        </w:rPr>
        <w:t> </w:t>
      </w:r>
      <w:r w:rsidRPr="00DE4822">
        <w:rPr>
          <w:sz w:val="18"/>
          <w:szCs w:val="18"/>
          <w:lang w:val="fr-FR"/>
        </w:rPr>
        <w:t>13</w:t>
      </w:r>
      <w:r w:rsidR="004D15A8">
        <w:rPr>
          <w:sz w:val="18"/>
          <w:szCs w:val="18"/>
          <w:lang w:val="fr-FR"/>
        </w:rPr>
        <w:t>-</w:t>
      </w:r>
      <w:r w:rsidRPr="00DE4822">
        <w:rPr>
          <w:sz w:val="18"/>
          <w:szCs w:val="18"/>
          <w:lang w:val="fr-FR"/>
        </w:rPr>
        <w:t>H.</w:t>
      </w:r>
    </w:p>
    <w:p w:rsidR="0047182E" w:rsidRPr="00DE4822" w:rsidRDefault="0047182E" w:rsidP="006763DC">
      <w:pPr>
        <w:pStyle w:val="SingleTxtG"/>
        <w:tabs>
          <w:tab w:val="left" w:pos="1418"/>
        </w:tabs>
        <w:spacing w:after="240" w:line="200" w:lineRule="atLeast"/>
        <w:ind w:left="2268" w:firstLine="170"/>
        <w:jc w:val="left"/>
        <w:rPr>
          <w:sz w:val="18"/>
          <w:szCs w:val="18"/>
          <w:lang w:val="fr-FR"/>
        </w:rPr>
      </w:pPr>
    </w:p>
    <w:p w:rsidR="00C76D6C" w:rsidRPr="00DE4822" w:rsidRDefault="00C76D6C" w:rsidP="00B249BA">
      <w:pPr>
        <w:sectPr w:rsidR="00C76D6C" w:rsidRPr="00DE4822" w:rsidSect="00B249BA">
          <w:headerReference w:type="even" r:id="rId25"/>
          <w:headerReference w:type="default" r:id="rId26"/>
          <w:footerReference w:type="even" r:id="rId27"/>
          <w:footerReference w:type="default" r:id="rId28"/>
          <w:footnotePr>
            <w:numRestart w:val="eachSect"/>
          </w:footnotePr>
          <w:endnotePr>
            <w:numFmt w:val="decimal"/>
          </w:endnotePr>
          <w:pgSz w:w="11907" w:h="16840" w:code="9"/>
          <w:pgMar w:top="1417" w:right="1134" w:bottom="1134" w:left="1134" w:header="680" w:footer="567" w:gutter="0"/>
          <w:cols w:space="720"/>
          <w:docGrid w:linePitch="272"/>
        </w:sectPr>
      </w:pPr>
    </w:p>
    <w:p w:rsidR="00C76D6C" w:rsidRPr="00DE4822" w:rsidRDefault="00C76D6C" w:rsidP="0047182E">
      <w:pPr>
        <w:pStyle w:val="HChG"/>
        <w:rPr>
          <w:lang w:val="fr-FR"/>
        </w:rPr>
      </w:pPr>
      <w:r w:rsidRPr="00DE4822">
        <w:rPr>
          <w:lang w:val="fr-FR"/>
        </w:rPr>
        <w:lastRenderedPageBreak/>
        <w:t>Annexe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4</w:t>
      </w:r>
    </w:p>
    <w:p w:rsidR="00C76D6C" w:rsidRPr="00DE4822" w:rsidRDefault="0047182E" w:rsidP="0047182E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C76D6C"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="00C76D6C" w:rsidRPr="00DE4822">
        <w:rPr>
          <w:lang w:val="fr-FR"/>
        </w:rPr>
        <w:t>supplémentaires</w:t>
      </w:r>
      <w:r w:rsidR="00EC442C">
        <w:rPr>
          <w:lang w:val="fr-FR"/>
        </w:rPr>
        <w:t xml:space="preserve"> </w:t>
      </w:r>
      <w:r w:rsidR="00C76D6C" w:rsidRPr="00DE4822">
        <w:rPr>
          <w:lang w:val="fr-FR"/>
        </w:rPr>
        <w:t>relatives</w:t>
      </w:r>
      <w:r w:rsidR="00EC442C">
        <w:rPr>
          <w:lang w:val="fr-FR"/>
        </w:rPr>
        <w:t xml:space="preserve"> </w:t>
      </w:r>
      <w:r w:rsidR="00C76D6C"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="00C76D6C" w:rsidRPr="00DE4822">
        <w:rPr>
          <w:lang w:val="fr-FR"/>
        </w:rPr>
        <w:t>véhicules</w:t>
      </w:r>
      <w:r w:rsidR="00EC442C">
        <w:rPr>
          <w:lang w:val="fr-FR"/>
        </w:rPr>
        <w:t xml:space="preserve"> </w:t>
      </w:r>
      <w:r w:rsidR="00C76D6C" w:rsidRPr="00DE4822">
        <w:rPr>
          <w:lang w:val="fr-FR"/>
        </w:rPr>
        <w:t>munis</w:t>
      </w:r>
      <w:r w:rsidR="00EC442C">
        <w:rPr>
          <w:lang w:val="fr-FR"/>
        </w:rPr>
        <w:t xml:space="preserve"> </w:t>
      </w:r>
      <w:r w:rsidR="00C76D6C"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="00C76D6C" w:rsidRPr="00DE4822">
        <w:rPr>
          <w:lang w:val="fr-FR"/>
        </w:rPr>
        <w:t>équipement</w:t>
      </w:r>
      <w:r w:rsidR="00EC442C">
        <w:rPr>
          <w:lang w:val="fr-FR"/>
        </w:rPr>
        <w:t xml:space="preserve"> </w:t>
      </w:r>
      <w:r w:rsidR="00C76D6C"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="00C76D6C"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="00C76D6C" w:rsidRPr="00DE4822">
        <w:rPr>
          <w:lang w:val="fr-FR"/>
        </w:rPr>
        <w:t>auxiliaire</w:t>
      </w:r>
    </w:p>
    <w:p w:rsidR="00C76D6C" w:rsidRPr="00DE4822" w:rsidRDefault="00C76D6C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1.</w:t>
      </w:r>
      <w:r w:rsidRPr="00DE4822">
        <w:rPr>
          <w:lang w:val="fr-FR"/>
        </w:rPr>
        <w:tab/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générales</w:t>
      </w:r>
    </w:p>
    <w:p w:rsidR="00C76D6C" w:rsidRPr="00DE4822" w:rsidRDefault="00C76D6C" w:rsidP="0047182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munis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auxiliaire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satisfaire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seulement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corps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aussi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annexe.</w:t>
      </w:r>
    </w:p>
    <w:p w:rsidR="00C76D6C" w:rsidRPr="00DE4822" w:rsidRDefault="00C76D6C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</w:t>
      </w:r>
      <w:r w:rsidRPr="00DE4822">
        <w:rPr>
          <w:lang w:val="fr-FR"/>
        </w:rPr>
        <w:tab/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spécifiques</w:t>
      </w:r>
    </w:p>
    <w:p w:rsidR="00C76D6C" w:rsidRPr="00DE4822" w:rsidRDefault="00C76D6C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2.1</w:t>
      </w:r>
      <w:r w:rsidRPr="00DE4822">
        <w:rPr>
          <w:lang w:val="fr-FR"/>
        </w:rPr>
        <w:tab/>
        <w:t>Timonerie</w:t>
      </w:r>
    </w:p>
    <w:p w:rsidR="00C76D6C" w:rsidRPr="00DE4822" w:rsidRDefault="00C76D6C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2.1.1</w:t>
      </w:r>
      <w:r w:rsidRPr="00DE4822">
        <w:rPr>
          <w:lang w:val="fr-FR"/>
        </w:rPr>
        <w:tab/>
        <w:t>Timoneries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mécaniques</w:t>
      </w:r>
    </w:p>
    <w:p w:rsidR="00C76D6C" w:rsidRPr="00DE4822" w:rsidRDefault="00C76D6C" w:rsidP="0047182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C’est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5.3.1.1</w:t>
      </w:r>
      <w:r w:rsidR="00EC442C">
        <w:rPr>
          <w:b/>
          <w:bCs/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s’applique.</w:t>
      </w:r>
    </w:p>
    <w:p w:rsidR="00C76D6C" w:rsidRPr="00DE4822" w:rsidRDefault="00C76D6C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2.1.2</w:t>
      </w:r>
      <w:r w:rsidRPr="00DE4822">
        <w:rPr>
          <w:lang w:val="fr-FR"/>
        </w:rPr>
        <w:tab/>
        <w:t>Timoneries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hydrauliques</w:t>
      </w:r>
    </w:p>
    <w:p w:rsidR="00C76D6C" w:rsidRPr="00DE4822" w:rsidRDefault="00C76D6C" w:rsidP="0047182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timoneries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hydrauliques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protégées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dépassement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pression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service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maximale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autorisée.</w:t>
      </w:r>
    </w:p>
    <w:p w:rsidR="00C76D6C" w:rsidRPr="00DE4822" w:rsidRDefault="00C76D6C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2.1.3</w:t>
      </w:r>
      <w:r w:rsidRPr="00DE4822">
        <w:rPr>
          <w:lang w:val="fr-FR"/>
        </w:rPr>
        <w:tab/>
        <w:t>Timoneries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électriques</w:t>
      </w:r>
    </w:p>
    <w:p w:rsidR="00C76D6C" w:rsidRPr="00DE4822" w:rsidRDefault="00C76D6C" w:rsidP="0047182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timoneries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protégées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alimentation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énergie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excessive.</w:t>
      </w:r>
    </w:p>
    <w:p w:rsidR="00C76D6C" w:rsidRPr="00DE4822" w:rsidRDefault="00C76D6C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2.1.4</w:t>
      </w:r>
      <w:r w:rsidRPr="00DE4822">
        <w:rPr>
          <w:lang w:val="fr-FR"/>
        </w:rPr>
        <w:tab/>
        <w:t>Timoneries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mixtes</w:t>
      </w:r>
    </w:p>
    <w:p w:rsidR="00C76D6C" w:rsidRPr="00DE4822" w:rsidRDefault="00C76D6C" w:rsidP="0047182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timoneries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mécaniques,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hydrauliques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conformes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2.1.1,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2.1.2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2.1.3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ci</w:t>
      </w:r>
      <w:r w:rsidR="00096228">
        <w:rPr>
          <w:lang w:val="fr-FR"/>
        </w:rPr>
        <w:noBreakHyphen/>
      </w:r>
      <w:r w:rsidRPr="00DE4822">
        <w:rPr>
          <w:lang w:val="fr-FR"/>
        </w:rPr>
        <w:t>dessus.</w:t>
      </w:r>
    </w:p>
    <w:p w:rsidR="00C76D6C" w:rsidRPr="00DE4822" w:rsidRDefault="00C76D6C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2.2</w:t>
      </w:r>
      <w:r w:rsidRPr="00DE4822">
        <w:rPr>
          <w:lang w:val="fr-FR"/>
        </w:rPr>
        <w:tab/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relatives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essais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</w:t>
      </w:r>
    </w:p>
    <w:p w:rsidR="00C76D6C" w:rsidRPr="00DE4822" w:rsidRDefault="00C76D6C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2.2.1</w:t>
      </w:r>
      <w:r w:rsidRPr="00DE4822">
        <w:rPr>
          <w:lang w:val="fr-FR"/>
        </w:rPr>
        <w:tab/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mauvais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quelconque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auxiliaire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l’exception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censées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l’abri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indiqué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5.3.1.1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Règlement)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traduire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modification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brutale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sensible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comportement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6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toujours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respectées.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outre,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possible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maîtriser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correction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anormale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trajectoire.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vérifier,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procède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essais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suivants</w:t>
      </w:r>
      <w:r w:rsidR="00EC442C">
        <w:rPr>
          <w:lang w:val="fr-FR"/>
        </w:rPr>
        <w:t> :</w:t>
      </w:r>
    </w:p>
    <w:p w:rsidR="00C76D6C" w:rsidRPr="00DE4822" w:rsidRDefault="00C76D6C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2.2.1.1</w:t>
      </w:r>
      <w:r w:rsidRPr="00DE4822">
        <w:rPr>
          <w:lang w:val="fr-FR"/>
        </w:rPr>
        <w:tab/>
        <w:t>Essai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circulaire</w:t>
      </w:r>
    </w:p>
    <w:p w:rsidR="00C76D6C" w:rsidRPr="00DE4822" w:rsidRDefault="00C76D6C" w:rsidP="0047182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fait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décrire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trajectoire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circulaire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d’essai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rayon</w:t>
      </w:r>
      <w:r w:rsidR="004F2896">
        <w:rPr>
          <w:lang w:val="fr-FR"/>
        </w:rPr>
        <w:t xml:space="preserve"> « </w:t>
      </w:r>
      <w:r w:rsidRPr="00DE4822">
        <w:rPr>
          <w:lang w:val="fr-FR"/>
        </w:rPr>
        <w:t>R</w:t>
      </w:r>
      <w:r w:rsidR="004F2896">
        <w:rPr>
          <w:lang w:val="fr-FR"/>
        </w:rPr>
        <w:t> »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(m),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</w:t>
      </w:r>
      <w:r w:rsidR="00EC442C">
        <w:rPr>
          <w:lang w:val="fr-FR"/>
        </w:rPr>
        <w:t xml:space="preserve"> </w:t>
      </w:r>
      <w:r w:rsidR="004F2896">
        <w:rPr>
          <w:lang w:val="fr-FR"/>
        </w:rPr>
        <w:t>« </w:t>
      </w:r>
      <w:r w:rsidRPr="00DE4822">
        <w:rPr>
          <w:lang w:val="fr-FR"/>
        </w:rPr>
        <w:t>v</w:t>
      </w:r>
      <w:r w:rsidR="004F2896">
        <w:rPr>
          <w:lang w:val="fr-FR"/>
        </w:rPr>
        <w:t> »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(km/h)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correspondant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catégorie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valeurs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indiquées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tableau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ci</w:t>
      </w:r>
      <w:r w:rsidR="004D15A8">
        <w:rPr>
          <w:lang w:val="fr-FR"/>
        </w:rPr>
        <w:t>-</w:t>
      </w:r>
      <w:r w:rsidRPr="00DE4822">
        <w:rPr>
          <w:lang w:val="fr-FR"/>
        </w:rPr>
        <w:t>dessous</w:t>
      </w:r>
      <w:r w:rsidR="00EC442C">
        <w:rPr>
          <w:lang w:val="fr-FR"/>
        </w:rPr>
        <w:t> :</w:t>
      </w:r>
    </w:p>
    <w:p w:rsidR="00C76D6C" w:rsidRPr="00DE4822" w:rsidRDefault="00C76D6C" w:rsidP="0047182E">
      <w:pPr>
        <w:pStyle w:val="Heading1"/>
        <w:rPr>
          <w:lang w:val="fr-FR"/>
        </w:rPr>
      </w:pPr>
      <w:r w:rsidRPr="00DE4822">
        <w:rPr>
          <w:lang w:val="fr-FR"/>
        </w:rPr>
        <w:t>Tableau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6"/>
        <w:gridCol w:w="2457"/>
        <w:gridCol w:w="2457"/>
      </w:tblGrid>
      <w:tr w:rsidR="00C76D6C" w:rsidRPr="0047182E" w:rsidTr="004F2896">
        <w:trPr>
          <w:tblHeader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6C" w:rsidRPr="0047182E" w:rsidRDefault="00C76D6C" w:rsidP="004F2896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FR"/>
              </w:rPr>
            </w:pPr>
            <w:r w:rsidRPr="0047182E">
              <w:rPr>
                <w:i/>
                <w:sz w:val="16"/>
                <w:lang w:val="fr-FR"/>
              </w:rPr>
              <w:t>Catégorie</w:t>
            </w:r>
            <w:r w:rsidR="00EC442C" w:rsidRPr="0047182E">
              <w:rPr>
                <w:i/>
                <w:sz w:val="16"/>
                <w:lang w:val="fr-FR"/>
              </w:rPr>
              <w:t xml:space="preserve"> </w:t>
            </w:r>
            <w:r w:rsidRPr="0047182E">
              <w:rPr>
                <w:i/>
                <w:sz w:val="16"/>
                <w:lang w:val="fr-FR"/>
              </w:rPr>
              <w:t>de</w:t>
            </w:r>
            <w:r w:rsidR="00EC442C" w:rsidRPr="0047182E">
              <w:rPr>
                <w:i/>
                <w:sz w:val="16"/>
                <w:lang w:val="fr-FR"/>
              </w:rPr>
              <w:t xml:space="preserve"> </w:t>
            </w:r>
            <w:r w:rsidRPr="0047182E">
              <w:rPr>
                <w:i/>
                <w:sz w:val="16"/>
                <w:lang w:val="fr-FR"/>
              </w:rPr>
              <w:t>véhicules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6C" w:rsidRPr="0047182E" w:rsidRDefault="00C76D6C" w:rsidP="004F2896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vertAlign w:val="superscript"/>
                <w:lang w:val="fr-FR"/>
              </w:rPr>
            </w:pPr>
            <w:r w:rsidRPr="0047182E">
              <w:rPr>
                <w:i/>
                <w:sz w:val="16"/>
                <w:lang w:val="fr-FR"/>
              </w:rPr>
              <w:t>R</w:t>
            </w:r>
            <w:r w:rsidRPr="004F2896">
              <w:rPr>
                <w:sz w:val="16"/>
                <w:vertAlign w:val="superscript"/>
                <w:lang w:val="fr-FR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6C" w:rsidRPr="0047182E" w:rsidRDefault="00C76D6C" w:rsidP="004F2896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vertAlign w:val="superscript"/>
                <w:lang w:val="fr-FR"/>
              </w:rPr>
            </w:pPr>
            <w:r w:rsidRPr="0047182E">
              <w:rPr>
                <w:i/>
                <w:sz w:val="16"/>
                <w:lang w:val="fr-FR"/>
              </w:rPr>
              <w:t>v</w:t>
            </w:r>
            <w:r w:rsidRPr="004F2896">
              <w:rPr>
                <w:sz w:val="16"/>
                <w:vertAlign w:val="superscript"/>
                <w:lang w:val="fr-FR"/>
              </w:rPr>
              <w:t>1,</w:t>
            </w:r>
            <w:r w:rsidR="00EC442C" w:rsidRPr="004F2896">
              <w:rPr>
                <w:sz w:val="16"/>
                <w:vertAlign w:val="superscript"/>
                <w:lang w:val="fr-FR"/>
              </w:rPr>
              <w:t xml:space="preserve"> </w:t>
            </w:r>
            <w:r w:rsidRPr="004F2896">
              <w:rPr>
                <w:sz w:val="16"/>
                <w:vertAlign w:val="superscript"/>
                <w:lang w:val="fr-FR"/>
              </w:rPr>
              <w:t>2</w:t>
            </w:r>
          </w:p>
        </w:tc>
      </w:tr>
      <w:tr w:rsidR="00C76D6C" w:rsidRPr="0047182E" w:rsidTr="004F2896">
        <w:tc>
          <w:tcPr>
            <w:tcW w:w="2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6C" w:rsidRPr="0047182E" w:rsidRDefault="00C76D6C" w:rsidP="004F2896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vertAlign w:val="subscript"/>
                <w:lang w:val="fr-FR"/>
              </w:rPr>
            </w:pPr>
            <w:r w:rsidRPr="0047182E">
              <w:rPr>
                <w:sz w:val="18"/>
                <w:lang w:val="fr-FR"/>
              </w:rPr>
              <w:t>M</w:t>
            </w:r>
            <w:r w:rsidRPr="0047182E">
              <w:rPr>
                <w:sz w:val="18"/>
                <w:vertAlign w:val="subscript"/>
                <w:lang w:val="fr-FR"/>
              </w:rPr>
              <w:t>1</w:t>
            </w:r>
            <w:r w:rsidR="00EC442C" w:rsidRPr="0047182E">
              <w:rPr>
                <w:sz w:val="18"/>
                <w:lang w:val="fr-FR"/>
              </w:rPr>
              <w:t xml:space="preserve"> </w:t>
            </w:r>
            <w:r w:rsidRPr="0047182E">
              <w:rPr>
                <w:sz w:val="18"/>
                <w:lang w:val="fr-FR"/>
              </w:rPr>
              <w:t>et</w:t>
            </w:r>
            <w:r w:rsidR="00EC442C" w:rsidRPr="0047182E">
              <w:rPr>
                <w:sz w:val="18"/>
                <w:lang w:val="fr-FR"/>
              </w:rPr>
              <w:t xml:space="preserve"> </w:t>
            </w:r>
            <w:r w:rsidRPr="0047182E">
              <w:rPr>
                <w:sz w:val="18"/>
                <w:lang w:val="fr-FR"/>
              </w:rPr>
              <w:t>N</w:t>
            </w:r>
            <w:r w:rsidRPr="0047182E">
              <w:rPr>
                <w:sz w:val="18"/>
                <w:vertAlign w:val="subscript"/>
                <w:lang w:val="fr-FR"/>
              </w:rPr>
              <w:t>1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6C" w:rsidRPr="0047182E" w:rsidRDefault="00C76D6C" w:rsidP="004F2896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47182E">
              <w:rPr>
                <w:sz w:val="18"/>
                <w:lang w:val="fr-FR"/>
              </w:rPr>
              <w:t>100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6C" w:rsidRPr="0047182E" w:rsidRDefault="00C76D6C" w:rsidP="004F2896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47182E">
              <w:rPr>
                <w:sz w:val="18"/>
                <w:lang w:val="fr-FR"/>
              </w:rPr>
              <w:t>80</w:t>
            </w:r>
          </w:p>
        </w:tc>
      </w:tr>
      <w:tr w:rsidR="00C76D6C" w:rsidRPr="0047182E" w:rsidTr="004F2896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6C" w:rsidRPr="0047182E" w:rsidRDefault="00C76D6C" w:rsidP="004F2896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vertAlign w:val="subscript"/>
                <w:lang w:val="fr-FR"/>
              </w:rPr>
            </w:pPr>
            <w:r w:rsidRPr="0047182E">
              <w:rPr>
                <w:sz w:val="18"/>
                <w:lang w:val="fr-FR"/>
              </w:rPr>
              <w:t>M</w:t>
            </w:r>
            <w:r w:rsidRPr="0047182E">
              <w:rPr>
                <w:sz w:val="18"/>
                <w:vertAlign w:val="subscript"/>
                <w:lang w:val="fr-FR"/>
              </w:rPr>
              <w:t>2</w:t>
            </w:r>
            <w:r w:rsidR="00EC442C" w:rsidRPr="0047182E">
              <w:rPr>
                <w:sz w:val="18"/>
                <w:lang w:val="fr-FR"/>
              </w:rPr>
              <w:t xml:space="preserve"> </w:t>
            </w:r>
            <w:r w:rsidRPr="0047182E">
              <w:rPr>
                <w:sz w:val="18"/>
                <w:lang w:val="fr-FR"/>
              </w:rPr>
              <w:t>et</w:t>
            </w:r>
            <w:r w:rsidR="00EC442C" w:rsidRPr="0047182E">
              <w:rPr>
                <w:sz w:val="18"/>
                <w:lang w:val="fr-FR"/>
              </w:rPr>
              <w:t xml:space="preserve"> </w:t>
            </w:r>
            <w:r w:rsidRPr="0047182E">
              <w:rPr>
                <w:sz w:val="18"/>
                <w:lang w:val="fr-FR"/>
              </w:rPr>
              <w:t>N</w:t>
            </w:r>
            <w:r w:rsidRPr="0047182E">
              <w:rPr>
                <w:sz w:val="18"/>
                <w:vertAlign w:val="subscript"/>
                <w:lang w:val="fr-FR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6C" w:rsidRPr="0047182E" w:rsidRDefault="00C76D6C" w:rsidP="004F2896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47182E">
              <w:rPr>
                <w:sz w:val="18"/>
                <w:lang w:val="fr-FR"/>
              </w:rPr>
              <w:t>50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6C" w:rsidRPr="0047182E" w:rsidRDefault="00C76D6C" w:rsidP="004F2896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47182E">
              <w:rPr>
                <w:sz w:val="18"/>
                <w:lang w:val="fr-FR"/>
              </w:rPr>
              <w:t>50</w:t>
            </w:r>
          </w:p>
        </w:tc>
      </w:tr>
      <w:tr w:rsidR="00C76D6C" w:rsidRPr="0047182E" w:rsidTr="004F2896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6C" w:rsidRPr="0047182E" w:rsidRDefault="00C76D6C" w:rsidP="004F2896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47182E">
              <w:rPr>
                <w:sz w:val="18"/>
                <w:lang w:val="fr-FR"/>
              </w:rPr>
              <w:t>M</w:t>
            </w:r>
            <w:r w:rsidRPr="0047182E">
              <w:rPr>
                <w:sz w:val="18"/>
                <w:vertAlign w:val="subscript"/>
                <w:lang w:val="fr-FR"/>
              </w:rPr>
              <w:t>3</w:t>
            </w:r>
            <w:r w:rsidR="00EC442C" w:rsidRPr="0047182E">
              <w:rPr>
                <w:sz w:val="18"/>
                <w:lang w:val="fr-FR"/>
              </w:rPr>
              <w:t xml:space="preserve"> </w:t>
            </w:r>
            <w:r w:rsidRPr="0047182E">
              <w:rPr>
                <w:sz w:val="18"/>
                <w:lang w:val="fr-FR"/>
              </w:rPr>
              <w:t>et</w:t>
            </w:r>
            <w:r w:rsidR="00EC442C" w:rsidRPr="0047182E">
              <w:rPr>
                <w:sz w:val="18"/>
                <w:lang w:val="fr-FR"/>
              </w:rPr>
              <w:t xml:space="preserve"> </w:t>
            </w:r>
            <w:r w:rsidRPr="0047182E">
              <w:rPr>
                <w:sz w:val="18"/>
                <w:lang w:val="fr-FR"/>
              </w:rPr>
              <w:t>N</w:t>
            </w:r>
            <w:r w:rsidRPr="0047182E">
              <w:rPr>
                <w:sz w:val="18"/>
                <w:vertAlign w:val="subscript"/>
                <w:lang w:val="fr-FR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6C" w:rsidRPr="0047182E" w:rsidRDefault="00C76D6C" w:rsidP="004F2896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47182E">
              <w:rPr>
                <w:sz w:val="18"/>
                <w:lang w:val="fr-FR"/>
              </w:rPr>
              <w:t>50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6C" w:rsidRPr="0047182E" w:rsidRDefault="00C76D6C" w:rsidP="004F2896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  <w:lang w:val="fr-FR"/>
              </w:rPr>
            </w:pPr>
            <w:r w:rsidRPr="0047182E">
              <w:rPr>
                <w:sz w:val="18"/>
                <w:lang w:val="fr-FR"/>
              </w:rPr>
              <w:t>45</w:t>
            </w:r>
          </w:p>
        </w:tc>
      </w:tr>
    </w:tbl>
    <w:p w:rsidR="00C76D6C" w:rsidRPr="00EB1034" w:rsidRDefault="00C76D6C" w:rsidP="00EB1034">
      <w:pPr>
        <w:pStyle w:val="SingleTxtG"/>
        <w:tabs>
          <w:tab w:val="left" w:pos="1418"/>
        </w:tabs>
        <w:spacing w:after="0" w:line="200" w:lineRule="atLeast"/>
        <w:ind w:firstLine="170"/>
        <w:jc w:val="left"/>
        <w:rPr>
          <w:sz w:val="18"/>
          <w:szCs w:val="18"/>
          <w:lang w:val="fr-FR"/>
        </w:rPr>
      </w:pPr>
      <w:r w:rsidRPr="00EB1034">
        <w:rPr>
          <w:sz w:val="18"/>
          <w:szCs w:val="18"/>
          <w:vertAlign w:val="superscript"/>
          <w:lang w:val="fr-FR"/>
        </w:rPr>
        <w:t>1</w:t>
      </w:r>
      <w:r w:rsidR="00EB1034" w:rsidRPr="00EB1034">
        <w:rPr>
          <w:sz w:val="18"/>
          <w:szCs w:val="18"/>
          <w:lang w:val="fr-FR"/>
        </w:rPr>
        <w:t xml:space="preserve">  </w:t>
      </w:r>
      <w:r w:rsidRPr="00EB1034">
        <w:rPr>
          <w:sz w:val="18"/>
          <w:szCs w:val="18"/>
          <w:lang w:val="fr-FR"/>
        </w:rPr>
        <w:t>Si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l’équipement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de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direction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auxiliaire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est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dans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une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position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verrouillée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mécaniquement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à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la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vitesse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spécifiée,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la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vitesse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d’essai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est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modifiée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de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façon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à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correspondre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à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la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vitesse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maximale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à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laquelle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le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système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fonctionne.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La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vitesse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maximale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est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celle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à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laquelle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l’équipement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de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direction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auxiliaire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se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verrouille,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moins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5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km/h.</w:t>
      </w:r>
    </w:p>
    <w:p w:rsidR="00C76D6C" w:rsidRPr="00EB1034" w:rsidRDefault="00C76D6C" w:rsidP="004D083B">
      <w:pPr>
        <w:pStyle w:val="SingleTxtG"/>
        <w:keepLines/>
        <w:tabs>
          <w:tab w:val="left" w:pos="1418"/>
        </w:tabs>
        <w:spacing w:after="0" w:line="200" w:lineRule="atLeast"/>
        <w:ind w:firstLine="170"/>
        <w:jc w:val="left"/>
        <w:rPr>
          <w:sz w:val="18"/>
          <w:szCs w:val="18"/>
          <w:lang w:val="fr-FR"/>
        </w:rPr>
      </w:pPr>
      <w:r w:rsidRPr="00EB1034">
        <w:rPr>
          <w:sz w:val="18"/>
          <w:szCs w:val="18"/>
          <w:vertAlign w:val="superscript"/>
          <w:lang w:val="fr-FR"/>
        </w:rPr>
        <w:lastRenderedPageBreak/>
        <w:t>2</w:t>
      </w:r>
      <w:r w:rsidR="00EB1034" w:rsidRPr="00EB1034">
        <w:rPr>
          <w:sz w:val="18"/>
          <w:szCs w:val="18"/>
        </w:rPr>
        <w:t xml:space="preserve">  </w:t>
      </w:r>
      <w:r w:rsidRPr="00EB1034">
        <w:rPr>
          <w:sz w:val="18"/>
          <w:szCs w:val="18"/>
          <w:lang w:val="fr-FR"/>
        </w:rPr>
        <w:t>Si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les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dimensions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du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véhicule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sont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telles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qu’il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risque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de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se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retourner,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le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constructeur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doit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fournir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au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service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technique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les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résultats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d’une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simulation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montrant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jusqu’à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quelle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vitesse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les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essais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pourraient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être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effectués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sans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risque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de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retournement.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Le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service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technique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doit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ensuite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choisir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la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vitesse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d’essai.</w:t>
      </w:r>
    </w:p>
    <w:p w:rsidR="00C76D6C" w:rsidRPr="00EB1034" w:rsidRDefault="00C76D6C" w:rsidP="00424BBB">
      <w:pPr>
        <w:pStyle w:val="SingleTxtG"/>
        <w:tabs>
          <w:tab w:val="left" w:pos="1418"/>
        </w:tabs>
        <w:spacing w:after="240" w:line="200" w:lineRule="atLeast"/>
        <w:ind w:firstLine="170"/>
        <w:jc w:val="left"/>
        <w:rPr>
          <w:sz w:val="18"/>
          <w:szCs w:val="18"/>
          <w:lang w:val="fr-FR"/>
        </w:rPr>
      </w:pPr>
      <w:r w:rsidRPr="00EB1034">
        <w:rPr>
          <w:sz w:val="18"/>
          <w:szCs w:val="18"/>
          <w:vertAlign w:val="superscript"/>
          <w:lang w:val="fr-FR"/>
        </w:rPr>
        <w:t>3</w:t>
      </w:r>
      <w:r w:rsidR="00EB1034" w:rsidRPr="00EB1034">
        <w:rPr>
          <w:sz w:val="18"/>
          <w:szCs w:val="18"/>
          <w:lang w:val="fr-FR"/>
        </w:rPr>
        <w:t xml:space="preserve">  </w:t>
      </w:r>
      <w:r w:rsidRPr="00EB1034">
        <w:rPr>
          <w:sz w:val="18"/>
          <w:szCs w:val="18"/>
          <w:lang w:val="fr-FR"/>
        </w:rPr>
        <w:t>Si,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en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raison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de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la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configuration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du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site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d’essai,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ces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valeurs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ne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peuvent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être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obtenues,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les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essais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peuvent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être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effectués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sur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piste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en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utilisant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d’autres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rayons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(variation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maximale</w:t>
      </w:r>
      <w:r w:rsidR="00EC442C" w:rsidRPr="00EB1034">
        <w:rPr>
          <w:sz w:val="18"/>
          <w:szCs w:val="18"/>
          <w:lang w:val="fr-FR"/>
        </w:rPr>
        <w:t xml:space="preserve"> : </w:t>
      </w:r>
      <w:r w:rsidR="004D083B">
        <w:rPr>
          <w:sz w:val="18"/>
          <w:szCs w:val="18"/>
          <w:lang w:val="fr-FR"/>
        </w:rPr>
        <w:sym w:font="Symbol" w:char="F0B1"/>
      </w:r>
      <w:r w:rsidRPr="00EB1034">
        <w:rPr>
          <w:sz w:val="18"/>
          <w:szCs w:val="18"/>
          <w:lang w:val="fr-FR"/>
        </w:rPr>
        <w:t>25</w:t>
      </w:r>
      <w:r w:rsidR="007722BD">
        <w:rPr>
          <w:sz w:val="18"/>
          <w:szCs w:val="18"/>
          <w:lang w:val="fr-FR"/>
        </w:rPr>
        <w:t> </w:t>
      </w:r>
      <w:r w:rsidRPr="00EB1034">
        <w:rPr>
          <w:sz w:val="18"/>
          <w:szCs w:val="18"/>
          <w:lang w:val="fr-FR"/>
        </w:rPr>
        <w:t>%),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à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condition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que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la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vitesse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soit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adaptée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pour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obtenir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l’accélération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transversale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résultant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du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rayon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et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de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la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vitesse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indiqués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dans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le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tableau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pour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la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catégorie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de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véhicules</w:t>
      </w:r>
      <w:r w:rsidR="00EC442C" w:rsidRPr="00EB1034">
        <w:rPr>
          <w:sz w:val="18"/>
          <w:szCs w:val="18"/>
          <w:lang w:val="fr-FR"/>
        </w:rPr>
        <w:t xml:space="preserve"> </w:t>
      </w:r>
      <w:r w:rsidRPr="00EB1034">
        <w:rPr>
          <w:sz w:val="18"/>
          <w:szCs w:val="18"/>
          <w:lang w:val="fr-FR"/>
        </w:rPr>
        <w:t>considérée.</w:t>
      </w:r>
    </w:p>
    <w:p w:rsidR="00C76D6C" w:rsidRPr="00DE4822" w:rsidRDefault="00C76D6C" w:rsidP="00424BBB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provoquée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atteint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spécifiée.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L’essai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effectué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tournant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vers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droite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vers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gauche.</w:t>
      </w:r>
    </w:p>
    <w:p w:rsidR="00C76D6C" w:rsidRPr="00DE4822" w:rsidRDefault="00C76D6C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2.2.1.2</w:t>
      </w:r>
      <w:r w:rsidRPr="00DE4822">
        <w:rPr>
          <w:lang w:val="fr-FR"/>
        </w:rPr>
        <w:tab/>
        <w:t>Essai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provisoire</w:t>
      </w:r>
    </w:p>
    <w:p w:rsidR="00C76D6C" w:rsidRPr="00DE4822" w:rsidRDefault="00C76D6C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2.2.1.2.1</w:t>
      </w:r>
      <w:r w:rsidRPr="00DE4822">
        <w:rPr>
          <w:lang w:val="fr-FR"/>
        </w:rPr>
        <w:tab/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attendant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méthodes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d’essai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uniformes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aient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adoptées,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constructeur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aviser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services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techniques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méthodes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d’essai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résultats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concernant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comportement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provisoire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défaillance.</w:t>
      </w:r>
    </w:p>
    <w:p w:rsidR="00C76D6C" w:rsidRPr="00583B02" w:rsidRDefault="00C76D6C" w:rsidP="00E32E15">
      <w:pPr>
        <w:pStyle w:val="SingleTxtG"/>
        <w:ind w:left="2268" w:hanging="1134"/>
        <w:rPr>
          <w:lang w:val="fr-FR"/>
        </w:rPr>
      </w:pPr>
      <w:r w:rsidRPr="00583B02">
        <w:rPr>
          <w:lang w:val="fr-FR"/>
        </w:rPr>
        <w:t>2.3</w:t>
      </w:r>
      <w:r w:rsidRPr="00583B02">
        <w:rPr>
          <w:lang w:val="fr-FR"/>
        </w:rPr>
        <w:tab/>
        <w:t>Signaux</w:t>
      </w:r>
      <w:r w:rsidR="00EC442C" w:rsidRPr="00583B02">
        <w:rPr>
          <w:lang w:val="fr-FR"/>
        </w:rPr>
        <w:t xml:space="preserve"> </w:t>
      </w:r>
      <w:r w:rsidRPr="00583B02">
        <w:rPr>
          <w:lang w:val="fr-FR"/>
        </w:rPr>
        <w:t>d’avertissement</w:t>
      </w:r>
      <w:r w:rsidR="00EC442C" w:rsidRPr="00583B02">
        <w:rPr>
          <w:lang w:val="fr-FR"/>
        </w:rPr>
        <w:t xml:space="preserve"> </w:t>
      </w:r>
      <w:r w:rsidRPr="00583B02">
        <w:rPr>
          <w:lang w:val="fr-FR"/>
        </w:rPr>
        <w:t>en</w:t>
      </w:r>
      <w:r w:rsidR="00EC442C" w:rsidRPr="00583B02">
        <w:rPr>
          <w:lang w:val="fr-FR"/>
        </w:rPr>
        <w:t xml:space="preserve"> </w:t>
      </w:r>
      <w:r w:rsidRPr="00583B02">
        <w:rPr>
          <w:lang w:val="fr-FR"/>
        </w:rPr>
        <w:t>cas</w:t>
      </w:r>
      <w:r w:rsidR="00EC442C" w:rsidRPr="00583B02">
        <w:rPr>
          <w:lang w:val="fr-FR"/>
        </w:rPr>
        <w:t xml:space="preserve"> </w:t>
      </w:r>
      <w:r w:rsidRPr="00583B02">
        <w:rPr>
          <w:lang w:val="fr-FR"/>
        </w:rPr>
        <w:t>de</w:t>
      </w:r>
      <w:r w:rsidR="00EC442C" w:rsidRPr="00583B02">
        <w:rPr>
          <w:lang w:val="fr-FR"/>
        </w:rPr>
        <w:t xml:space="preserve"> </w:t>
      </w:r>
      <w:r w:rsidRPr="00583B02">
        <w:rPr>
          <w:lang w:val="fr-FR"/>
        </w:rPr>
        <w:t>défaillance</w:t>
      </w:r>
    </w:p>
    <w:p w:rsidR="00C76D6C" w:rsidRPr="00DE4822" w:rsidRDefault="00C76D6C" w:rsidP="00E32E15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2.3.1</w:t>
      </w:r>
      <w:r w:rsidRPr="00DE4822">
        <w:rPr>
          <w:lang w:val="fr-FR"/>
        </w:rPr>
        <w:tab/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l’exception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auxiliaire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censées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l’abri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indiqué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5.3.1.1</w:t>
      </w:r>
      <w:r w:rsidR="00EC442C">
        <w:rPr>
          <w:b/>
          <w:bCs/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ci</w:t>
      </w:r>
      <w:r w:rsidR="004D15A8">
        <w:rPr>
          <w:lang w:val="fr-FR"/>
        </w:rPr>
        <w:t>-</w:t>
      </w:r>
      <w:r w:rsidRPr="00DE4822">
        <w:rPr>
          <w:lang w:val="fr-FR"/>
        </w:rPr>
        <w:t>après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auxiliaire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clairement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signalées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l’attention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> :</w:t>
      </w:r>
    </w:p>
    <w:p w:rsidR="00C76D6C" w:rsidRPr="00DE4822" w:rsidRDefault="00C76D6C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2.3.1.1</w:t>
      </w:r>
      <w:r w:rsidR="00E33761" w:rsidRPr="00DE4822">
        <w:rPr>
          <w:lang w:val="fr-FR"/>
        </w:rPr>
        <w:tab/>
      </w:r>
      <w:r w:rsidR="00583B02" w:rsidRPr="00DE4822">
        <w:rPr>
          <w:lang w:val="fr-FR"/>
        </w:rPr>
        <w:t>Une</w:t>
      </w:r>
      <w:r w:rsidR="00583B02">
        <w:rPr>
          <w:lang w:val="fr-FR"/>
        </w:rPr>
        <w:t xml:space="preserve"> </w:t>
      </w:r>
      <w:r w:rsidRPr="00DE4822">
        <w:rPr>
          <w:lang w:val="fr-FR"/>
        </w:rPr>
        <w:t>coupure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générale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hydraulique</w:t>
      </w:r>
      <w:r w:rsidR="00EC442C">
        <w:rPr>
          <w:lang w:val="fr-FR"/>
        </w:rPr>
        <w:t> ;</w:t>
      </w:r>
    </w:p>
    <w:p w:rsidR="00C76D6C" w:rsidRPr="00DE4822" w:rsidRDefault="00C76D6C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2.3.1.2</w:t>
      </w:r>
      <w:r w:rsidRPr="00DE4822">
        <w:rPr>
          <w:lang w:val="fr-FR"/>
        </w:rPr>
        <w:tab/>
      </w:r>
      <w:r w:rsidR="00583B02" w:rsidRPr="00DE4822">
        <w:rPr>
          <w:lang w:val="fr-FR"/>
        </w:rPr>
        <w:t>Une</w:t>
      </w:r>
      <w:r w:rsidR="00583B02">
        <w:rPr>
          <w:lang w:val="fr-FR"/>
        </w:rPr>
        <w:t xml:space="preserve"> </w:t>
      </w:r>
      <w:r w:rsidRPr="00DE4822">
        <w:rPr>
          <w:lang w:val="fr-FR"/>
        </w:rPr>
        <w:t>défaillance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l’alimentation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énergie</w:t>
      </w:r>
      <w:r w:rsidR="00EC442C">
        <w:rPr>
          <w:lang w:val="fr-FR"/>
        </w:rPr>
        <w:t> ;</w:t>
      </w:r>
    </w:p>
    <w:p w:rsidR="00B972DC" w:rsidRDefault="00C76D6C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2.3.1.3</w:t>
      </w:r>
      <w:r w:rsidRPr="00DE4822">
        <w:rPr>
          <w:lang w:val="fr-FR"/>
        </w:rPr>
        <w:tab/>
      </w:r>
      <w:r w:rsidR="00583B02" w:rsidRPr="00DE4822">
        <w:rPr>
          <w:lang w:val="fr-FR"/>
        </w:rPr>
        <w:t>Une</w:t>
      </w:r>
      <w:r w:rsidR="00583B02">
        <w:rPr>
          <w:lang w:val="fr-FR"/>
        </w:rPr>
        <w:t xml:space="preserve"> </w:t>
      </w:r>
      <w:r w:rsidRPr="00DE4822">
        <w:rPr>
          <w:lang w:val="fr-FR"/>
        </w:rPr>
        <w:t>rupture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câblage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externe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muni.</w:t>
      </w:r>
    </w:p>
    <w:p w:rsidR="00424BBB" w:rsidRDefault="00424BBB" w:rsidP="00DB7C78">
      <w:pPr>
        <w:pStyle w:val="SingleTxtG"/>
        <w:ind w:left="2268" w:hanging="1134"/>
        <w:rPr>
          <w:lang w:val="fr-FR"/>
        </w:rPr>
      </w:pPr>
    </w:p>
    <w:p w:rsidR="00424BBB" w:rsidRPr="00DE4822" w:rsidRDefault="00424BBB" w:rsidP="00DB7C78">
      <w:pPr>
        <w:pStyle w:val="SingleTxtG"/>
        <w:ind w:left="2268" w:hanging="1134"/>
        <w:rPr>
          <w:lang w:val="fr-FR"/>
        </w:rPr>
        <w:sectPr w:rsidR="00424BBB" w:rsidRPr="00DE4822" w:rsidSect="00C76D6C">
          <w:headerReference w:type="even" r:id="rId29"/>
          <w:headerReference w:type="default" r:id="rId30"/>
          <w:footerReference w:type="even" r:id="rId31"/>
          <w:footerReference w:type="default" r:id="rId32"/>
          <w:footnotePr>
            <w:numRestart w:val="eachSect"/>
          </w:footnotePr>
          <w:endnotePr>
            <w:numFmt w:val="decimal"/>
          </w:endnotePr>
          <w:pgSz w:w="11907" w:h="16840" w:code="9"/>
          <w:pgMar w:top="1417" w:right="1134" w:bottom="1134" w:left="1134" w:header="680" w:footer="567" w:gutter="0"/>
          <w:cols w:space="720"/>
          <w:docGrid w:linePitch="272"/>
        </w:sectPr>
      </w:pPr>
    </w:p>
    <w:p w:rsidR="003C1755" w:rsidRPr="00DE4822" w:rsidRDefault="003C1755" w:rsidP="00424BBB">
      <w:pPr>
        <w:pStyle w:val="HChG"/>
        <w:rPr>
          <w:lang w:val="fr-FR"/>
        </w:rPr>
      </w:pPr>
      <w:r w:rsidRPr="00DE4822">
        <w:rPr>
          <w:lang w:val="fr-FR"/>
        </w:rPr>
        <w:lastRenderedPageBreak/>
        <w:t>Annexe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</w:t>
      </w:r>
    </w:p>
    <w:p w:rsidR="003C1755" w:rsidRPr="00DE4822" w:rsidRDefault="00424BBB" w:rsidP="00424BBB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3C1755" w:rsidRPr="00DE4822">
        <w:rPr>
          <w:lang w:val="fr-FR"/>
        </w:rPr>
        <w:t>Dispositions</w:t>
      </w:r>
      <w:r w:rsidR="00EC442C">
        <w:rPr>
          <w:lang w:val="fr-FR"/>
        </w:rPr>
        <w:t xml:space="preserve"> </w:t>
      </w:r>
      <w:r w:rsidR="003C1755" w:rsidRPr="00DE4822">
        <w:rPr>
          <w:lang w:val="fr-FR"/>
        </w:rPr>
        <w:t>applicables</w:t>
      </w:r>
      <w:r w:rsidR="00EC442C">
        <w:rPr>
          <w:lang w:val="fr-FR"/>
        </w:rPr>
        <w:t xml:space="preserve"> </w:t>
      </w:r>
      <w:r w:rsidR="003C1755"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="003C1755" w:rsidRPr="00DE4822">
        <w:rPr>
          <w:lang w:val="fr-FR"/>
        </w:rPr>
        <w:t>remorques</w:t>
      </w:r>
      <w:r w:rsidR="00EC442C">
        <w:rPr>
          <w:lang w:val="fr-FR"/>
        </w:rPr>
        <w:t xml:space="preserve"> </w:t>
      </w:r>
      <w:r w:rsidR="003C1755" w:rsidRPr="00DE4822">
        <w:rPr>
          <w:lang w:val="fr-FR"/>
        </w:rPr>
        <w:t>équipées</w:t>
      </w:r>
      <w:r w:rsidR="00EC442C">
        <w:rPr>
          <w:lang w:val="fr-FR"/>
        </w:rPr>
        <w:t xml:space="preserve"> </w:t>
      </w:r>
      <w:r w:rsidR="003C1755" w:rsidRPr="00DE4822">
        <w:rPr>
          <w:lang w:val="fr-FR"/>
        </w:rPr>
        <w:t>d’une</w:t>
      </w:r>
      <w:r>
        <w:rPr>
          <w:lang w:val="fr-FR"/>
        </w:rPr>
        <w:t> </w:t>
      </w:r>
      <w:r w:rsidR="003C1755" w:rsidRPr="00DE4822">
        <w:rPr>
          <w:lang w:val="fr-FR"/>
        </w:rPr>
        <w:t>timonerie</w:t>
      </w:r>
      <w:r w:rsidR="00EC442C">
        <w:rPr>
          <w:lang w:val="fr-FR"/>
        </w:rPr>
        <w:t xml:space="preserve"> </w:t>
      </w:r>
      <w:r w:rsidR="003C1755"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="003C1755"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="003C1755" w:rsidRPr="00DE4822">
        <w:rPr>
          <w:lang w:val="fr-FR"/>
        </w:rPr>
        <w:t>purement</w:t>
      </w:r>
      <w:r w:rsidR="00EC442C">
        <w:rPr>
          <w:lang w:val="fr-FR"/>
        </w:rPr>
        <w:t xml:space="preserve"> </w:t>
      </w:r>
      <w:r w:rsidR="003C1755" w:rsidRPr="00DE4822">
        <w:rPr>
          <w:lang w:val="fr-FR"/>
        </w:rPr>
        <w:t>hydraulique</w:t>
      </w:r>
    </w:p>
    <w:p w:rsidR="003C1755" w:rsidRPr="00DE4822" w:rsidRDefault="003C1755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1.</w:t>
      </w:r>
      <w:r w:rsidRPr="00DE4822">
        <w:rPr>
          <w:lang w:val="fr-FR"/>
        </w:rPr>
        <w:tab/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générales</w:t>
      </w:r>
    </w:p>
    <w:p w:rsidR="003C1755" w:rsidRPr="00DE4822" w:rsidRDefault="003C1755" w:rsidP="00424BBB">
      <w:pPr>
        <w:pStyle w:val="SingleTxtG"/>
        <w:ind w:left="2268"/>
      </w:pPr>
      <w:r w:rsidRPr="00DE4822">
        <w:t>Les</w:t>
      </w:r>
      <w:r w:rsidR="00EC442C">
        <w:t xml:space="preserve"> </w:t>
      </w:r>
      <w:r w:rsidRPr="00DE4822">
        <w:t>véhicules</w:t>
      </w:r>
      <w:r w:rsidR="00EC442C">
        <w:t xml:space="preserve"> </w:t>
      </w:r>
      <w:r w:rsidRPr="00DE4822">
        <w:t>équipés</w:t>
      </w:r>
      <w:r w:rsidR="00EC442C">
        <w:t xml:space="preserve"> </w:t>
      </w:r>
      <w:r w:rsidRPr="00DE4822">
        <w:t>d’une</w:t>
      </w:r>
      <w:r w:rsidR="00EC442C">
        <w:t xml:space="preserve"> </w:t>
      </w:r>
      <w:r w:rsidRPr="00DE4822">
        <w:t>timonerie</w:t>
      </w:r>
      <w:r w:rsidR="00EC442C">
        <w:t xml:space="preserve"> </w:t>
      </w:r>
      <w:r w:rsidRPr="00DE4822">
        <w:t>de</w:t>
      </w:r>
      <w:r w:rsidR="00EC442C">
        <w:t xml:space="preserve"> </w:t>
      </w:r>
      <w:r w:rsidRPr="00DE4822">
        <w:t>direction</w:t>
      </w:r>
      <w:r w:rsidR="00EC442C">
        <w:t xml:space="preserve"> </w:t>
      </w:r>
      <w:r w:rsidRPr="00DE4822">
        <w:t>purement</w:t>
      </w:r>
      <w:r w:rsidR="00EC442C">
        <w:t xml:space="preserve"> </w:t>
      </w:r>
      <w:r w:rsidRPr="00DE4822">
        <w:t>hydraulique</w:t>
      </w:r>
      <w:r w:rsidR="00EC442C">
        <w:t xml:space="preserve"> </w:t>
      </w:r>
      <w:r w:rsidRPr="00DE4822">
        <w:t>doivent</w:t>
      </w:r>
      <w:r w:rsidR="00EC442C">
        <w:t xml:space="preserve"> </w:t>
      </w:r>
      <w:r w:rsidRPr="00DE4822">
        <w:t>satisfaire</w:t>
      </w:r>
      <w:r w:rsidR="00EC442C">
        <w:t xml:space="preserve"> </w:t>
      </w:r>
      <w:r w:rsidRPr="00DE4822">
        <w:t>aux</w:t>
      </w:r>
      <w:r w:rsidR="00EC442C">
        <w:t xml:space="preserve"> </w:t>
      </w:r>
      <w:r w:rsidRPr="00DE4822">
        <w:t>dispositions</w:t>
      </w:r>
      <w:r w:rsidR="00EC442C">
        <w:t xml:space="preserve"> </w:t>
      </w:r>
      <w:r w:rsidRPr="00DE4822">
        <w:t>de</w:t>
      </w:r>
      <w:r w:rsidR="00EC442C">
        <w:t xml:space="preserve"> </w:t>
      </w:r>
      <w:r w:rsidRPr="00DE4822">
        <w:t>la</w:t>
      </w:r>
      <w:r w:rsidR="00EC442C">
        <w:t xml:space="preserve"> </w:t>
      </w:r>
      <w:r w:rsidRPr="00DE4822">
        <w:t>présente</w:t>
      </w:r>
      <w:r w:rsidR="00EC442C">
        <w:t xml:space="preserve"> </w:t>
      </w:r>
      <w:r w:rsidRPr="00DE4822">
        <w:t>annexe,</w:t>
      </w:r>
      <w:r w:rsidR="00EC442C">
        <w:t xml:space="preserve"> </w:t>
      </w:r>
      <w:r w:rsidRPr="00DE4822">
        <w:t>en</w:t>
      </w:r>
      <w:r w:rsidR="00EC442C">
        <w:t xml:space="preserve"> </w:t>
      </w:r>
      <w:r w:rsidRPr="00DE4822">
        <w:t>plus</w:t>
      </w:r>
      <w:r w:rsidR="00EC442C">
        <w:t xml:space="preserve"> </w:t>
      </w:r>
      <w:r w:rsidRPr="00DE4822">
        <w:t>des</w:t>
      </w:r>
      <w:r w:rsidR="00EC442C">
        <w:t xml:space="preserve"> </w:t>
      </w:r>
      <w:r w:rsidRPr="00DE4822">
        <w:t>prescriptions</w:t>
      </w:r>
      <w:r w:rsidR="00EC442C">
        <w:t xml:space="preserve"> </w:t>
      </w:r>
      <w:r w:rsidRPr="00DE4822">
        <w:t>énoncées</w:t>
      </w:r>
      <w:r w:rsidR="00EC442C">
        <w:t xml:space="preserve"> </w:t>
      </w:r>
      <w:r w:rsidRPr="00DE4822">
        <w:t>dans</w:t>
      </w:r>
      <w:r w:rsidR="00EC442C">
        <w:t xml:space="preserve"> </w:t>
      </w:r>
      <w:r w:rsidRPr="00DE4822">
        <w:t>le</w:t>
      </w:r>
      <w:r w:rsidR="00EC442C">
        <w:t xml:space="preserve"> </w:t>
      </w:r>
      <w:r w:rsidRPr="00DE4822">
        <w:t>corps</w:t>
      </w:r>
      <w:r w:rsidR="00EC442C">
        <w:t xml:space="preserve"> </w:t>
      </w:r>
      <w:r w:rsidRPr="00DE4822">
        <w:t>du</w:t>
      </w:r>
      <w:r w:rsidR="00EC442C">
        <w:t xml:space="preserve"> </w:t>
      </w:r>
      <w:r w:rsidRPr="00DE4822">
        <w:t>présent</w:t>
      </w:r>
      <w:r w:rsidR="00EC442C">
        <w:t xml:space="preserve"> </w:t>
      </w:r>
      <w:r w:rsidRPr="00DE4822">
        <w:t>Règlement.</w:t>
      </w:r>
    </w:p>
    <w:p w:rsidR="003C1755" w:rsidRPr="00DE4822" w:rsidRDefault="003C1755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</w:t>
      </w:r>
      <w:r w:rsidRPr="00DE4822">
        <w:rPr>
          <w:lang w:val="fr-FR"/>
        </w:rPr>
        <w:tab/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spécifiques</w:t>
      </w:r>
    </w:p>
    <w:p w:rsidR="003C1755" w:rsidRPr="00DE4822" w:rsidRDefault="003C1755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2.1</w:t>
      </w:r>
      <w:r w:rsidRPr="00DE4822">
        <w:rPr>
          <w:lang w:val="fr-FR"/>
        </w:rPr>
        <w:tab/>
        <w:t>Efficacité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conduites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hydrauliques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leurs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raccords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flexibles</w:t>
      </w:r>
    </w:p>
    <w:p w:rsidR="003C1755" w:rsidRPr="00DE4822" w:rsidRDefault="003C1755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2.1.1</w:t>
      </w:r>
      <w:r w:rsidRPr="00DE4822">
        <w:rPr>
          <w:lang w:val="fr-FR"/>
        </w:rPr>
        <w:tab/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conduites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transmissions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purement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hydrauliques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pouvoir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résister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pression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rupture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moins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égale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quatre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pression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service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normale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maximum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(T)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fixée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constructeur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raccords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flexibles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satisfaire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normes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ISO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suivantes</w:t>
      </w:r>
      <w:r w:rsidR="00EC442C">
        <w:rPr>
          <w:lang w:val="fr-FR"/>
        </w:rPr>
        <w:t xml:space="preserve"> : </w:t>
      </w:r>
      <w:r w:rsidRPr="00DE4822">
        <w:rPr>
          <w:lang w:val="fr-FR"/>
        </w:rPr>
        <w:t>1402</w:t>
      </w:r>
      <w:r w:rsidR="00EC442C">
        <w:rPr>
          <w:lang w:val="fr-FR"/>
        </w:rPr>
        <w:t>:</w:t>
      </w:r>
      <w:r w:rsidRPr="00DE4822">
        <w:rPr>
          <w:lang w:val="fr-FR"/>
        </w:rPr>
        <w:t>1994,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6605</w:t>
      </w:r>
      <w:r w:rsidR="00EC442C">
        <w:rPr>
          <w:lang w:val="fr-FR"/>
        </w:rPr>
        <w:t>:</w:t>
      </w:r>
      <w:r w:rsidRPr="00DE4822">
        <w:rPr>
          <w:lang w:val="fr-FR"/>
        </w:rPr>
        <w:t>1986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7751</w:t>
      </w:r>
      <w:r w:rsidR="00EC442C">
        <w:rPr>
          <w:lang w:val="fr-FR"/>
        </w:rPr>
        <w:t>:</w:t>
      </w:r>
      <w:r w:rsidRPr="00DE4822">
        <w:rPr>
          <w:lang w:val="fr-FR"/>
        </w:rPr>
        <w:t>1991.</w:t>
      </w:r>
    </w:p>
    <w:p w:rsidR="003C1755" w:rsidRPr="00DE4822" w:rsidRDefault="003C1755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2.2</w:t>
      </w:r>
      <w:r w:rsidRPr="00DE4822">
        <w:rPr>
          <w:lang w:val="fr-FR"/>
        </w:rPr>
        <w:tab/>
        <w:t>Systèmes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tributaires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alimentation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énergie</w:t>
      </w:r>
    </w:p>
    <w:p w:rsidR="003C1755" w:rsidRPr="00DE4822" w:rsidRDefault="003C1755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2.2.1</w:t>
      </w:r>
      <w:r w:rsidRPr="00DE4822">
        <w:rPr>
          <w:lang w:val="fr-FR"/>
        </w:rPr>
        <w:tab/>
        <w:t>L’alimentation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énergie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protégée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surpression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soupape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décompression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déclenche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pression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T.</w:t>
      </w:r>
    </w:p>
    <w:p w:rsidR="003C1755" w:rsidRPr="00DE4822" w:rsidRDefault="003C1755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2.3</w:t>
      </w:r>
      <w:r w:rsidRPr="00DE4822">
        <w:rPr>
          <w:lang w:val="fr-FR"/>
        </w:rPr>
        <w:tab/>
        <w:t>Protection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timonerie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</w:p>
    <w:p w:rsidR="00B972DC" w:rsidRDefault="003C1755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2.3.1</w:t>
      </w:r>
      <w:r w:rsidRPr="00DE4822">
        <w:rPr>
          <w:lang w:val="fr-FR"/>
        </w:rPr>
        <w:tab/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timonerie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protégée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surpression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soupape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décompression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déclenche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1,1</w:t>
      </w:r>
      <w:r w:rsidR="00424BBB">
        <w:rPr>
          <w:lang w:val="fr-FR"/>
        </w:rPr>
        <w:t> </w:t>
      </w:r>
      <w:r w:rsidRPr="00DE4822">
        <w:rPr>
          <w:lang w:val="fr-FR"/>
        </w:rPr>
        <w:t>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2,2</w:t>
      </w:r>
      <w:r w:rsidR="00424BBB">
        <w:rPr>
          <w:lang w:val="fr-FR"/>
        </w:rPr>
        <w:t> </w:t>
      </w:r>
      <w:r w:rsidRPr="00DE4822">
        <w:rPr>
          <w:lang w:val="fr-FR"/>
        </w:rPr>
        <w:t>T.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valeur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pression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soupape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décompression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compatible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avec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caractéristiques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installé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incombe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constructeur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confirmer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type.</w:t>
      </w:r>
    </w:p>
    <w:p w:rsidR="00424BBB" w:rsidRPr="00DE4822" w:rsidRDefault="00424BBB" w:rsidP="00DB7C78">
      <w:pPr>
        <w:pStyle w:val="SingleTxtG"/>
        <w:ind w:left="2268" w:hanging="1134"/>
        <w:rPr>
          <w:lang w:val="fr-FR"/>
        </w:rPr>
      </w:pPr>
    </w:p>
    <w:p w:rsidR="002564BC" w:rsidRPr="00DE4822" w:rsidRDefault="002564BC" w:rsidP="003C1755">
      <w:pPr>
        <w:sectPr w:rsidR="002564BC" w:rsidRPr="00DE4822" w:rsidSect="00B972DC">
          <w:headerReference w:type="even" r:id="rId33"/>
          <w:headerReference w:type="default" r:id="rId34"/>
          <w:footerReference w:type="even" r:id="rId35"/>
          <w:footerReference w:type="default" r:id="rId36"/>
          <w:footnotePr>
            <w:numRestart w:val="eachSect"/>
          </w:footnotePr>
          <w:endnotePr>
            <w:numFmt w:val="decimal"/>
          </w:endnotePr>
          <w:pgSz w:w="11907" w:h="16840" w:code="9"/>
          <w:pgMar w:top="1417" w:right="1134" w:bottom="1134" w:left="1134" w:header="680" w:footer="567" w:gutter="0"/>
          <w:cols w:space="720"/>
          <w:docGrid w:linePitch="272"/>
        </w:sectPr>
      </w:pPr>
    </w:p>
    <w:p w:rsidR="008E13DE" w:rsidRPr="00DE4822" w:rsidRDefault="008E13DE" w:rsidP="00424BBB">
      <w:pPr>
        <w:pStyle w:val="HChG"/>
        <w:rPr>
          <w:lang w:val="fr-FR"/>
        </w:rPr>
      </w:pPr>
      <w:r w:rsidRPr="00DE4822">
        <w:rPr>
          <w:lang w:val="fr-FR"/>
        </w:rPr>
        <w:lastRenderedPageBreak/>
        <w:t>Annexe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6</w:t>
      </w:r>
    </w:p>
    <w:p w:rsidR="008E13DE" w:rsidRPr="00DE4822" w:rsidRDefault="00424BBB" w:rsidP="00424BBB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8E13DE"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="008E13DE" w:rsidRPr="00DE4822">
        <w:rPr>
          <w:lang w:val="fr-FR"/>
        </w:rPr>
        <w:t>spéciales</w:t>
      </w:r>
      <w:r w:rsidR="00EC442C">
        <w:rPr>
          <w:lang w:val="fr-FR"/>
        </w:rPr>
        <w:t xml:space="preserve"> </w:t>
      </w:r>
      <w:r w:rsidR="008E13DE" w:rsidRPr="00DE4822">
        <w:rPr>
          <w:lang w:val="fr-FR"/>
        </w:rPr>
        <w:t>applicables</w:t>
      </w:r>
      <w:r w:rsidR="00EC442C">
        <w:rPr>
          <w:lang w:val="fr-FR"/>
        </w:rPr>
        <w:t xml:space="preserve"> </w:t>
      </w:r>
      <w:r w:rsidR="008E13DE"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="008E13DE" w:rsidRPr="00DE4822">
        <w:rPr>
          <w:lang w:val="fr-FR"/>
        </w:rPr>
        <w:t>aspects</w:t>
      </w:r>
      <w:r w:rsidR="00EC442C">
        <w:rPr>
          <w:lang w:val="fr-FR"/>
        </w:rPr>
        <w:t xml:space="preserve"> </w:t>
      </w:r>
      <w:r w:rsidR="008E13DE" w:rsidRPr="00DE4822">
        <w:rPr>
          <w:lang w:val="fr-FR"/>
        </w:rPr>
        <w:t>liés</w:t>
      </w:r>
      <w:r w:rsidR="00EC442C">
        <w:rPr>
          <w:lang w:val="fr-FR"/>
        </w:rPr>
        <w:t xml:space="preserve"> </w:t>
      </w:r>
      <w:r w:rsidR="008E13DE" w:rsidRPr="00DE4822">
        <w:rPr>
          <w:lang w:val="fr-FR"/>
        </w:rPr>
        <w:t>à</w:t>
      </w:r>
      <w:r>
        <w:rPr>
          <w:lang w:val="fr-FR"/>
        </w:rPr>
        <w:t> </w:t>
      </w:r>
      <w:r w:rsidR="008E13DE" w:rsidRPr="00DE4822">
        <w:rPr>
          <w:lang w:val="fr-FR"/>
        </w:rPr>
        <w:t>la</w:t>
      </w:r>
      <w:r>
        <w:rPr>
          <w:lang w:val="fr-FR"/>
        </w:rPr>
        <w:t> </w:t>
      </w:r>
      <w:r w:rsidR="008E13DE" w:rsidRPr="00DE4822">
        <w:rPr>
          <w:lang w:val="fr-FR"/>
        </w:rPr>
        <w:t>sécurité</w:t>
      </w:r>
      <w:r w:rsidR="00EC442C">
        <w:rPr>
          <w:lang w:val="fr-FR"/>
        </w:rPr>
        <w:t xml:space="preserve"> </w:t>
      </w:r>
      <w:r w:rsidR="008E13DE"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="008E13DE" w:rsidRPr="00DE4822">
        <w:rPr>
          <w:lang w:val="fr-FR"/>
        </w:rPr>
        <w:t>systèmes</w:t>
      </w:r>
      <w:r w:rsidR="00EC442C">
        <w:rPr>
          <w:lang w:val="fr-FR"/>
        </w:rPr>
        <w:t xml:space="preserve"> </w:t>
      </w:r>
      <w:r w:rsidR="008E13DE" w:rsidRPr="00DE4822">
        <w:rPr>
          <w:lang w:val="fr-FR"/>
        </w:rPr>
        <w:t>complexes</w:t>
      </w:r>
      <w:r w:rsidR="00EC442C">
        <w:rPr>
          <w:lang w:val="fr-FR"/>
        </w:rPr>
        <w:t xml:space="preserve"> </w:t>
      </w:r>
      <w:r w:rsidR="008E13DE"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="008E13DE"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="008E13DE" w:rsidRPr="00DE4822">
        <w:rPr>
          <w:lang w:val="fr-FR"/>
        </w:rPr>
        <w:t>électronique</w:t>
      </w:r>
      <w:r w:rsidR="00EC442C">
        <w:rPr>
          <w:lang w:val="fr-FR"/>
        </w:rPr>
        <w:t xml:space="preserve"> </w:t>
      </w:r>
      <w:r w:rsidR="008E13DE"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="008E13DE" w:rsidRPr="00DE4822">
        <w:rPr>
          <w:lang w:val="fr-FR"/>
        </w:rPr>
        <w:t>véhicules</w:t>
      </w:r>
    </w:p>
    <w:p w:rsidR="008E13DE" w:rsidRPr="00DE4822" w:rsidRDefault="008E13DE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1.</w:t>
      </w:r>
      <w:r w:rsidRPr="00DE4822">
        <w:rPr>
          <w:lang w:val="fr-FR"/>
        </w:rPr>
        <w:tab/>
        <w:t>Généralités</w:t>
      </w:r>
    </w:p>
    <w:p w:rsidR="008E13DE" w:rsidRPr="00DE4822" w:rsidRDefault="008E13DE" w:rsidP="00424BBB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annexe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définit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spéciales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applicables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documentation,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gestion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vérifications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portant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aspects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liés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sécurité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complexes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électronique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(par.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2.3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ci</w:t>
      </w:r>
      <w:r w:rsidR="004D15A8">
        <w:rPr>
          <w:lang w:val="fr-FR"/>
        </w:rPr>
        <w:t>-</w:t>
      </w:r>
      <w:r w:rsidRPr="00DE4822">
        <w:rPr>
          <w:lang w:val="fr-FR"/>
        </w:rPr>
        <w:t>dessous),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concerne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Règlement.</w:t>
      </w:r>
    </w:p>
    <w:p w:rsidR="008E13DE" w:rsidRPr="00DE4822" w:rsidRDefault="008E13DE" w:rsidP="00424BBB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Elle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également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évoquée,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moyen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spéciaux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liées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sécurité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contrôlées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plusieurs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électroniques.</w:t>
      </w:r>
    </w:p>
    <w:p w:rsidR="008E13DE" w:rsidRPr="00DE4822" w:rsidRDefault="008E13DE" w:rsidP="00424BBB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Elle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précise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critères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d’efficacité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="00157FB2">
        <w:rPr>
          <w:lang w:val="fr-FR"/>
        </w:rPr>
        <w:t>« </w:t>
      </w:r>
      <w:r w:rsidRPr="00DE4822">
        <w:rPr>
          <w:lang w:val="fr-FR"/>
        </w:rPr>
        <w:t>système</w:t>
      </w:r>
      <w:r w:rsidR="00157FB2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décrit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façon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conçu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l’information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divulguée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service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technique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fins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type.</w:t>
      </w:r>
    </w:p>
    <w:p w:rsidR="008E13DE" w:rsidRPr="00DE4822" w:rsidRDefault="008E13DE" w:rsidP="00424BBB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Ladite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information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montrer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="00157FB2">
        <w:rPr>
          <w:lang w:val="fr-FR"/>
        </w:rPr>
        <w:t>« 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157FB2">
        <w:rPr>
          <w:lang w:val="fr-FR"/>
        </w:rPr>
        <w:t> »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satisfait,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conditions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normales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d’efficacité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spécifiées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ailleurs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Règlement.</w:t>
      </w:r>
    </w:p>
    <w:p w:rsidR="008E13DE" w:rsidRPr="00DE4822" w:rsidRDefault="008E13DE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</w:t>
      </w:r>
      <w:r w:rsidRPr="00DE4822">
        <w:rPr>
          <w:lang w:val="fr-FR"/>
        </w:rPr>
        <w:tab/>
        <w:t>Définitions</w:t>
      </w:r>
    </w:p>
    <w:p w:rsidR="008E13DE" w:rsidRPr="00DE4822" w:rsidRDefault="008E13DE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ab/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fins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annexe,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entend</w:t>
      </w:r>
      <w:r w:rsidR="00EC442C">
        <w:rPr>
          <w:lang w:val="fr-FR"/>
        </w:rPr>
        <w:t> :</w:t>
      </w:r>
    </w:p>
    <w:p w:rsidR="008E13DE" w:rsidRPr="00DE4822" w:rsidRDefault="008E13DE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2.1</w:t>
      </w:r>
      <w:r w:rsidRPr="00DE4822">
        <w:rPr>
          <w:lang w:val="fr-FR"/>
        </w:rPr>
        <w:tab/>
      </w:r>
      <w:r w:rsidR="00424BBB" w:rsidRPr="00DE4822">
        <w:rPr>
          <w:lang w:val="fr-FR"/>
        </w:rPr>
        <w:t>Par</w:t>
      </w:r>
      <w:r w:rsidR="00424BBB">
        <w:rPr>
          <w:lang w:val="fr-FR"/>
        </w:rPr>
        <w:t xml:space="preserve"> « </w:t>
      </w:r>
      <w:r w:rsidRPr="00DE4822">
        <w:rPr>
          <w:i/>
          <w:lang w:val="fr-FR"/>
        </w:rPr>
        <w:t>concept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sécurité</w:t>
      </w:r>
      <w:r w:rsidR="00424BBB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description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mesures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incorporées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exemple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unités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électroniques,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manière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assurer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l’intégrité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partant,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sûr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même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possibilité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revenir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partiel,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voire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recourir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secours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vitales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concept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sécurité</w:t>
      </w:r>
      <w:r w:rsidR="00EC442C">
        <w:rPr>
          <w:lang w:val="fr-FR"/>
        </w:rPr>
        <w:t> ;</w:t>
      </w:r>
    </w:p>
    <w:p w:rsidR="008E13DE" w:rsidRPr="00DE4822" w:rsidRDefault="008E13DE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2.2</w:t>
      </w:r>
      <w:r w:rsidRPr="00DE4822">
        <w:rPr>
          <w:lang w:val="fr-FR"/>
        </w:rPr>
        <w:tab/>
      </w:r>
      <w:r w:rsidR="00424BBB" w:rsidRPr="00DE4822">
        <w:rPr>
          <w:lang w:val="fr-FR"/>
        </w:rPr>
        <w:t>Par</w:t>
      </w:r>
      <w:r w:rsidR="00424BBB">
        <w:rPr>
          <w:lang w:val="fr-FR"/>
        </w:rPr>
        <w:t xml:space="preserve"> « </w:t>
      </w:r>
      <w:r w:rsidRPr="00DE4822">
        <w:rPr>
          <w:i/>
          <w:lang w:val="fr-FR"/>
        </w:rPr>
        <w:t>système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commande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électronique</w:t>
      </w:r>
      <w:r w:rsidR="00424BBB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combinaison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d’unités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conçue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contribuer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assurer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dudit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grâce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traitement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données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électroniques.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tels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souvent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logiciel,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conçus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d’organes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fonctionnels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discrets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(capteurs,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unités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électronique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actionneurs)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reliés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liaisons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transmission.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Ils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peuvent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comprendre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éléments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mécaniques,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électropneumatiques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électrohydrauliques.</w:t>
      </w:r>
      <w:r w:rsidR="00EC442C">
        <w:rPr>
          <w:lang w:val="fr-FR"/>
        </w:rPr>
        <w:t xml:space="preserve"> </w:t>
      </w:r>
      <w:r w:rsidR="00424BBB">
        <w:rPr>
          <w:lang w:val="fr-FR"/>
        </w:rPr>
        <w:t>« 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424BBB">
        <w:rPr>
          <w:lang w:val="fr-FR"/>
        </w:rPr>
        <w:t> »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visé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annexe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celui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lequel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type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="008F40AA">
        <w:rPr>
          <w:lang w:val="fr-FR"/>
        </w:rPr>
        <w:t>recherchée ;</w:t>
      </w:r>
    </w:p>
    <w:p w:rsidR="008E13DE" w:rsidRPr="00DE4822" w:rsidRDefault="008E13DE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2.3</w:t>
      </w:r>
      <w:r w:rsidRPr="00DE4822">
        <w:rPr>
          <w:lang w:val="fr-FR"/>
        </w:rPr>
        <w:tab/>
      </w:r>
      <w:r w:rsidR="00424BBB" w:rsidRPr="00DE4822">
        <w:rPr>
          <w:lang w:val="fr-FR"/>
        </w:rPr>
        <w:t>Par</w:t>
      </w:r>
      <w:r w:rsidR="00424BBB">
        <w:rPr>
          <w:lang w:val="fr-FR"/>
        </w:rPr>
        <w:t xml:space="preserve"> « </w:t>
      </w:r>
      <w:r w:rsidRPr="00DE4822">
        <w:rPr>
          <w:i/>
          <w:lang w:val="fr-FR"/>
        </w:rPr>
        <w:t>systèmes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complexes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commande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électronique</w:t>
      </w:r>
      <w:r w:rsidR="00424BBB">
        <w:rPr>
          <w:lang w:val="fr-FR"/>
        </w:rPr>
        <w:t> »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électronique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soumis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hiérarchie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sein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laquelle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supplantée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système/une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électronique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supérieure.</w:t>
      </w:r>
      <w:r w:rsidR="00424BBB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ainsi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supplantée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devient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intégrante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complexe</w:t>
      </w:r>
      <w:r w:rsidR="00EC442C">
        <w:rPr>
          <w:lang w:val="fr-FR"/>
        </w:rPr>
        <w:t> ;</w:t>
      </w:r>
    </w:p>
    <w:p w:rsidR="008E13DE" w:rsidRPr="00DE4822" w:rsidRDefault="008E13DE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2.4</w:t>
      </w:r>
      <w:r w:rsidRPr="00DE4822">
        <w:rPr>
          <w:lang w:val="fr-FR"/>
        </w:rPr>
        <w:tab/>
      </w:r>
      <w:r w:rsidR="00424BBB" w:rsidRPr="00DE4822">
        <w:rPr>
          <w:lang w:val="fr-FR"/>
        </w:rPr>
        <w:t>Par</w:t>
      </w:r>
      <w:r w:rsidR="00424BBB">
        <w:rPr>
          <w:lang w:val="fr-FR"/>
        </w:rPr>
        <w:t xml:space="preserve"> « </w:t>
      </w:r>
      <w:r w:rsidRPr="00DE4822">
        <w:rPr>
          <w:i/>
          <w:lang w:val="fr-FR"/>
        </w:rPr>
        <w:t>commande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supérieure</w:t>
      </w:r>
      <w:r w:rsidR="00424BBB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systèmes/fonctions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utilisent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dispositifs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supplémentaires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traitement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et/ou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détection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modifier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comportement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ordonnant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variations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normales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véhicule.</w:t>
      </w:r>
      <w:r w:rsidR="00F26C86">
        <w:rPr>
          <w:lang w:val="fr-FR"/>
        </w:rPr>
        <w:t xml:space="preserve"> </w:t>
      </w:r>
      <w:r w:rsidRPr="00DE4822">
        <w:rPr>
          <w:lang w:val="fr-FR"/>
        </w:rPr>
        <w:t>Cela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permet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complexes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modifier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automatiquement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leurs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objectifs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selon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ordre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priorité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dépend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conditions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relevées</w:t>
      </w:r>
      <w:r w:rsidR="00EC442C">
        <w:rPr>
          <w:lang w:val="fr-FR"/>
        </w:rPr>
        <w:t> ;</w:t>
      </w:r>
    </w:p>
    <w:p w:rsidR="008E13DE" w:rsidRPr="00DE4822" w:rsidRDefault="008E13DE" w:rsidP="00F26C86">
      <w:pPr>
        <w:pStyle w:val="SingleTxtG"/>
        <w:keepLines/>
        <w:ind w:left="2268" w:hanging="1134"/>
        <w:rPr>
          <w:lang w:val="fr-FR"/>
        </w:rPr>
      </w:pPr>
      <w:r w:rsidRPr="00DE4822">
        <w:rPr>
          <w:lang w:val="fr-FR"/>
        </w:rPr>
        <w:lastRenderedPageBreak/>
        <w:t>2.5</w:t>
      </w:r>
      <w:r w:rsidRPr="00DE4822">
        <w:rPr>
          <w:lang w:val="fr-FR"/>
        </w:rPr>
        <w:tab/>
      </w:r>
      <w:r w:rsidR="00F26C86" w:rsidRPr="00DE4822">
        <w:rPr>
          <w:lang w:val="fr-FR"/>
        </w:rPr>
        <w:t>Par</w:t>
      </w:r>
      <w:r w:rsidR="00F26C86">
        <w:rPr>
          <w:lang w:val="fr-FR"/>
        </w:rPr>
        <w:t xml:space="preserve"> « </w:t>
      </w:r>
      <w:r w:rsidRPr="00DE4822">
        <w:rPr>
          <w:i/>
          <w:lang w:val="fr-FR"/>
        </w:rPr>
        <w:t>unités</w:t>
      </w:r>
      <w:r w:rsidR="00F26C86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petites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subdivisions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organes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faisant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l’objet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annexe</w:t>
      </w:r>
      <w:r w:rsidR="00EC442C">
        <w:rPr>
          <w:lang w:val="fr-FR"/>
        </w:rPr>
        <w:t xml:space="preserve"> ;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combinaisons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organes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seront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considérées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entités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uniques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fins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d’identification,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d’analyse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remplacement</w:t>
      </w:r>
      <w:r w:rsidR="00EC442C">
        <w:rPr>
          <w:lang w:val="fr-FR"/>
        </w:rPr>
        <w:t> ;</w:t>
      </w:r>
    </w:p>
    <w:p w:rsidR="008E13DE" w:rsidRPr="00DE4822" w:rsidRDefault="008E13DE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2.6</w:t>
      </w:r>
      <w:r w:rsidRPr="00DE4822">
        <w:rPr>
          <w:lang w:val="fr-FR"/>
        </w:rPr>
        <w:tab/>
      </w:r>
      <w:r w:rsidR="00F26C86" w:rsidRPr="00DE4822">
        <w:rPr>
          <w:lang w:val="fr-FR"/>
        </w:rPr>
        <w:t>Par</w:t>
      </w:r>
      <w:r w:rsidR="00F26C86">
        <w:rPr>
          <w:lang w:val="fr-FR"/>
        </w:rPr>
        <w:t xml:space="preserve"> « </w:t>
      </w:r>
      <w:r w:rsidRPr="00DE4822">
        <w:rPr>
          <w:i/>
          <w:lang w:val="fr-FR"/>
        </w:rPr>
        <w:t>liaisons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transmission</w:t>
      </w:r>
      <w:r w:rsidR="00F26C86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moyens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utilisés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relier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elles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différentes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unités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fins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transmission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données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opérationnelles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l’alimentation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énergie.</w:t>
      </w:r>
      <w:r w:rsidR="00F26C86">
        <w:rPr>
          <w:lang w:val="fr-FR"/>
        </w:rPr>
        <w:t xml:space="preserve"> </w:t>
      </w:r>
      <w:r w:rsidRPr="00DE4822">
        <w:rPr>
          <w:lang w:val="fr-FR"/>
        </w:rPr>
        <w:t>Cet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généralement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parfois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mécanique,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pneumatique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hydraulique</w:t>
      </w:r>
      <w:r w:rsidR="00EC442C">
        <w:rPr>
          <w:lang w:val="fr-FR"/>
        </w:rPr>
        <w:t> ;</w:t>
      </w:r>
    </w:p>
    <w:p w:rsidR="008E13DE" w:rsidRPr="00DE4822" w:rsidRDefault="008E13DE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2.7</w:t>
      </w:r>
      <w:r w:rsidRPr="00DE4822">
        <w:rPr>
          <w:lang w:val="fr-FR"/>
        </w:rPr>
        <w:tab/>
      </w:r>
      <w:r w:rsidR="00F26C86" w:rsidRPr="00DE4822">
        <w:rPr>
          <w:lang w:val="fr-FR"/>
        </w:rPr>
        <w:t>Par</w:t>
      </w:r>
      <w:r w:rsidR="00F26C86">
        <w:rPr>
          <w:lang w:val="fr-FR"/>
        </w:rPr>
        <w:t xml:space="preserve"> « </w:t>
      </w:r>
      <w:r w:rsidRPr="00DE4822">
        <w:rPr>
          <w:i/>
          <w:lang w:val="fr-FR"/>
        </w:rPr>
        <w:t>rayon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d’action</w:t>
      </w:r>
      <w:r w:rsidR="00F26C86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variable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rendement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définit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rayon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lequel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censé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exercer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contrôle</w:t>
      </w:r>
      <w:r w:rsidR="00EC442C">
        <w:rPr>
          <w:lang w:val="fr-FR"/>
        </w:rPr>
        <w:t> ;</w:t>
      </w:r>
    </w:p>
    <w:p w:rsidR="008E13DE" w:rsidRPr="00DE4822" w:rsidRDefault="008E13DE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2.8</w:t>
      </w:r>
      <w:r w:rsidRPr="00DE4822">
        <w:rPr>
          <w:lang w:val="fr-FR"/>
        </w:rPr>
        <w:tab/>
      </w:r>
      <w:r w:rsidR="00F26C86" w:rsidRPr="00DE4822">
        <w:rPr>
          <w:lang w:val="fr-FR"/>
        </w:rPr>
        <w:t>Par</w:t>
      </w:r>
      <w:r w:rsidR="00F26C86">
        <w:rPr>
          <w:lang w:val="fr-FR"/>
        </w:rPr>
        <w:t xml:space="preserve"> « </w:t>
      </w:r>
      <w:r w:rsidRPr="00DE4822">
        <w:rPr>
          <w:i/>
          <w:lang w:val="fr-FR"/>
        </w:rPr>
        <w:t>limite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de</w:t>
      </w:r>
      <w:r w:rsidR="00EC442C">
        <w:rPr>
          <w:i/>
          <w:lang w:val="fr-FR"/>
        </w:rPr>
        <w:t xml:space="preserve"> </w:t>
      </w:r>
      <w:r w:rsidRPr="00DE4822">
        <w:rPr>
          <w:i/>
          <w:lang w:val="fr-FR"/>
        </w:rPr>
        <w:t>fonctionnement</w:t>
      </w:r>
      <w:r w:rsidR="00F26C86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limites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physiques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extérieures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lesquelles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capable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d’exercer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contrôle.</w:t>
      </w:r>
    </w:p>
    <w:p w:rsidR="008E13DE" w:rsidRPr="00DE4822" w:rsidRDefault="008E13DE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</w:t>
      </w:r>
      <w:r w:rsidRPr="00DE4822">
        <w:rPr>
          <w:lang w:val="fr-FR"/>
        </w:rPr>
        <w:tab/>
        <w:t>Documentation</w:t>
      </w:r>
    </w:p>
    <w:p w:rsidR="008E13DE" w:rsidRPr="00DE4822" w:rsidRDefault="008E13DE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3.1</w:t>
      </w:r>
      <w:r w:rsidRPr="00DE4822">
        <w:rPr>
          <w:lang w:val="fr-FR"/>
        </w:rPr>
        <w:tab/>
        <w:t>Prescriptions</w:t>
      </w:r>
    </w:p>
    <w:p w:rsidR="008E13DE" w:rsidRPr="00DE4822" w:rsidRDefault="008E13DE" w:rsidP="00F26C86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constructeur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fournir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dossier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d’information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montrant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conception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base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="00F26C86">
        <w:rPr>
          <w:lang w:val="fr-FR"/>
        </w:rPr>
        <w:t>« </w:t>
      </w:r>
      <w:r w:rsidRPr="00DE4822">
        <w:rPr>
          <w:lang w:val="fr-FR"/>
        </w:rPr>
        <w:t>système</w:t>
      </w:r>
      <w:r w:rsidR="00F26C86">
        <w:rPr>
          <w:lang w:val="fr-FR"/>
        </w:rPr>
        <w:t> »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indiquant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moyens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lesquels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relié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autres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lesquels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exerce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contrôle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variables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sortie.</w:t>
      </w:r>
      <w:r w:rsidR="00F26C86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="00F26C86">
        <w:rPr>
          <w:lang w:val="fr-FR"/>
        </w:rPr>
        <w:t>« </w:t>
      </w:r>
      <w:r w:rsidRPr="00DE4822">
        <w:rPr>
          <w:lang w:val="fr-FR"/>
        </w:rPr>
        <w:t>système</w:t>
      </w:r>
      <w:r w:rsidR="00F26C86">
        <w:rPr>
          <w:lang w:val="fr-FR"/>
        </w:rPr>
        <w:t> »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concept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sécurité,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défini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constructeur,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expliqués.</w:t>
      </w:r>
      <w:r w:rsidR="00F26C86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documentation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concise,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démontrant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conception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mise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point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bénéficié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connaissances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spécialisées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existent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domaines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jeu.</w:t>
      </w:r>
      <w:r w:rsidR="00196EA8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contrôle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technique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périodique,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documentation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indiquer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vérifier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l’état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actuel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="00196EA8">
        <w:rPr>
          <w:lang w:val="fr-FR"/>
        </w:rPr>
        <w:t>« </w:t>
      </w:r>
      <w:r w:rsidRPr="00DE4822">
        <w:rPr>
          <w:lang w:val="fr-FR"/>
        </w:rPr>
        <w:t>système</w:t>
      </w:r>
      <w:r w:rsidR="00196EA8">
        <w:rPr>
          <w:lang w:val="fr-FR"/>
        </w:rPr>
        <w:t> »</w:t>
      </w:r>
      <w:r w:rsidRPr="00DE4822">
        <w:rPr>
          <w:lang w:val="fr-FR"/>
        </w:rPr>
        <w:t>.</w:t>
      </w:r>
    </w:p>
    <w:p w:rsidR="008E13DE" w:rsidRPr="00DE4822" w:rsidRDefault="008E13DE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3.1.1</w:t>
      </w:r>
      <w:r w:rsidRPr="00DE4822">
        <w:rPr>
          <w:lang w:val="fr-FR"/>
        </w:rPr>
        <w:tab/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documentation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fournie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parties</w:t>
      </w:r>
      <w:r w:rsidR="00EC442C">
        <w:rPr>
          <w:lang w:val="fr-FR"/>
        </w:rPr>
        <w:t> :</w:t>
      </w:r>
    </w:p>
    <w:p w:rsidR="008E13DE" w:rsidRPr="00DE4822" w:rsidRDefault="008E13DE" w:rsidP="003775F6">
      <w:pPr>
        <w:pStyle w:val="SingleTxtG"/>
        <w:ind w:left="2835" w:hanging="567"/>
        <w:rPr>
          <w:lang w:val="fr-FR"/>
        </w:rPr>
      </w:pPr>
      <w:r w:rsidRPr="00DE4822">
        <w:rPr>
          <w:lang w:val="fr-FR"/>
        </w:rPr>
        <w:t>a)</w:t>
      </w:r>
      <w:r w:rsidRPr="00DE4822">
        <w:rPr>
          <w:lang w:val="fr-FR"/>
        </w:rPr>
        <w:tab/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dossier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officiel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l’homologation,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contenant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données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énumérées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3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l’exception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celles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figurent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3.4.4),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service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technique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dépôt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type.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données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constitueront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référence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base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procédure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vérification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énoncée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4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annexe.</w:t>
      </w:r>
    </w:p>
    <w:p w:rsidR="008E13DE" w:rsidRPr="00DE4822" w:rsidRDefault="008E13DE" w:rsidP="003775F6">
      <w:pPr>
        <w:pStyle w:val="SingleTxtG"/>
        <w:ind w:left="2835" w:hanging="567"/>
        <w:rPr>
          <w:lang w:val="fr-FR"/>
        </w:rPr>
      </w:pPr>
      <w:r w:rsidRPr="00DE4822">
        <w:rPr>
          <w:lang w:val="fr-FR"/>
        </w:rPr>
        <w:t>b)</w:t>
      </w:r>
      <w:r w:rsidRPr="00DE4822">
        <w:rPr>
          <w:lang w:val="fr-FR"/>
        </w:rPr>
        <w:tab/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compléments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d’information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données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d’analyse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visés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3.4.4,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conservés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constructeur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accessibles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inspection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type.</w:t>
      </w:r>
    </w:p>
    <w:p w:rsidR="008E13DE" w:rsidRPr="00DE4822" w:rsidRDefault="008E13DE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3.2</w:t>
      </w:r>
      <w:r w:rsidRPr="00DE4822">
        <w:rPr>
          <w:lang w:val="fr-FR"/>
        </w:rPr>
        <w:tab/>
        <w:t>Description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="00196EA8">
        <w:rPr>
          <w:lang w:val="fr-FR"/>
        </w:rPr>
        <w:t>« </w:t>
      </w:r>
      <w:r w:rsidRPr="00DE4822">
        <w:rPr>
          <w:lang w:val="fr-FR"/>
        </w:rPr>
        <w:t>système</w:t>
      </w:r>
      <w:r w:rsidR="00196EA8">
        <w:rPr>
          <w:lang w:val="fr-FR"/>
        </w:rPr>
        <w:t> »</w:t>
      </w:r>
    </w:p>
    <w:p w:rsidR="008E13DE" w:rsidRPr="00DE4822" w:rsidRDefault="008E13DE" w:rsidP="00196EA8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description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expliquant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manière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simple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l’ensemble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="00196EA8">
        <w:rPr>
          <w:lang w:val="fr-FR"/>
        </w:rPr>
        <w:t>« </w:t>
      </w:r>
      <w:r w:rsidRPr="00DE4822">
        <w:rPr>
          <w:lang w:val="fr-FR"/>
        </w:rPr>
        <w:t>système</w:t>
      </w:r>
      <w:r w:rsidR="00196EA8">
        <w:rPr>
          <w:lang w:val="fr-FR"/>
        </w:rPr>
        <w:t> »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méthodes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employées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réaliser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objectifs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fournie,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accompagnée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indication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mécanismes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lesquels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contrôle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exercé.</w:t>
      </w:r>
    </w:p>
    <w:p w:rsidR="008E13DE" w:rsidRPr="00DE4822" w:rsidRDefault="008E13DE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3.2.1</w:t>
      </w:r>
      <w:r w:rsidRPr="00DE4822">
        <w:rPr>
          <w:lang w:val="fr-FR"/>
        </w:rPr>
        <w:tab/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liste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l’ensemble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variables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d’entrée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variables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relevées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fournie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rayon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défini.</w:t>
      </w:r>
    </w:p>
    <w:p w:rsidR="008E13DE" w:rsidRPr="00DE4822" w:rsidRDefault="008E13DE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3.2.2</w:t>
      </w:r>
      <w:r w:rsidRPr="00DE4822">
        <w:rPr>
          <w:lang w:val="fr-FR"/>
        </w:rPr>
        <w:tab/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liste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l’ensemble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variables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sortie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contrôlées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="00B330FF">
        <w:rPr>
          <w:lang w:val="fr-FR"/>
        </w:rPr>
        <w:t>« 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196EA8">
        <w:rPr>
          <w:lang w:val="fr-FR"/>
        </w:rPr>
        <w:t> »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fournie</w:t>
      </w:r>
      <w:r w:rsidR="00EC442C">
        <w:rPr>
          <w:lang w:val="fr-FR"/>
        </w:rPr>
        <w:t xml:space="preserve"> ; </w:t>
      </w:r>
      <w:r w:rsidRPr="00DE4822">
        <w:rPr>
          <w:lang w:val="fr-FR"/>
        </w:rPr>
        <w:t>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convient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d’indiquer,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contrôle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s’il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exercé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l’intermédiaire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rayon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(par.</w:t>
      </w:r>
      <w:r w:rsidR="00196EA8">
        <w:rPr>
          <w:lang w:val="fr-FR"/>
        </w:rPr>
        <w:t> </w:t>
      </w:r>
      <w:r w:rsidRPr="00DE4822">
        <w:rPr>
          <w:lang w:val="fr-FR"/>
        </w:rPr>
        <w:t>2.7)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contrôle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exercé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chacune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variables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défini.</w:t>
      </w:r>
    </w:p>
    <w:p w:rsidR="008E13DE" w:rsidRPr="00DE4822" w:rsidRDefault="008E13DE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3.2.3</w:t>
      </w:r>
      <w:r w:rsidRPr="00DE4822">
        <w:rPr>
          <w:lang w:val="fr-FR"/>
        </w:rPr>
        <w:tab/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limites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(par.</w:t>
      </w:r>
      <w:r w:rsidR="0065416C">
        <w:rPr>
          <w:lang w:val="fr-FR"/>
        </w:rPr>
        <w:t> </w:t>
      </w:r>
      <w:r w:rsidRPr="00DE4822">
        <w:rPr>
          <w:lang w:val="fr-FR"/>
        </w:rPr>
        <w:t>2.8)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indiquées,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approprié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regard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l’efficacité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système.</w:t>
      </w:r>
    </w:p>
    <w:p w:rsidR="008E13DE" w:rsidRPr="00DE4822" w:rsidRDefault="008E13DE" w:rsidP="0065416C">
      <w:pPr>
        <w:pStyle w:val="SingleTxtG"/>
        <w:keepNext/>
        <w:ind w:left="2268" w:hanging="1134"/>
        <w:rPr>
          <w:lang w:val="fr-FR"/>
        </w:rPr>
      </w:pPr>
      <w:r w:rsidRPr="00DE4822">
        <w:rPr>
          <w:lang w:val="fr-FR"/>
        </w:rPr>
        <w:lastRenderedPageBreak/>
        <w:t>3.3</w:t>
      </w:r>
      <w:r w:rsidRPr="00DE4822">
        <w:rPr>
          <w:lang w:val="fr-FR"/>
        </w:rPr>
        <w:tab/>
        <w:t>Configuration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schémas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</w:p>
    <w:p w:rsidR="008E13DE" w:rsidRPr="00DE4822" w:rsidRDefault="008E13DE" w:rsidP="0065416C">
      <w:pPr>
        <w:pStyle w:val="SingleTxtG"/>
        <w:keepNext/>
        <w:ind w:left="2268" w:hanging="1134"/>
        <w:rPr>
          <w:lang w:val="fr-FR"/>
        </w:rPr>
      </w:pPr>
      <w:r w:rsidRPr="00DE4822">
        <w:rPr>
          <w:lang w:val="fr-FR"/>
        </w:rPr>
        <w:t>3.3.1</w:t>
      </w:r>
      <w:r w:rsidRPr="00DE4822">
        <w:rPr>
          <w:lang w:val="fr-FR"/>
        </w:rPr>
        <w:tab/>
        <w:t>Inventaire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organes</w:t>
      </w:r>
    </w:p>
    <w:p w:rsidR="008E13DE" w:rsidRPr="00DE4822" w:rsidRDefault="008E13DE" w:rsidP="0065416C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liste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fournie,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rassemblant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unités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="0065416C">
        <w:rPr>
          <w:lang w:val="fr-FR"/>
        </w:rPr>
        <w:t>« </w:t>
      </w:r>
      <w:r w:rsidRPr="00DE4822">
        <w:rPr>
          <w:lang w:val="fr-FR"/>
        </w:rPr>
        <w:t>système</w:t>
      </w:r>
      <w:r w:rsidR="0065416C">
        <w:rPr>
          <w:lang w:val="fr-FR"/>
        </w:rPr>
        <w:t> »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mentionnant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autres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nécessaires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réaliser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question.</w:t>
      </w:r>
    </w:p>
    <w:p w:rsidR="008E13DE" w:rsidRPr="00DE4822" w:rsidRDefault="008E13DE" w:rsidP="0065416C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schéma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montrant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combinaison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unités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fourni,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accompagné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précisions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répartition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organes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l’équipement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interconnexions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eux.</w:t>
      </w:r>
    </w:p>
    <w:p w:rsidR="008E13DE" w:rsidRPr="00DE4822" w:rsidRDefault="008E13DE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3.3.2</w:t>
      </w:r>
      <w:r w:rsidRPr="00DE4822">
        <w:rPr>
          <w:lang w:val="fr-FR"/>
        </w:rPr>
        <w:tab/>
        <w:t>Fonctions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unités</w:t>
      </w:r>
    </w:p>
    <w:p w:rsidR="008E13DE" w:rsidRPr="00DE4822" w:rsidRDefault="008E13DE" w:rsidP="0065416C">
      <w:pPr>
        <w:pStyle w:val="SingleTxtG"/>
        <w:ind w:left="2268"/>
      </w:pPr>
      <w:r w:rsidRPr="00DE4822">
        <w:t>La</w:t>
      </w:r>
      <w:r w:rsidR="00EC442C">
        <w:t xml:space="preserve"> </w:t>
      </w:r>
      <w:r w:rsidRPr="00DE4822">
        <w:t>fonction</w:t>
      </w:r>
      <w:r w:rsidR="00EC442C">
        <w:t xml:space="preserve"> </w:t>
      </w:r>
      <w:r w:rsidRPr="00DE4822">
        <w:t>de</w:t>
      </w:r>
      <w:r w:rsidR="00EC442C">
        <w:t xml:space="preserve"> </w:t>
      </w:r>
      <w:r w:rsidRPr="00DE4822">
        <w:t>chaque</w:t>
      </w:r>
      <w:r w:rsidR="00EC442C">
        <w:t xml:space="preserve"> </w:t>
      </w:r>
      <w:r w:rsidRPr="00DE4822">
        <w:t>unité</w:t>
      </w:r>
      <w:r w:rsidR="00EC442C">
        <w:t xml:space="preserve"> </w:t>
      </w:r>
      <w:r w:rsidRPr="00DE4822">
        <w:t>du</w:t>
      </w:r>
      <w:r w:rsidR="00EC442C">
        <w:t xml:space="preserve"> </w:t>
      </w:r>
      <w:r w:rsidR="0065416C">
        <w:t>« </w:t>
      </w:r>
      <w:r w:rsidRPr="00DE4822">
        <w:t>système</w:t>
      </w:r>
      <w:r w:rsidR="0065416C">
        <w:t> »</w:t>
      </w:r>
      <w:r w:rsidR="00EC442C">
        <w:t xml:space="preserve"> </w:t>
      </w:r>
      <w:r w:rsidRPr="00DE4822">
        <w:t>doit</w:t>
      </w:r>
      <w:r w:rsidR="00EC442C">
        <w:t xml:space="preserve"> </w:t>
      </w:r>
      <w:r w:rsidRPr="00DE4822">
        <w:t>être</w:t>
      </w:r>
      <w:r w:rsidR="00EC442C">
        <w:t xml:space="preserve"> </w:t>
      </w:r>
      <w:r w:rsidRPr="00DE4822">
        <w:t>définie</w:t>
      </w:r>
      <w:r w:rsidR="00EC442C">
        <w:t xml:space="preserve"> </w:t>
      </w:r>
      <w:r w:rsidRPr="00DE4822">
        <w:t>et</w:t>
      </w:r>
      <w:r w:rsidR="00EC442C">
        <w:t xml:space="preserve"> </w:t>
      </w:r>
      <w:r w:rsidRPr="00DE4822">
        <w:t>les</w:t>
      </w:r>
      <w:r w:rsidR="00EC442C">
        <w:t xml:space="preserve"> </w:t>
      </w:r>
      <w:r w:rsidRPr="00DE4822">
        <w:t>signaux</w:t>
      </w:r>
      <w:r w:rsidR="00EC442C">
        <w:t xml:space="preserve"> </w:t>
      </w:r>
      <w:r w:rsidRPr="00DE4822">
        <w:t>reliant</w:t>
      </w:r>
      <w:r w:rsidR="00EC442C">
        <w:t xml:space="preserve"> </w:t>
      </w:r>
      <w:r w:rsidRPr="00DE4822">
        <w:t>chaque</w:t>
      </w:r>
      <w:r w:rsidR="00EC442C">
        <w:t xml:space="preserve"> </w:t>
      </w:r>
      <w:r w:rsidRPr="00DE4822">
        <w:t>unité</w:t>
      </w:r>
      <w:r w:rsidR="00EC442C">
        <w:t xml:space="preserve"> </w:t>
      </w:r>
      <w:r w:rsidRPr="00DE4822">
        <w:t>aux</w:t>
      </w:r>
      <w:r w:rsidR="00EC442C">
        <w:t xml:space="preserve"> </w:t>
      </w:r>
      <w:r w:rsidRPr="00DE4822">
        <w:t>autres</w:t>
      </w:r>
      <w:r w:rsidR="00EC442C">
        <w:t xml:space="preserve"> </w:t>
      </w:r>
      <w:r w:rsidRPr="00DE4822">
        <w:t>unités</w:t>
      </w:r>
      <w:r w:rsidR="00EC442C">
        <w:t xml:space="preserve"> </w:t>
      </w:r>
      <w:r w:rsidRPr="00DE4822">
        <w:t>ou</w:t>
      </w:r>
      <w:r w:rsidR="00EC442C">
        <w:t xml:space="preserve"> </w:t>
      </w:r>
      <w:r w:rsidRPr="00DE4822">
        <w:t>à</w:t>
      </w:r>
      <w:r w:rsidR="00EC442C">
        <w:t xml:space="preserve"> </w:t>
      </w:r>
      <w:r w:rsidRPr="00DE4822">
        <w:t>d’autres</w:t>
      </w:r>
      <w:r w:rsidR="00EC442C">
        <w:t xml:space="preserve"> </w:t>
      </w:r>
      <w:r w:rsidRPr="00DE4822">
        <w:t>systèmes</w:t>
      </w:r>
      <w:r w:rsidR="00EC442C">
        <w:t xml:space="preserve"> </w:t>
      </w:r>
      <w:r w:rsidRPr="00DE4822">
        <w:t>du</w:t>
      </w:r>
      <w:r w:rsidR="00EC442C">
        <w:t xml:space="preserve"> </w:t>
      </w:r>
      <w:r w:rsidRPr="0065416C">
        <w:rPr>
          <w:lang w:val="fr-FR"/>
        </w:rPr>
        <w:t>véhicule</w:t>
      </w:r>
      <w:r w:rsidR="00EC442C">
        <w:t xml:space="preserve"> </w:t>
      </w:r>
      <w:r w:rsidRPr="00DE4822">
        <w:t>doivent</w:t>
      </w:r>
      <w:r w:rsidR="00EC442C">
        <w:t xml:space="preserve"> </w:t>
      </w:r>
      <w:r w:rsidRPr="00DE4822">
        <w:t>être</w:t>
      </w:r>
      <w:r w:rsidR="00EC442C">
        <w:t xml:space="preserve"> </w:t>
      </w:r>
      <w:r w:rsidRPr="00DE4822">
        <w:t>indiqués.</w:t>
      </w:r>
      <w:r w:rsidR="00EC442C">
        <w:t xml:space="preserve"> </w:t>
      </w:r>
      <w:r w:rsidRPr="00DE4822">
        <w:t>Cette</w:t>
      </w:r>
      <w:r w:rsidR="00EC442C">
        <w:t xml:space="preserve"> </w:t>
      </w:r>
      <w:r w:rsidRPr="00DE4822">
        <w:t>information</w:t>
      </w:r>
      <w:r w:rsidR="00EC442C">
        <w:t xml:space="preserve"> </w:t>
      </w:r>
      <w:r w:rsidRPr="00DE4822">
        <w:t>peut</w:t>
      </w:r>
      <w:r w:rsidR="00EC442C">
        <w:t xml:space="preserve"> </w:t>
      </w:r>
      <w:r w:rsidRPr="00DE4822">
        <w:t>être</w:t>
      </w:r>
      <w:r w:rsidR="00EC442C">
        <w:t xml:space="preserve"> </w:t>
      </w:r>
      <w:r w:rsidRPr="00DE4822">
        <w:t>fournie</w:t>
      </w:r>
      <w:r w:rsidR="00EC442C">
        <w:t xml:space="preserve"> </w:t>
      </w:r>
      <w:r w:rsidRPr="00DE4822">
        <w:t>au</w:t>
      </w:r>
      <w:r w:rsidR="00EC442C">
        <w:t xml:space="preserve"> </w:t>
      </w:r>
      <w:r w:rsidRPr="00DE4822">
        <w:t>moyen</w:t>
      </w:r>
      <w:r w:rsidR="00EC442C">
        <w:t xml:space="preserve"> </w:t>
      </w:r>
      <w:r w:rsidRPr="00DE4822">
        <w:t>d’un</w:t>
      </w:r>
      <w:r w:rsidR="00EC442C">
        <w:t xml:space="preserve"> </w:t>
      </w:r>
      <w:r w:rsidRPr="00DE4822">
        <w:t>schéma</w:t>
      </w:r>
      <w:r w:rsidR="00EC442C">
        <w:t xml:space="preserve"> </w:t>
      </w:r>
      <w:r w:rsidRPr="00DE4822">
        <w:t>fonctionnel</w:t>
      </w:r>
      <w:r w:rsidR="00EC442C">
        <w:t xml:space="preserve"> </w:t>
      </w:r>
      <w:r w:rsidRPr="00DE4822">
        <w:t>ou</w:t>
      </w:r>
      <w:r w:rsidR="00EC442C">
        <w:t xml:space="preserve"> </w:t>
      </w:r>
      <w:r w:rsidRPr="00DE4822">
        <w:t>d’une</w:t>
      </w:r>
      <w:r w:rsidR="00EC442C">
        <w:t xml:space="preserve"> </w:t>
      </w:r>
      <w:r w:rsidRPr="00DE4822">
        <w:t>description</w:t>
      </w:r>
      <w:r w:rsidR="00EC442C">
        <w:t xml:space="preserve"> </w:t>
      </w:r>
      <w:r w:rsidRPr="00DE4822">
        <w:t>accompagnée</w:t>
      </w:r>
      <w:r w:rsidR="00EC442C">
        <w:t xml:space="preserve"> </w:t>
      </w:r>
      <w:r w:rsidRPr="00DE4822">
        <w:t>d’un</w:t>
      </w:r>
      <w:r w:rsidR="00EC442C">
        <w:t xml:space="preserve"> </w:t>
      </w:r>
      <w:r w:rsidRPr="00DE4822">
        <w:t>tel</w:t>
      </w:r>
      <w:r w:rsidR="00EC442C">
        <w:t xml:space="preserve"> </w:t>
      </w:r>
      <w:r w:rsidRPr="00DE4822">
        <w:t>schéma.</w:t>
      </w:r>
    </w:p>
    <w:p w:rsidR="008E13DE" w:rsidRPr="00DE4822" w:rsidRDefault="008E13DE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3.3.3</w:t>
      </w:r>
      <w:r w:rsidRPr="00DE4822">
        <w:rPr>
          <w:lang w:val="fr-FR"/>
        </w:rPr>
        <w:tab/>
        <w:t>Interconnexions</w:t>
      </w:r>
    </w:p>
    <w:p w:rsidR="008E13DE" w:rsidRPr="00DE4822" w:rsidRDefault="008E13DE" w:rsidP="0065416C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interconnexions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sein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="0065416C">
        <w:rPr>
          <w:lang w:val="fr-FR"/>
        </w:rPr>
        <w:t>« </w:t>
      </w:r>
      <w:r w:rsidRPr="00DE4822">
        <w:rPr>
          <w:lang w:val="fr-FR"/>
        </w:rPr>
        <w:t>système</w:t>
      </w:r>
      <w:r w:rsidR="0065416C">
        <w:rPr>
          <w:lang w:val="fr-FR"/>
        </w:rPr>
        <w:t> »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indiquées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moyen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schéma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circuit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liaisons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transmission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schéma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distribution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timonerie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pneumatique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hydraulique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schéma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simplifié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liaisons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mécaniques.</w:t>
      </w:r>
    </w:p>
    <w:p w:rsidR="008E13DE" w:rsidRPr="00DE4822" w:rsidRDefault="008E13DE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3.3.4</w:t>
      </w:r>
      <w:r w:rsidRPr="00DE4822">
        <w:rPr>
          <w:lang w:val="fr-FR"/>
        </w:rPr>
        <w:tab/>
        <w:t>Signaux</w:t>
      </w:r>
      <w:r w:rsidR="00EC442C">
        <w:rPr>
          <w:lang w:val="fr-FR"/>
        </w:rPr>
        <w:t xml:space="preserve"> : </w:t>
      </w:r>
      <w:r w:rsidRPr="00DE4822">
        <w:rPr>
          <w:lang w:val="fr-FR"/>
        </w:rPr>
        <w:t>organigramme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priorités</w:t>
      </w:r>
    </w:p>
    <w:p w:rsidR="008E13DE" w:rsidRPr="00DE4822" w:rsidRDefault="008E13DE" w:rsidP="0065416C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correspondance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claire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établie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liaisons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transmission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unités.</w:t>
      </w:r>
      <w:r w:rsidR="0065416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voies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données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multiplexées,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prioritaires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indiqués,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l’ordre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priorité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avoir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incidence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performance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sécurité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regard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Règlement.</w:t>
      </w:r>
    </w:p>
    <w:p w:rsidR="008E13DE" w:rsidRPr="00DE4822" w:rsidRDefault="008E13DE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3.3.5</w:t>
      </w:r>
      <w:r w:rsidRPr="00DE4822">
        <w:rPr>
          <w:lang w:val="fr-FR"/>
        </w:rPr>
        <w:tab/>
        <w:t>Identification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unités</w:t>
      </w:r>
    </w:p>
    <w:p w:rsidR="008E13DE" w:rsidRPr="00DE4822" w:rsidRDefault="008E13DE" w:rsidP="0065416C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possible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d’identifier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manière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claire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ambiguïté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moyen,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exemple,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marquage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matériel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marquage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informatique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logiciels),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façon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correspondre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matériel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documentation.</w:t>
      </w:r>
      <w:r w:rsidR="00EC442C">
        <w:rPr>
          <w:lang w:val="fr-FR"/>
        </w:rPr>
        <w:t xml:space="preserve"> </w:t>
      </w:r>
    </w:p>
    <w:p w:rsidR="008E13DE" w:rsidRPr="00DE4822" w:rsidRDefault="008E13DE" w:rsidP="0065416C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Lorsque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combinées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sein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même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unité,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voire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même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ordinateur,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indiquées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plusieurs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blocs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sein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schéma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fonctionnel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clarté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commodité,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utiliser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marque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d’identification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matériel.</w:t>
      </w:r>
      <w:r w:rsidR="00711609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constructeur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utilisant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cette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marque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d’identification,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confirmer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matériel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fourni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conforme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document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correspondant.</w:t>
      </w:r>
    </w:p>
    <w:p w:rsidR="008E13DE" w:rsidRPr="00DE4822" w:rsidRDefault="008E13DE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3.3.5.1</w:t>
      </w:r>
      <w:r w:rsidRPr="00DE4822">
        <w:rPr>
          <w:lang w:val="fr-FR"/>
        </w:rPr>
        <w:tab/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marque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d’identification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renseigne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version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matériel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logiciel</w:t>
      </w:r>
      <w:r w:rsidR="00EC442C">
        <w:rPr>
          <w:lang w:val="fr-FR"/>
        </w:rPr>
        <w:t xml:space="preserve"> ; </w:t>
      </w:r>
      <w:r w:rsidRPr="00DE4822">
        <w:rPr>
          <w:lang w:val="fr-FR"/>
        </w:rPr>
        <w:t>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cette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dernière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version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change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façon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altérer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l’unité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regard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cette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marque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d’identification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également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modifiée.</w:t>
      </w:r>
    </w:p>
    <w:p w:rsidR="008E13DE" w:rsidRPr="00DE4822" w:rsidRDefault="008E13DE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3.4</w:t>
      </w:r>
      <w:r w:rsidRPr="00DE4822">
        <w:rPr>
          <w:lang w:val="fr-FR"/>
        </w:rPr>
        <w:tab/>
        <w:t>Concept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sécurité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constructeur</w:t>
      </w:r>
    </w:p>
    <w:p w:rsidR="008E13DE" w:rsidRPr="00DE4822" w:rsidRDefault="008E13DE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3.4.1</w:t>
      </w:r>
      <w:r w:rsidRPr="00DE4822">
        <w:rPr>
          <w:lang w:val="fr-FR"/>
        </w:rPr>
        <w:tab/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constructeur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fournir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déclaration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affirmant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stratégie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choisie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réaliser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objectifs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="00711609">
        <w:rPr>
          <w:lang w:val="fr-FR"/>
        </w:rPr>
        <w:t>« </w:t>
      </w:r>
      <w:r w:rsidRPr="00DE4822">
        <w:rPr>
          <w:lang w:val="fr-FR"/>
        </w:rPr>
        <w:t>système</w:t>
      </w:r>
      <w:r w:rsidR="00711609">
        <w:rPr>
          <w:lang w:val="fr-FR"/>
        </w:rPr>
        <w:t> »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compromettra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l’absence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pannes,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visés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Règlement.</w:t>
      </w:r>
    </w:p>
    <w:p w:rsidR="008E13DE" w:rsidRPr="00DE4822" w:rsidRDefault="008E13DE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3.4.2</w:t>
      </w:r>
      <w:r w:rsidRPr="00DE4822">
        <w:rPr>
          <w:lang w:val="fr-FR"/>
        </w:rPr>
        <w:tab/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concerne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logiciel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employé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="00711609">
        <w:rPr>
          <w:lang w:val="fr-FR"/>
        </w:rPr>
        <w:t>« </w:t>
      </w:r>
      <w:r w:rsidRPr="00DE4822">
        <w:rPr>
          <w:lang w:val="fr-FR"/>
        </w:rPr>
        <w:t>système</w:t>
      </w:r>
      <w:r w:rsidR="00711609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convient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expliquer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configuration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définir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méthodes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outils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conception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utilisés.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nécessaire,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constructeur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prêt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démontrer,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preuves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l’appui,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déterminée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réalisation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logique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durant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conception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mise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point.</w:t>
      </w:r>
    </w:p>
    <w:p w:rsidR="008E13DE" w:rsidRPr="00711609" w:rsidRDefault="008E13DE" w:rsidP="00711609">
      <w:pPr>
        <w:pStyle w:val="SingleTxtG"/>
        <w:keepLines/>
        <w:ind w:left="2268" w:hanging="1134"/>
        <w:rPr>
          <w:spacing w:val="-1"/>
          <w:lang w:val="fr-FR"/>
        </w:rPr>
      </w:pPr>
      <w:r w:rsidRPr="00DE4822">
        <w:rPr>
          <w:lang w:val="fr-FR"/>
        </w:rPr>
        <w:lastRenderedPageBreak/>
        <w:t>3.4.3</w:t>
      </w:r>
      <w:r w:rsidRPr="00DE4822">
        <w:rPr>
          <w:lang w:val="fr-FR"/>
        </w:rPr>
        <w:tab/>
      </w:r>
      <w:r w:rsidRPr="00711609">
        <w:rPr>
          <w:spacing w:val="-1"/>
          <w:lang w:val="fr-FR"/>
        </w:rPr>
        <w:t>Le</w:t>
      </w:r>
      <w:r w:rsidR="00EC442C" w:rsidRPr="00711609">
        <w:rPr>
          <w:spacing w:val="-1"/>
          <w:lang w:val="fr-FR"/>
        </w:rPr>
        <w:t xml:space="preserve"> </w:t>
      </w:r>
      <w:r w:rsidRPr="00711609">
        <w:rPr>
          <w:spacing w:val="-1"/>
          <w:lang w:val="fr-FR"/>
        </w:rPr>
        <w:t>constructeur</w:t>
      </w:r>
      <w:r w:rsidR="00EC442C" w:rsidRPr="00711609">
        <w:rPr>
          <w:spacing w:val="-1"/>
          <w:lang w:val="fr-FR"/>
        </w:rPr>
        <w:t xml:space="preserve"> </w:t>
      </w:r>
      <w:r w:rsidRPr="00711609">
        <w:rPr>
          <w:spacing w:val="-1"/>
          <w:lang w:val="fr-FR"/>
        </w:rPr>
        <w:t>doit</w:t>
      </w:r>
      <w:r w:rsidR="00EC442C" w:rsidRPr="00711609">
        <w:rPr>
          <w:spacing w:val="-1"/>
          <w:lang w:val="fr-FR"/>
        </w:rPr>
        <w:t xml:space="preserve"> </w:t>
      </w:r>
      <w:r w:rsidRPr="00711609">
        <w:rPr>
          <w:spacing w:val="-1"/>
          <w:lang w:val="fr-FR"/>
        </w:rPr>
        <w:t>fournir</w:t>
      </w:r>
      <w:r w:rsidR="00EC442C" w:rsidRPr="00711609">
        <w:rPr>
          <w:spacing w:val="-1"/>
          <w:lang w:val="fr-FR"/>
        </w:rPr>
        <w:t xml:space="preserve"> </w:t>
      </w:r>
      <w:r w:rsidRPr="00711609">
        <w:rPr>
          <w:spacing w:val="-1"/>
          <w:lang w:val="fr-FR"/>
        </w:rPr>
        <w:t>aux</w:t>
      </w:r>
      <w:r w:rsidR="00EC442C" w:rsidRPr="00711609">
        <w:rPr>
          <w:spacing w:val="-1"/>
          <w:lang w:val="fr-FR"/>
        </w:rPr>
        <w:t xml:space="preserve"> </w:t>
      </w:r>
      <w:r w:rsidRPr="00711609">
        <w:rPr>
          <w:spacing w:val="-1"/>
          <w:lang w:val="fr-FR"/>
        </w:rPr>
        <w:t>autorités</w:t>
      </w:r>
      <w:r w:rsidR="00EC442C" w:rsidRPr="00711609">
        <w:rPr>
          <w:spacing w:val="-1"/>
          <w:lang w:val="fr-FR"/>
        </w:rPr>
        <w:t xml:space="preserve"> </w:t>
      </w:r>
      <w:r w:rsidRPr="00711609">
        <w:rPr>
          <w:spacing w:val="-1"/>
          <w:lang w:val="fr-FR"/>
        </w:rPr>
        <w:t>des</w:t>
      </w:r>
      <w:r w:rsidR="00EC442C" w:rsidRPr="00711609">
        <w:rPr>
          <w:spacing w:val="-1"/>
          <w:lang w:val="fr-FR"/>
        </w:rPr>
        <w:t xml:space="preserve"> </w:t>
      </w:r>
      <w:r w:rsidRPr="00711609">
        <w:rPr>
          <w:spacing w:val="-1"/>
          <w:lang w:val="fr-FR"/>
        </w:rPr>
        <w:t>services</w:t>
      </w:r>
      <w:r w:rsidR="00EC442C" w:rsidRPr="00711609">
        <w:rPr>
          <w:spacing w:val="-1"/>
          <w:lang w:val="fr-FR"/>
        </w:rPr>
        <w:t xml:space="preserve"> </w:t>
      </w:r>
      <w:r w:rsidRPr="00711609">
        <w:rPr>
          <w:spacing w:val="-1"/>
          <w:lang w:val="fr-FR"/>
        </w:rPr>
        <w:t>techniques</w:t>
      </w:r>
      <w:r w:rsidR="00EC442C" w:rsidRPr="00711609">
        <w:rPr>
          <w:spacing w:val="-1"/>
          <w:lang w:val="fr-FR"/>
        </w:rPr>
        <w:t xml:space="preserve"> </w:t>
      </w:r>
      <w:r w:rsidRPr="00711609">
        <w:rPr>
          <w:spacing w:val="-1"/>
          <w:lang w:val="fr-FR"/>
        </w:rPr>
        <w:t>une</w:t>
      </w:r>
      <w:r w:rsidR="00EC442C" w:rsidRPr="00711609">
        <w:rPr>
          <w:spacing w:val="-1"/>
          <w:lang w:val="fr-FR"/>
        </w:rPr>
        <w:t xml:space="preserve"> </w:t>
      </w:r>
      <w:r w:rsidRPr="00711609">
        <w:rPr>
          <w:spacing w:val="-1"/>
          <w:lang w:val="fr-FR"/>
        </w:rPr>
        <w:t>explication</w:t>
      </w:r>
      <w:r w:rsidR="00EC442C" w:rsidRPr="00711609">
        <w:rPr>
          <w:spacing w:val="-1"/>
          <w:lang w:val="fr-FR"/>
        </w:rPr>
        <w:t xml:space="preserve"> </w:t>
      </w:r>
      <w:r w:rsidRPr="00711609">
        <w:rPr>
          <w:spacing w:val="-1"/>
          <w:lang w:val="fr-FR"/>
        </w:rPr>
        <w:t>des</w:t>
      </w:r>
      <w:r w:rsidR="00EC442C" w:rsidRPr="00711609">
        <w:rPr>
          <w:spacing w:val="-1"/>
          <w:lang w:val="fr-FR"/>
        </w:rPr>
        <w:t xml:space="preserve"> </w:t>
      </w:r>
      <w:r w:rsidRPr="00711609">
        <w:rPr>
          <w:spacing w:val="-1"/>
          <w:lang w:val="fr-FR"/>
        </w:rPr>
        <w:t>prescriptions</w:t>
      </w:r>
      <w:r w:rsidR="00EC442C" w:rsidRPr="00711609">
        <w:rPr>
          <w:spacing w:val="-1"/>
          <w:lang w:val="fr-FR"/>
        </w:rPr>
        <w:t xml:space="preserve"> </w:t>
      </w:r>
      <w:r w:rsidRPr="00711609">
        <w:rPr>
          <w:spacing w:val="-1"/>
          <w:lang w:val="fr-FR"/>
        </w:rPr>
        <w:t>générales</w:t>
      </w:r>
      <w:r w:rsidR="00EC442C" w:rsidRPr="00711609">
        <w:rPr>
          <w:spacing w:val="-1"/>
          <w:lang w:val="fr-FR"/>
        </w:rPr>
        <w:t xml:space="preserve"> </w:t>
      </w:r>
      <w:r w:rsidRPr="00711609">
        <w:rPr>
          <w:spacing w:val="-1"/>
          <w:lang w:val="fr-FR"/>
        </w:rPr>
        <w:t>appliquées</w:t>
      </w:r>
      <w:r w:rsidR="00EC442C" w:rsidRPr="00711609">
        <w:rPr>
          <w:spacing w:val="-1"/>
          <w:lang w:val="fr-FR"/>
        </w:rPr>
        <w:t xml:space="preserve"> </w:t>
      </w:r>
      <w:r w:rsidRPr="00711609">
        <w:rPr>
          <w:spacing w:val="-1"/>
          <w:lang w:val="fr-FR"/>
        </w:rPr>
        <w:t>dans</w:t>
      </w:r>
      <w:r w:rsidR="00EC442C" w:rsidRPr="00711609">
        <w:rPr>
          <w:spacing w:val="-1"/>
          <w:lang w:val="fr-FR"/>
        </w:rPr>
        <w:t xml:space="preserve"> </w:t>
      </w:r>
      <w:r w:rsidR="00FD0933">
        <w:rPr>
          <w:spacing w:val="-1"/>
          <w:lang w:val="fr-FR"/>
        </w:rPr>
        <w:t>« </w:t>
      </w:r>
      <w:r w:rsidRPr="00711609">
        <w:rPr>
          <w:spacing w:val="-1"/>
          <w:lang w:val="fr-FR"/>
        </w:rPr>
        <w:t>le</w:t>
      </w:r>
      <w:r w:rsidR="00EC442C" w:rsidRPr="00711609">
        <w:rPr>
          <w:spacing w:val="-1"/>
          <w:lang w:val="fr-FR"/>
        </w:rPr>
        <w:t xml:space="preserve"> </w:t>
      </w:r>
      <w:r w:rsidRPr="00711609">
        <w:rPr>
          <w:spacing w:val="-1"/>
          <w:lang w:val="fr-FR"/>
        </w:rPr>
        <w:t>système</w:t>
      </w:r>
      <w:r w:rsidR="00711609" w:rsidRPr="00711609">
        <w:rPr>
          <w:spacing w:val="-1"/>
          <w:lang w:val="fr-FR"/>
        </w:rPr>
        <w:t> »</w:t>
      </w:r>
      <w:r w:rsidR="00EC442C" w:rsidRPr="00711609">
        <w:rPr>
          <w:spacing w:val="-1"/>
          <w:lang w:val="fr-FR"/>
        </w:rPr>
        <w:t xml:space="preserve"> </w:t>
      </w:r>
      <w:r w:rsidRPr="00711609">
        <w:rPr>
          <w:spacing w:val="-1"/>
          <w:lang w:val="fr-FR"/>
        </w:rPr>
        <w:t>pour</w:t>
      </w:r>
      <w:r w:rsidR="00EC442C" w:rsidRPr="00711609">
        <w:rPr>
          <w:spacing w:val="-1"/>
          <w:lang w:val="fr-FR"/>
        </w:rPr>
        <w:t xml:space="preserve"> </w:t>
      </w:r>
      <w:r w:rsidRPr="00711609">
        <w:rPr>
          <w:spacing w:val="-1"/>
          <w:lang w:val="fr-FR"/>
        </w:rPr>
        <w:t>assurer</w:t>
      </w:r>
      <w:r w:rsidR="00EC442C" w:rsidRPr="00711609">
        <w:rPr>
          <w:spacing w:val="-1"/>
          <w:lang w:val="fr-FR"/>
        </w:rPr>
        <w:t xml:space="preserve"> </w:t>
      </w:r>
      <w:r w:rsidRPr="00711609">
        <w:rPr>
          <w:spacing w:val="-1"/>
          <w:lang w:val="fr-FR"/>
        </w:rPr>
        <w:t>un</w:t>
      </w:r>
      <w:r w:rsidR="00EC442C" w:rsidRPr="00711609">
        <w:rPr>
          <w:spacing w:val="-1"/>
          <w:lang w:val="fr-FR"/>
        </w:rPr>
        <w:t xml:space="preserve"> </w:t>
      </w:r>
      <w:r w:rsidRPr="00711609">
        <w:rPr>
          <w:spacing w:val="-1"/>
          <w:lang w:val="fr-FR"/>
        </w:rPr>
        <w:t>fonctionnement</w:t>
      </w:r>
      <w:r w:rsidR="00EC442C" w:rsidRPr="00711609">
        <w:rPr>
          <w:spacing w:val="-1"/>
          <w:lang w:val="fr-FR"/>
        </w:rPr>
        <w:t xml:space="preserve"> </w:t>
      </w:r>
      <w:r w:rsidRPr="00711609">
        <w:rPr>
          <w:spacing w:val="-1"/>
          <w:lang w:val="fr-FR"/>
        </w:rPr>
        <w:t>en</w:t>
      </w:r>
      <w:r w:rsidR="00EC442C" w:rsidRPr="00711609">
        <w:rPr>
          <w:spacing w:val="-1"/>
          <w:lang w:val="fr-FR"/>
        </w:rPr>
        <w:t xml:space="preserve"> </w:t>
      </w:r>
      <w:r w:rsidRPr="00711609">
        <w:rPr>
          <w:spacing w:val="-1"/>
          <w:lang w:val="fr-FR"/>
        </w:rPr>
        <w:t>cas</w:t>
      </w:r>
      <w:r w:rsidR="00EC442C" w:rsidRPr="00711609">
        <w:rPr>
          <w:spacing w:val="-1"/>
          <w:lang w:val="fr-FR"/>
        </w:rPr>
        <w:t xml:space="preserve"> </w:t>
      </w:r>
      <w:r w:rsidRPr="00711609">
        <w:rPr>
          <w:spacing w:val="-1"/>
          <w:lang w:val="fr-FR"/>
        </w:rPr>
        <w:t>de</w:t>
      </w:r>
      <w:r w:rsidR="00EC442C" w:rsidRPr="00711609">
        <w:rPr>
          <w:spacing w:val="-1"/>
          <w:lang w:val="fr-FR"/>
        </w:rPr>
        <w:t xml:space="preserve"> </w:t>
      </w:r>
      <w:r w:rsidRPr="00711609">
        <w:rPr>
          <w:spacing w:val="-1"/>
          <w:lang w:val="fr-FR"/>
        </w:rPr>
        <w:t>défaillance.</w:t>
      </w:r>
      <w:r w:rsidR="00EC442C" w:rsidRPr="00711609">
        <w:rPr>
          <w:spacing w:val="-1"/>
          <w:lang w:val="fr-FR"/>
        </w:rPr>
        <w:t xml:space="preserve"> </w:t>
      </w:r>
      <w:r w:rsidRPr="00711609">
        <w:rPr>
          <w:spacing w:val="-1"/>
          <w:lang w:val="fr-FR"/>
        </w:rPr>
        <w:t>Les</w:t>
      </w:r>
      <w:r w:rsidR="00EC442C" w:rsidRPr="00711609">
        <w:rPr>
          <w:spacing w:val="-1"/>
          <w:lang w:val="fr-FR"/>
        </w:rPr>
        <w:t xml:space="preserve"> </w:t>
      </w:r>
      <w:r w:rsidRPr="00711609">
        <w:rPr>
          <w:spacing w:val="-1"/>
          <w:lang w:val="fr-FR"/>
        </w:rPr>
        <w:t>prescriptions</w:t>
      </w:r>
      <w:r w:rsidR="00EC442C" w:rsidRPr="00711609">
        <w:rPr>
          <w:spacing w:val="-1"/>
          <w:lang w:val="fr-FR"/>
        </w:rPr>
        <w:t xml:space="preserve"> </w:t>
      </w:r>
      <w:r w:rsidRPr="00711609">
        <w:rPr>
          <w:spacing w:val="-1"/>
          <w:lang w:val="fr-FR"/>
        </w:rPr>
        <w:t>générales</w:t>
      </w:r>
      <w:r w:rsidR="00EC442C" w:rsidRPr="00711609">
        <w:rPr>
          <w:spacing w:val="-1"/>
          <w:lang w:val="fr-FR"/>
        </w:rPr>
        <w:t xml:space="preserve"> </w:t>
      </w:r>
      <w:r w:rsidRPr="00711609">
        <w:rPr>
          <w:spacing w:val="-1"/>
          <w:lang w:val="fr-FR"/>
        </w:rPr>
        <w:t>possibles</w:t>
      </w:r>
      <w:r w:rsidR="00EC442C" w:rsidRPr="00711609">
        <w:rPr>
          <w:spacing w:val="-1"/>
          <w:lang w:val="fr-FR"/>
        </w:rPr>
        <w:t xml:space="preserve"> </w:t>
      </w:r>
      <w:r w:rsidRPr="00711609">
        <w:rPr>
          <w:spacing w:val="-1"/>
          <w:lang w:val="fr-FR"/>
        </w:rPr>
        <w:t>en</w:t>
      </w:r>
      <w:r w:rsidR="00EC442C" w:rsidRPr="00711609">
        <w:rPr>
          <w:spacing w:val="-1"/>
          <w:lang w:val="fr-FR"/>
        </w:rPr>
        <w:t xml:space="preserve"> </w:t>
      </w:r>
      <w:r w:rsidRPr="00711609">
        <w:rPr>
          <w:spacing w:val="-1"/>
          <w:lang w:val="fr-FR"/>
        </w:rPr>
        <w:t>cas</w:t>
      </w:r>
      <w:r w:rsidR="00EC442C" w:rsidRPr="00711609">
        <w:rPr>
          <w:spacing w:val="-1"/>
          <w:lang w:val="fr-FR"/>
        </w:rPr>
        <w:t xml:space="preserve"> </w:t>
      </w:r>
      <w:r w:rsidRPr="00711609">
        <w:rPr>
          <w:spacing w:val="-1"/>
          <w:lang w:val="fr-FR"/>
        </w:rPr>
        <w:t>de</w:t>
      </w:r>
      <w:r w:rsidR="00EC442C" w:rsidRPr="00711609">
        <w:rPr>
          <w:spacing w:val="-1"/>
          <w:lang w:val="fr-FR"/>
        </w:rPr>
        <w:t xml:space="preserve"> </w:t>
      </w:r>
      <w:r w:rsidRPr="00711609">
        <w:rPr>
          <w:spacing w:val="-1"/>
          <w:lang w:val="fr-FR"/>
        </w:rPr>
        <w:t>défaillance</w:t>
      </w:r>
      <w:r w:rsidR="00EC442C" w:rsidRPr="00711609">
        <w:rPr>
          <w:spacing w:val="-1"/>
          <w:lang w:val="fr-FR"/>
        </w:rPr>
        <w:t xml:space="preserve"> </w:t>
      </w:r>
      <w:r w:rsidRPr="00711609">
        <w:rPr>
          <w:spacing w:val="-1"/>
          <w:lang w:val="fr-FR"/>
        </w:rPr>
        <w:t>du</w:t>
      </w:r>
      <w:r w:rsidR="00EC442C" w:rsidRPr="00711609">
        <w:rPr>
          <w:spacing w:val="-1"/>
          <w:lang w:val="fr-FR"/>
        </w:rPr>
        <w:t xml:space="preserve"> </w:t>
      </w:r>
      <w:r w:rsidR="00711609" w:rsidRPr="00711609">
        <w:rPr>
          <w:spacing w:val="-1"/>
          <w:lang w:val="fr-FR"/>
        </w:rPr>
        <w:t>« </w:t>
      </w:r>
      <w:r w:rsidRPr="00711609">
        <w:rPr>
          <w:spacing w:val="-1"/>
          <w:lang w:val="fr-FR"/>
        </w:rPr>
        <w:t>système</w:t>
      </w:r>
      <w:r w:rsidR="00711609" w:rsidRPr="00711609">
        <w:rPr>
          <w:spacing w:val="-1"/>
          <w:lang w:val="fr-FR"/>
        </w:rPr>
        <w:t> »</w:t>
      </w:r>
      <w:r w:rsidR="00EC442C" w:rsidRPr="00711609">
        <w:rPr>
          <w:spacing w:val="-1"/>
          <w:lang w:val="fr-FR"/>
        </w:rPr>
        <w:t xml:space="preserve"> </w:t>
      </w:r>
      <w:r w:rsidRPr="00711609">
        <w:rPr>
          <w:spacing w:val="-1"/>
          <w:lang w:val="fr-FR"/>
        </w:rPr>
        <w:t>sont</w:t>
      </w:r>
      <w:r w:rsidR="00EC442C" w:rsidRPr="00711609">
        <w:rPr>
          <w:spacing w:val="-1"/>
          <w:lang w:val="fr-FR"/>
        </w:rPr>
        <w:t xml:space="preserve"> </w:t>
      </w:r>
      <w:r w:rsidRPr="00711609">
        <w:rPr>
          <w:spacing w:val="-1"/>
          <w:lang w:val="fr-FR"/>
        </w:rPr>
        <w:t>par</w:t>
      </w:r>
      <w:r w:rsidR="00EC442C" w:rsidRPr="00711609">
        <w:rPr>
          <w:spacing w:val="-1"/>
          <w:lang w:val="fr-FR"/>
        </w:rPr>
        <w:t xml:space="preserve"> </w:t>
      </w:r>
      <w:r w:rsidRPr="00711609">
        <w:rPr>
          <w:spacing w:val="-1"/>
          <w:lang w:val="fr-FR"/>
        </w:rPr>
        <w:t>exemple</w:t>
      </w:r>
      <w:r w:rsidR="00EC442C" w:rsidRPr="00711609">
        <w:rPr>
          <w:spacing w:val="-1"/>
          <w:lang w:val="fr-FR"/>
        </w:rPr>
        <w:t xml:space="preserve"> </w:t>
      </w:r>
      <w:r w:rsidRPr="00711609">
        <w:rPr>
          <w:spacing w:val="-1"/>
          <w:lang w:val="fr-FR"/>
        </w:rPr>
        <w:t>les</w:t>
      </w:r>
      <w:r w:rsidR="00EC442C" w:rsidRPr="00711609">
        <w:rPr>
          <w:spacing w:val="-1"/>
          <w:lang w:val="fr-FR"/>
        </w:rPr>
        <w:t xml:space="preserve"> </w:t>
      </w:r>
      <w:r w:rsidRPr="00711609">
        <w:rPr>
          <w:spacing w:val="-1"/>
          <w:lang w:val="fr-FR"/>
        </w:rPr>
        <w:t>suivantes</w:t>
      </w:r>
      <w:r w:rsidR="00EC442C" w:rsidRPr="00711609">
        <w:rPr>
          <w:spacing w:val="-1"/>
          <w:lang w:val="fr-FR"/>
        </w:rPr>
        <w:t> :</w:t>
      </w:r>
    </w:p>
    <w:p w:rsidR="008E13DE" w:rsidRPr="00DE4822" w:rsidRDefault="008E13DE" w:rsidP="00DB7C78">
      <w:pPr>
        <w:pStyle w:val="SingleTxtG"/>
        <w:ind w:left="2835" w:hanging="567"/>
        <w:rPr>
          <w:lang w:val="fr-FR"/>
        </w:rPr>
      </w:pPr>
      <w:r w:rsidRPr="00DE4822">
        <w:rPr>
          <w:lang w:val="fr-FR"/>
        </w:rPr>
        <w:t>a)</w:t>
      </w:r>
      <w:r w:rsidRPr="00DE4822">
        <w:rPr>
          <w:lang w:val="fr-FR"/>
        </w:rPr>
        <w:tab/>
        <w:t>Retour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basé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partiel</w:t>
      </w:r>
      <w:r w:rsidR="00EC442C">
        <w:rPr>
          <w:lang w:val="fr-FR"/>
        </w:rPr>
        <w:t> ;</w:t>
      </w:r>
    </w:p>
    <w:p w:rsidR="008E13DE" w:rsidRPr="00DE4822" w:rsidRDefault="008E13DE" w:rsidP="00DB7C78">
      <w:pPr>
        <w:pStyle w:val="SingleTxtG"/>
        <w:ind w:left="2835" w:hanging="567"/>
        <w:rPr>
          <w:lang w:val="fr-FR"/>
        </w:rPr>
      </w:pPr>
      <w:r w:rsidRPr="00DE4822">
        <w:rPr>
          <w:lang w:val="fr-FR"/>
        </w:rPr>
        <w:t>b)</w:t>
      </w:r>
      <w:r w:rsidRPr="00DE4822">
        <w:rPr>
          <w:lang w:val="fr-FR"/>
        </w:rPr>
        <w:tab/>
        <w:t>Passage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secours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distinct</w:t>
      </w:r>
      <w:r w:rsidR="00EC442C">
        <w:rPr>
          <w:lang w:val="fr-FR"/>
        </w:rPr>
        <w:t> ;</w:t>
      </w:r>
    </w:p>
    <w:p w:rsidR="008E13DE" w:rsidRPr="00DE4822" w:rsidRDefault="008E13DE" w:rsidP="00DB7C78">
      <w:pPr>
        <w:pStyle w:val="SingleTxtG"/>
        <w:ind w:left="2835" w:hanging="567"/>
        <w:rPr>
          <w:lang w:val="fr-FR"/>
        </w:rPr>
      </w:pPr>
      <w:r w:rsidRPr="00DE4822">
        <w:rPr>
          <w:lang w:val="fr-FR"/>
        </w:rPr>
        <w:t>c)</w:t>
      </w:r>
      <w:r w:rsidRPr="00DE4822">
        <w:rPr>
          <w:lang w:val="fr-FR"/>
        </w:rPr>
        <w:tab/>
        <w:t>Retrait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supérieure.</w:t>
      </w:r>
    </w:p>
    <w:p w:rsidR="008E13DE" w:rsidRPr="00DE4822" w:rsidRDefault="008E13DE" w:rsidP="00711609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averti,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exemple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moyen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message.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Lorsque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n’est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désactivé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notamment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tournant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contacteur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d’allumage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(démarrage)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vers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position</w:t>
      </w:r>
      <w:r w:rsidR="00EC442C">
        <w:rPr>
          <w:lang w:val="fr-FR"/>
        </w:rPr>
        <w:t xml:space="preserve"> </w:t>
      </w:r>
      <w:r w:rsidR="00711609">
        <w:rPr>
          <w:lang w:val="fr-FR"/>
        </w:rPr>
        <w:t>« </w:t>
      </w:r>
      <w:r w:rsidRPr="00DE4822">
        <w:rPr>
          <w:lang w:val="fr-FR"/>
        </w:rPr>
        <w:t>off</w:t>
      </w:r>
      <w:r w:rsidR="00711609">
        <w:rPr>
          <w:lang w:val="fr-FR"/>
        </w:rPr>
        <w:t> »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coupant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cette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particulière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s’il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existe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contacteur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spécial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effet,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l’avertissement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durer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aussi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longtemps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persiste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défaillance.</w:t>
      </w:r>
    </w:p>
    <w:p w:rsidR="008E13DE" w:rsidRPr="00DE4822" w:rsidRDefault="008E13DE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3.4.3.1</w:t>
      </w:r>
      <w:r w:rsidRPr="00DE4822">
        <w:rPr>
          <w:lang w:val="fr-FR"/>
        </w:rPr>
        <w:tab/>
        <w:t>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l’option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choisie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fait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partiel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certaines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celles</w:t>
      </w:r>
      <w:r w:rsidR="004D15A8">
        <w:rPr>
          <w:lang w:val="fr-FR"/>
        </w:rPr>
        <w:t>-</w:t>
      </w:r>
      <w:r w:rsidRPr="00DE4822">
        <w:rPr>
          <w:lang w:val="fr-FR"/>
        </w:rPr>
        <w:t>ci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alors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indiquées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limites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d’efficacité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résultent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définies.</w:t>
      </w:r>
    </w:p>
    <w:p w:rsidR="008E13DE" w:rsidRPr="00DE4822" w:rsidRDefault="008E13DE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3.4.3.2</w:t>
      </w:r>
      <w:r w:rsidRPr="00DE4822">
        <w:rPr>
          <w:lang w:val="fr-FR"/>
        </w:rPr>
        <w:tab/>
        <w:t>Lorsque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l’option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choisie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fait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deuxième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méthode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secours)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réaliser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l’objectif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principes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mécanisme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changement,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logique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niveau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redondance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ainsi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dispositif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vérification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intégré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expliqués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limites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d’efficacité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résultent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définies.</w:t>
      </w:r>
    </w:p>
    <w:p w:rsidR="008E13DE" w:rsidRPr="00DE4822" w:rsidRDefault="008E13DE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3.4.3.3</w:t>
      </w:r>
      <w:r w:rsidRPr="00DE4822">
        <w:rPr>
          <w:lang w:val="fr-FR"/>
        </w:rPr>
        <w:tab/>
        <w:t>Lorsque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l’option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choisie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fait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l’élimination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supérieure,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contrôle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rendement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associés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cette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bloqués,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manière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limiter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perturbations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transitoires.</w:t>
      </w:r>
    </w:p>
    <w:p w:rsidR="008E13DE" w:rsidRPr="00DE4822" w:rsidRDefault="008E13DE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3.4.4</w:t>
      </w:r>
      <w:r w:rsidRPr="00DE4822">
        <w:rPr>
          <w:lang w:val="fr-FR"/>
        </w:rPr>
        <w:tab/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documentation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accompagnée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analyse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montre,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termes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généraux,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comporte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lorsque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survient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spécifiées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ayant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incidence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l’efficacité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sécurité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maîtrise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véhicule.</w:t>
      </w:r>
    </w:p>
    <w:p w:rsidR="008E13DE" w:rsidRPr="00DE4822" w:rsidRDefault="008E13DE" w:rsidP="00BC13B0">
      <w:pPr>
        <w:pStyle w:val="SingleTxtG"/>
        <w:ind w:left="2268"/>
      </w:pPr>
      <w:r w:rsidRPr="00DE4822">
        <w:t>Pour</w:t>
      </w:r>
      <w:r w:rsidR="00EC442C">
        <w:t xml:space="preserve"> </w:t>
      </w:r>
      <w:r w:rsidRPr="00DE4822">
        <w:t>ce</w:t>
      </w:r>
      <w:r w:rsidR="00EC442C">
        <w:t xml:space="preserve"> </w:t>
      </w:r>
      <w:r w:rsidRPr="00DE4822">
        <w:t>faire,</w:t>
      </w:r>
      <w:r w:rsidR="00EC442C">
        <w:t xml:space="preserve"> </w:t>
      </w:r>
      <w:r w:rsidRPr="00DE4822">
        <w:t>on</w:t>
      </w:r>
      <w:r w:rsidR="00EC442C">
        <w:t xml:space="preserve"> </w:t>
      </w:r>
      <w:r w:rsidRPr="00BC13B0">
        <w:rPr>
          <w:lang w:val="fr-FR"/>
        </w:rPr>
        <w:t>peut</w:t>
      </w:r>
      <w:r w:rsidR="00EC442C">
        <w:t xml:space="preserve"> </w:t>
      </w:r>
      <w:r w:rsidRPr="00DE4822">
        <w:t>s’appuyer</w:t>
      </w:r>
      <w:r w:rsidR="00EC442C">
        <w:t xml:space="preserve"> </w:t>
      </w:r>
      <w:r w:rsidRPr="00DE4822">
        <w:t>sur</w:t>
      </w:r>
      <w:r w:rsidR="00EC442C">
        <w:t xml:space="preserve"> </w:t>
      </w:r>
      <w:r w:rsidRPr="00DE4822">
        <w:t>une</w:t>
      </w:r>
      <w:r w:rsidR="00EC442C">
        <w:t xml:space="preserve"> </w:t>
      </w:r>
      <w:r w:rsidRPr="00DE4822">
        <w:t>analyse</w:t>
      </w:r>
      <w:r w:rsidR="00EC442C">
        <w:t xml:space="preserve"> </w:t>
      </w:r>
      <w:r w:rsidRPr="00DE4822">
        <w:t>des</w:t>
      </w:r>
      <w:r w:rsidR="00EC442C">
        <w:t xml:space="preserve"> </w:t>
      </w:r>
      <w:r w:rsidRPr="00DE4822">
        <w:t>modes</w:t>
      </w:r>
      <w:r w:rsidR="00EC442C">
        <w:t xml:space="preserve"> </w:t>
      </w:r>
      <w:r w:rsidRPr="00DE4822">
        <w:t>de</w:t>
      </w:r>
      <w:r w:rsidR="00EC442C">
        <w:t xml:space="preserve"> </w:t>
      </w:r>
      <w:r w:rsidRPr="00DE4822">
        <w:t>défaillance</w:t>
      </w:r>
      <w:r w:rsidR="00EC442C">
        <w:t xml:space="preserve"> </w:t>
      </w:r>
      <w:r w:rsidRPr="00DE4822">
        <w:t>et</w:t>
      </w:r>
      <w:r w:rsidR="00EC442C">
        <w:t xml:space="preserve"> </w:t>
      </w:r>
      <w:r w:rsidRPr="00DE4822">
        <w:t>de</w:t>
      </w:r>
      <w:r w:rsidR="00EC442C">
        <w:t xml:space="preserve"> </w:t>
      </w:r>
      <w:r w:rsidRPr="00DE4822">
        <w:t>leurs</w:t>
      </w:r>
      <w:r w:rsidR="00EC442C">
        <w:t xml:space="preserve"> </w:t>
      </w:r>
      <w:r w:rsidRPr="00DE4822">
        <w:t>effets,</w:t>
      </w:r>
      <w:r w:rsidR="00EC442C">
        <w:t xml:space="preserve"> </w:t>
      </w:r>
      <w:r w:rsidRPr="00DE4822">
        <w:t>une</w:t>
      </w:r>
      <w:r w:rsidR="00EC442C">
        <w:t xml:space="preserve"> </w:t>
      </w:r>
      <w:r w:rsidRPr="00DE4822">
        <w:t>analyse</w:t>
      </w:r>
      <w:r w:rsidR="00EC442C">
        <w:t xml:space="preserve"> </w:t>
      </w:r>
      <w:r w:rsidRPr="00DE4822">
        <w:t>par</w:t>
      </w:r>
      <w:r w:rsidR="00EC442C">
        <w:t xml:space="preserve"> </w:t>
      </w:r>
      <w:r w:rsidRPr="00DE4822">
        <w:t>arbre</w:t>
      </w:r>
      <w:r w:rsidR="00EC442C">
        <w:t xml:space="preserve"> </w:t>
      </w:r>
      <w:r w:rsidRPr="00DE4822">
        <w:t>de</w:t>
      </w:r>
      <w:r w:rsidR="00EC442C">
        <w:t xml:space="preserve"> </w:t>
      </w:r>
      <w:r w:rsidRPr="00DE4822">
        <w:t>défaillance</w:t>
      </w:r>
      <w:r w:rsidR="00EC442C">
        <w:t xml:space="preserve"> </w:t>
      </w:r>
      <w:r w:rsidRPr="00DE4822">
        <w:t>ou</w:t>
      </w:r>
      <w:r w:rsidR="00EC442C">
        <w:t xml:space="preserve"> </w:t>
      </w:r>
      <w:r w:rsidRPr="00DE4822">
        <w:t>toute</w:t>
      </w:r>
      <w:r w:rsidR="00EC442C">
        <w:t xml:space="preserve"> </w:t>
      </w:r>
      <w:r w:rsidRPr="00DE4822">
        <w:t>procédure</w:t>
      </w:r>
      <w:r w:rsidR="00EC442C">
        <w:t xml:space="preserve"> </w:t>
      </w:r>
      <w:r w:rsidRPr="00DE4822">
        <w:t>similaire</w:t>
      </w:r>
      <w:r w:rsidR="00EC442C">
        <w:t xml:space="preserve"> </w:t>
      </w:r>
      <w:r w:rsidRPr="00DE4822">
        <w:t>adaptée</w:t>
      </w:r>
      <w:r w:rsidR="00EC442C">
        <w:t xml:space="preserve"> </w:t>
      </w:r>
      <w:r w:rsidRPr="00DE4822">
        <w:t>aux</w:t>
      </w:r>
      <w:r w:rsidR="00EC442C">
        <w:t xml:space="preserve"> </w:t>
      </w:r>
      <w:r w:rsidRPr="00DE4822">
        <w:t>considérations</w:t>
      </w:r>
      <w:r w:rsidR="00EC442C">
        <w:t xml:space="preserve"> </w:t>
      </w:r>
      <w:r w:rsidRPr="00DE4822">
        <w:t>de</w:t>
      </w:r>
      <w:r w:rsidR="00EC442C">
        <w:t xml:space="preserve"> </w:t>
      </w:r>
      <w:r w:rsidRPr="00DE4822">
        <w:t>sécurité</w:t>
      </w:r>
      <w:r w:rsidR="00EC442C">
        <w:t xml:space="preserve"> </w:t>
      </w:r>
      <w:r w:rsidRPr="00DE4822">
        <w:t>du</w:t>
      </w:r>
      <w:r w:rsidR="00EC442C">
        <w:t xml:space="preserve"> </w:t>
      </w:r>
      <w:r w:rsidRPr="00DE4822">
        <w:t>système.</w:t>
      </w:r>
    </w:p>
    <w:p w:rsidR="008E13DE" w:rsidRPr="00DE4822" w:rsidRDefault="008E13DE" w:rsidP="00BC13B0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L’approche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approches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analytiques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choisies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mises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point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gérées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constructeur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soumises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l’inspection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service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technique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type.</w:t>
      </w:r>
    </w:p>
    <w:p w:rsidR="008E13DE" w:rsidRPr="00DE4822" w:rsidRDefault="008E13DE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3.4.4.1</w:t>
      </w:r>
      <w:r w:rsidRPr="00DE4822">
        <w:rPr>
          <w:lang w:val="fr-FR"/>
        </w:rPr>
        <w:tab/>
        <w:t>Cette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documentation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énumérer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paramètres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faisant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l’objet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surveillance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définir,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type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énoncé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3.4.4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annexe,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d’avertissement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donner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et/ou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personnel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chargé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service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l’inspection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technique.</w:t>
      </w:r>
    </w:p>
    <w:p w:rsidR="008E13DE" w:rsidRPr="00DE4822" w:rsidRDefault="008E13DE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4.</w:t>
      </w:r>
      <w:r w:rsidRPr="00DE4822">
        <w:rPr>
          <w:lang w:val="fr-FR"/>
        </w:rPr>
        <w:tab/>
        <w:t>Vérification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essais</w:t>
      </w:r>
    </w:p>
    <w:p w:rsidR="008E13DE" w:rsidRPr="00DE4822" w:rsidRDefault="008E13DE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4.1</w:t>
      </w:r>
      <w:r w:rsidRPr="00DE4822">
        <w:rPr>
          <w:lang w:val="fr-FR"/>
        </w:rPr>
        <w:tab/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="00BC13B0">
        <w:rPr>
          <w:lang w:val="fr-FR"/>
        </w:rPr>
        <w:t>« </w:t>
      </w:r>
      <w:r w:rsidRPr="00DE4822">
        <w:rPr>
          <w:lang w:val="fr-FR"/>
        </w:rPr>
        <w:t>système</w:t>
      </w:r>
      <w:r w:rsidR="00BC13B0">
        <w:rPr>
          <w:lang w:val="fr-FR"/>
        </w:rPr>
        <w:t> »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qu’exposé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documents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requis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titre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3,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l’objet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d’essais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suit</w:t>
      </w:r>
      <w:r w:rsidR="00EC442C">
        <w:rPr>
          <w:lang w:val="fr-FR"/>
        </w:rPr>
        <w:t> :</w:t>
      </w:r>
    </w:p>
    <w:p w:rsidR="008E13DE" w:rsidRPr="00DE4822" w:rsidRDefault="008E13DE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4.1.1</w:t>
      </w:r>
      <w:r w:rsidRPr="00DE4822">
        <w:rPr>
          <w:lang w:val="fr-FR"/>
        </w:rPr>
        <w:tab/>
        <w:t>Vérification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="00BC13B0">
        <w:rPr>
          <w:lang w:val="fr-FR"/>
        </w:rPr>
        <w:t>« </w:t>
      </w:r>
      <w:r w:rsidRPr="00DE4822">
        <w:rPr>
          <w:lang w:val="fr-FR"/>
        </w:rPr>
        <w:t>système</w:t>
      </w:r>
      <w:r w:rsidR="00BC13B0">
        <w:rPr>
          <w:lang w:val="fr-FR"/>
        </w:rPr>
        <w:t> »</w:t>
      </w:r>
    </w:p>
    <w:p w:rsidR="008E13DE" w:rsidRPr="00DE4822" w:rsidRDefault="008E13DE" w:rsidP="00BC13B0">
      <w:pPr>
        <w:pStyle w:val="SingleTxtG"/>
        <w:ind w:left="2268"/>
      </w:pPr>
      <w:r w:rsidRPr="00DE4822">
        <w:t>Aux</w:t>
      </w:r>
      <w:r w:rsidR="00EC442C">
        <w:t xml:space="preserve"> </w:t>
      </w:r>
      <w:r w:rsidRPr="00DE4822">
        <w:t>fins</w:t>
      </w:r>
      <w:r w:rsidR="00EC442C">
        <w:t xml:space="preserve"> </w:t>
      </w:r>
      <w:r w:rsidRPr="00DE4822">
        <w:t>de</w:t>
      </w:r>
      <w:r w:rsidR="00EC442C">
        <w:t xml:space="preserve"> </w:t>
      </w:r>
      <w:r w:rsidRPr="00DE4822">
        <w:t>l’établissement</w:t>
      </w:r>
      <w:r w:rsidR="00EC442C">
        <w:t xml:space="preserve"> </w:t>
      </w:r>
      <w:r w:rsidRPr="00DE4822">
        <w:t>des</w:t>
      </w:r>
      <w:r w:rsidR="00EC442C">
        <w:t xml:space="preserve"> </w:t>
      </w:r>
      <w:r w:rsidRPr="00DE4822">
        <w:t>niveaux</w:t>
      </w:r>
      <w:r w:rsidR="00EC442C">
        <w:t xml:space="preserve"> </w:t>
      </w:r>
      <w:r w:rsidRPr="00DE4822">
        <w:t>de</w:t>
      </w:r>
      <w:r w:rsidR="00EC442C">
        <w:t xml:space="preserve"> </w:t>
      </w:r>
      <w:r w:rsidRPr="00DE4822">
        <w:t>fonctionnement</w:t>
      </w:r>
      <w:r w:rsidR="00EC442C">
        <w:t xml:space="preserve"> </w:t>
      </w:r>
      <w:r w:rsidRPr="00DE4822">
        <w:t>normaux,</w:t>
      </w:r>
      <w:r w:rsidR="00EC442C">
        <w:t xml:space="preserve"> </w:t>
      </w:r>
      <w:r w:rsidRPr="00DE4822">
        <w:t>la</w:t>
      </w:r>
      <w:r w:rsidR="00EC442C">
        <w:t xml:space="preserve"> </w:t>
      </w:r>
      <w:r w:rsidRPr="00DE4822">
        <w:t>vérification</w:t>
      </w:r>
      <w:r w:rsidR="00EC442C">
        <w:t xml:space="preserve"> </w:t>
      </w:r>
      <w:r w:rsidRPr="00DE4822">
        <w:t>de</w:t>
      </w:r>
      <w:r w:rsidR="00EC442C">
        <w:t xml:space="preserve"> </w:t>
      </w:r>
      <w:r w:rsidRPr="00DE4822">
        <w:t>la</w:t>
      </w:r>
      <w:r w:rsidR="00EC442C">
        <w:t xml:space="preserve"> </w:t>
      </w:r>
      <w:r w:rsidRPr="00DE4822">
        <w:t>performance</w:t>
      </w:r>
      <w:r w:rsidR="00EC442C">
        <w:t xml:space="preserve"> </w:t>
      </w:r>
      <w:r w:rsidRPr="00DE4822">
        <w:t>du</w:t>
      </w:r>
      <w:r w:rsidR="00EC442C">
        <w:t xml:space="preserve"> </w:t>
      </w:r>
      <w:r w:rsidRPr="00DE4822">
        <w:t>système</w:t>
      </w:r>
      <w:r w:rsidR="00EC442C">
        <w:t xml:space="preserve"> </w:t>
      </w:r>
      <w:r w:rsidRPr="00DE4822">
        <w:t>en</w:t>
      </w:r>
      <w:r w:rsidR="00EC442C">
        <w:t xml:space="preserve"> </w:t>
      </w:r>
      <w:r w:rsidRPr="00BC13B0">
        <w:rPr>
          <w:lang w:val="fr-FR"/>
        </w:rPr>
        <w:t>l’absence</w:t>
      </w:r>
      <w:r w:rsidR="00EC442C">
        <w:t xml:space="preserve"> </w:t>
      </w:r>
      <w:r w:rsidRPr="00DE4822">
        <w:t>de</w:t>
      </w:r>
      <w:r w:rsidR="00EC442C">
        <w:t xml:space="preserve"> </w:t>
      </w:r>
      <w:r w:rsidRPr="00DE4822">
        <w:t>défaillances</w:t>
      </w:r>
      <w:r w:rsidR="00EC442C">
        <w:t xml:space="preserve"> </w:t>
      </w:r>
      <w:r w:rsidRPr="00DE4822">
        <w:t>doit</w:t>
      </w:r>
      <w:r w:rsidR="00EC442C">
        <w:t xml:space="preserve"> </w:t>
      </w:r>
      <w:r w:rsidRPr="00DE4822">
        <w:t>être</w:t>
      </w:r>
      <w:r w:rsidR="00EC442C">
        <w:t xml:space="preserve"> </w:t>
      </w:r>
      <w:r w:rsidRPr="00DE4822">
        <w:t>effectuée</w:t>
      </w:r>
      <w:r w:rsidR="00EC442C">
        <w:t xml:space="preserve"> </w:t>
      </w:r>
      <w:r w:rsidRPr="00DE4822">
        <w:t>au</w:t>
      </w:r>
      <w:r w:rsidR="00EC442C">
        <w:t xml:space="preserve"> </w:t>
      </w:r>
      <w:r w:rsidRPr="00DE4822">
        <w:t>regard</w:t>
      </w:r>
      <w:r w:rsidR="00EC442C">
        <w:t xml:space="preserve"> </w:t>
      </w:r>
      <w:r w:rsidRPr="00DE4822">
        <w:t>du</w:t>
      </w:r>
      <w:r w:rsidR="00EC442C">
        <w:t xml:space="preserve"> </w:t>
      </w:r>
      <w:r w:rsidRPr="00DE4822">
        <w:t>paramètre</w:t>
      </w:r>
      <w:r w:rsidR="00EC442C">
        <w:t xml:space="preserve"> </w:t>
      </w:r>
      <w:r w:rsidRPr="00DE4822">
        <w:t>de</w:t>
      </w:r>
      <w:r w:rsidR="00EC442C">
        <w:t xml:space="preserve"> </w:t>
      </w:r>
      <w:r w:rsidRPr="00DE4822">
        <w:t>référence</w:t>
      </w:r>
      <w:r w:rsidR="00EC442C">
        <w:t xml:space="preserve"> </w:t>
      </w:r>
      <w:r w:rsidRPr="00DE4822">
        <w:t>spécifié</w:t>
      </w:r>
      <w:r w:rsidR="00EC442C">
        <w:t xml:space="preserve"> </w:t>
      </w:r>
      <w:r w:rsidRPr="00DE4822">
        <w:t>par</w:t>
      </w:r>
      <w:r w:rsidR="00EC442C">
        <w:t xml:space="preserve"> </w:t>
      </w:r>
      <w:r w:rsidRPr="00DE4822">
        <w:t>le</w:t>
      </w:r>
      <w:r w:rsidR="00EC442C">
        <w:t xml:space="preserve"> </w:t>
      </w:r>
      <w:r w:rsidRPr="00DE4822">
        <w:t>constructeur,</w:t>
      </w:r>
      <w:r w:rsidR="00EC442C">
        <w:t xml:space="preserve"> </w:t>
      </w:r>
      <w:r w:rsidRPr="00DE4822">
        <w:t>à</w:t>
      </w:r>
      <w:r w:rsidR="00EC442C">
        <w:t xml:space="preserve"> </w:t>
      </w:r>
      <w:r w:rsidRPr="00DE4822">
        <w:t>moins</w:t>
      </w:r>
      <w:r w:rsidR="00EC442C">
        <w:t xml:space="preserve"> </w:t>
      </w:r>
      <w:r w:rsidRPr="00DE4822">
        <w:t>qu’il</w:t>
      </w:r>
      <w:r w:rsidR="00EC442C">
        <w:t xml:space="preserve"> </w:t>
      </w:r>
      <w:r w:rsidRPr="00DE4822">
        <w:t>ne</w:t>
      </w:r>
      <w:r w:rsidR="00EC442C">
        <w:t xml:space="preserve"> </w:t>
      </w:r>
      <w:r w:rsidRPr="00DE4822">
        <w:t>soit</w:t>
      </w:r>
      <w:r w:rsidR="00EC442C">
        <w:t xml:space="preserve"> </w:t>
      </w:r>
      <w:r w:rsidRPr="00DE4822">
        <w:t>soumis</w:t>
      </w:r>
      <w:r w:rsidR="00EC442C">
        <w:t xml:space="preserve"> </w:t>
      </w:r>
      <w:r w:rsidRPr="00DE4822">
        <w:t>à</w:t>
      </w:r>
      <w:r w:rsidR="00EC442C">
        <w:t xml:space="preserve"> </w:t>
      </w:r>
      <w:r w:rsidRPr="00DE4822">
        <w:t>un</w:t>
      </w:r>
      <w:r w:rsidR="00EC442C">
        <w:t xml:space="preserve"> </w:t>
      </w:r>
      <w:r w:rsidRPr="00DE4822">
        <w:t>essai</w:t>
      </w:r>
      <w:r w:rsidR="00EC442C">
        <w:t xml:space="preserve"> </w:t>
      </w:r>
      <w:r w:rsidRPr="00DE4822">
        <w:t>de</w:t>
      </w:r>
      <w:r w:rsidR="00EC442C">
        <w:t xml:space="preserve"> </w:t>
      </w:r>
      <w:r w:rsidRPr="00DE4822">
        <w:t>rendement</w:t>
      </w:r>
      <w:r w:rsidR="00EC442C">
        <w:t xml:space="preserve"> </w:t>
      </w:r>
      <w:r w:rsidRPr="00DE4822">
        <w:t>spécifié</w:t>
      </w:r>
      <w:r w:rsidR="00EC442C">
        <w:t xml:space="preserve"> </w:t>
      </w:r>
      <w:r w:rsidRPr="00DE4822">
        <w:t>dans</w:t>
      </w:r>
      <w:r w:rsidR="00EC442C">
        <w:t xml:space="preserve"> </w:t>
      </w:r>
      <w:r w:rsidRPr="00DE4822">
        <w:t>le</w:t>
      </w:r>
      <w:r w:rsidR="00EC442C">
        <w:t xml:space="preserve"> </w:t>
      </w:r>
      <w:r w:rsidRPr="00DE4822">
        <w:t>cadre</w:t>
      </w:r>
      <w:r w:rsidR="00EC442C">
        <w:t xml:space="preserve"> </w:t>
      </w:r>
      <w:r w:rsidRPr="00DE4822">
        <w:t>de</w:t>
      </w:r>
      <w:r w:rsidR="00EC442C">
        <w:t xml:space="preserve"> </w:t>
      </w:r>
      <w:r w:rsidRPr="00DE4822">
        <w:t>la</w:t>
      </w:r>
      <w:r w:rsidR="00EC442C">
        <w:t xml:space="preserve"> </w:t>
      </w:r>
      <w:r w:rsidRPr="00DE4822">
        <w:t>procédure</w:t>
      </w:r>
      <w:r w:rsidR="00EC442C">
        <w:t xml:space="preserve"> </w:t>
      </w:r>
      <w:r w:rsidRPr="00DE4822">
        <w:t>d’homologation</w:t>
      </w:r>
      <w:r w:rsidR="00EC442C">
        <w:t xml:space="preserve"> </w:t>
      </w:r>
      <w:r w:rsidRPr="00DE4822">
        <w:t>prévue</w:t>
      </w:r>
      <w:r w:rsidR="00EC442C">
        <w:t xml:space="preserve"> </w:t>
      </w:r>
      <w:r w:rsidRPr="00DE4822">
        <w:t>dans</w:t>
      </w:r>
      <w:r w:rsidR="00EC442C">
        <w:t xml:space="preserve"> </w:t>
      </w:r>
      <w:r w:rsidRPr="00DE4822">
        <w:t>le</w:t>
      </w:r>
      <w:r w:rsidR="00EC442C">
        <w:t xml:space="preserve"> </w:t>
      </w:r>
      <w:r w:rsidRPr="00DE4822">
        <w:t>présent</w:t>
      </w:r>
      <w:r w:rsidR="00EC442C">
        <w:t xml:space="preserve"> </w:t>
      </w:r>
      <w:r w:rsidRPr="00DE4822">
        <w:t>Règlement</w:t>
      </w:r>
      <w:r w:rsidR="00EC442C">
        <w:t xml:space="preserve"> </w:t>
      </w:r>
      <w:r w:rsidRPr="00DE4822">
        <w:t>ou</w:t>
      </w:r>
      <w:r w:rsidR="00EC442C">
        <w:t xml:space="preserve"> </w:t>
      </w:r>
      <w:r w:rsidRPr="00DE4822">
        <w:t>dans</w:t>
      </w:r>
      <w:r w:rsidR="00EC442C">
        <w:t xml:space="preserve"> </w:t>
      </w:r>
      <w:r w:rsidRPr="00DE4822">
        <w:t>un</w:t>
      </w:r>
      <w:r w:rsidR="00EC442C">
        <w:t xml:space="preserve"> </w:t>
      </w:r>
      <w:r w:rsidRPr="00DE4822">
        <w:t>autre</w:t>
      </w:r>
      <w:r w:rsidR="00EC442C">
        <w:t xml:space="preserve"> </w:t>
      </w:r>
      <w:r w:rsidRPr="00DE4822">
        <w:t>règlement.</w:t>
      </w:r>
    </w:p>
    <w:p w:rsidR="008E13DE" w:rsidRPr="00DE4822" w:rsidRDefault="008E13DE" w:rsidP="00BC13B0">
      <w:pPr>
        <w:pStyle w:val="SingleTxtG"/>
        <w:keepNext/>
        <w:ind w:left="2268" w:hanging="1134"/>
        <w:rPr>
          <w:lang w:val="fr-FR"/>
        </w:rPr>
      </w:pPr>
      <w:r w:rsidRPr="00DE4822">
        <w:rPr>
          <w:lang w:val="fr-FR"/>
        </w:rPr>
        <w:lastRenderedPageBreak/>
        <w:t>4.1.2</w:t>
      </w:r>
      <w:r w:rsidRPr="00DE4822">
        <w:rPr>
          <w:lang w:val="fr-FR"/>
        </w:rPr>
        <w:tab/>
        <w:t>Vérification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concept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sécurité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visé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3.4</w:t>
      </w:r>
    </w:p>
    <w:p w:rsidR="008E13DE" w:rsidRPr="00DE4822" w:rsidRDefault="008E13DE" w:rsidP="00BC13B0">
      <w:pPr>
        <w:pStyle w:val="SingleTxtG"/>
        <w:keepLines/>
        <w:ind w:left="2268"/>
        <w:rPr>
          <w:lang w:val="fr-FR"/>
        </w:rPr>
      </w:pP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réaction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="00BC13B0">
        <w:rPr>
          <w:lang w:val="fr-FR"/>
        </w:rPr>
        <w:t>« </w:t>
      </w:r>
      <w:r w:rsidRPr="00DE4822">
        <w:rPr>
          <w:lang w:val="fr-FR"/>
        </w:rPr>
        <w:t>système</w:t>
      </w:r>
      <w:r w:rsidR="00BC13B0">
        <w:rPr>
          <w:lang w:val="fr-FR"/>
        </w:rPr>
        <w:t> »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discrétion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l’autorité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accordant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type,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vérifiée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conditions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unité,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appliquant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correspondant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unités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éléments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mécaniques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afin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simuler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effets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défectuosités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internes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l’unité.</w:t>
      </w:r>
    </w:p>
    <w:p w:rsidR="00AE3647" w:rsidRDefault="008E13DE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4.1.2.1</w:t>
      </w:r>
      <w:r w:rsidRPr="00DE4822">
        <w:rPr>
          <w:lang w:val="fr-FR"/>
        </w:rPr>
        <w:tab/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résultats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vérification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correspondre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récapitulatif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circonstancié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l’analyse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pannes,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niveau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d’incidence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permettant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confirmer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sécurité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suffisante,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point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concept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l’exécution.</w:t>
      </w:r>
    </w:p>
    <w:p w:rsidR="009B3976" w:rsidRDefault="009B3976" w:rsidP="00DB7C78">
      <w:pPr>
        <w:pStyle w:val="SingleTxtG"/>
        <w:ind w:left="2268" w:hanging="1134"/>
        <w:rPr>
          <w:lang w:val="fr-FR"/>
        </w:rPr>
      </w:pPr>
    </w:p>
    <w:p w:rsidR="009B3976" w:rsidRPr="00DE4822" w:rsidRDefault="009B3976" w:rsidP="00DB7C78">
      <w:pPr>
        <w:pStyle w:val="SingleTxtG"/>
        <w:ind w:left="2268" w:hanging="1134"/>
        <w:rPr>
          <w:lang w:val="fr-FR"/>
        </w:rPr>
        <w:sectPr w:rsidR="009B3976" w:rsidRPr="00DE4822" w:rsidSect="002564BC">
          <w:headerReference w:type="even" r:id="rId37"/>
          <w:headerReference w:type="default" r:id="rId38"/>
          <w:footerReference w:type="even" r:id="rId39"/>
          <w:footerReference w:type="default" r:id="rId40"/>
          <w:footnotePr>
            <w:numRestart w:val="eachSect"/>
          </w:footnotePr>
          <w:endnotePr>
            <w:numFmt w:val="decimal"/>
          </w:endnotePr>
          <w:pgSz w:w="11907" w:h="16840" w:code="9"/>
          <w:pgMar w:top="1417" w:right="1134" w:bottom="1134" w:left="1134" w:header="680" w:footer="567" w:gutter="0"/>
          <w:cols w:space="720"/>
          <w:docGrid w:linePitch="272"/>
        </w:sectPr>
      </w:pPr>
    </w:p>
    <w:p w:rsidR="00AE3647" w:rsidRPr="00DE4822" w:rsidRDefault="00AE3647" w:rsidP="009B3976">
      <w:pPr>
        <w:pStyle w:val="HChG"/>
        <w:rPr>
          <w:lang w:val="fr-FR"/>
        </w:rPr>
      </w:pPr>
      <w:r w:rsidRPr="00DE4822">
        <w:rPr>
          <w:lang w:val="fr-FR"/>
        </w:rPr>
        <w:lastRenderedPageBreak/>
        <w:t>Annexe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7</w:t>
      </w:r>
    </w:p>
    <w:p w:rsidR="00AE3647" w:rsidRPr="00DE4822" w:rsidRDefault="009B3976" w:rsidP="009B3976">
      <w:pPr>
        <w:pStyle w:val="HChG"/>
        <w:rPr>
          <w:lang w:val="fr-FR"/>
        </w:rPr>
      </w:pPr>
      <w:r>
        <w:rPr>
          <w:lang w:val="fr-FR"/>
        </w:rPr>
        <w:tab/>
      </w:r>
      <w:r w:rsidR="00E33761" w:rsidRPr="00DE4822">
        <w:rPr>
          <w:lang w:val="fr-FR"/>
        </w:rPr>
        <w:tab/>
      </w:r>
      <w:r w:rsidR="00AE3647" w:rsidRPr="00DE4822">
        <w:rPr>
          <w:lang w:val="fr-FR"/>
        </w:rPr>
        <w:t>Dispositions</w:t>
      </w:r>
      <w:r w:rsidR="00EC442C">
        <w:rPr>
          <w:lang w:val="fr-FR"/>
        </w:rPr>
        <w:t xml:space="preserve"> </w:t>
      </w:r>
      <w:r w:rsidR="00AE3647" w:rsidRPr="00DE4822">
        <w:rPr>
          <w:lang w:val="fr-FR"/>
        </w:rPr>
        <w:t>spéciales</w:t>
      </w:r>
      <w:r w:rsidR="00EC442C">
        <w:rPr>
          <w:lang w:val="fr-FR"/>
        </w:rPr>
        <w:t xml:space="preserve"> </w:t>
      </w:r>
      <w:r w:rsidR="00AE3647" w:rsidRPr="00DE4822">
        <w:rPr>
          <w:lang w:val="fr-FR"/>
        </w:rPr>
        <w:t>concernant</w:t>
      </w:r>
      <w:r w:rsidR="00EC442C">
        <w:rPr>
          <w:lang w:val="fr-FR"/>
        </w:rPr>
        <w:t xml:space="preserve"> </w:t>
      </w:r>
      <w:r w:rsidR="00AE3647" w:rsidRPr="00DE4822">
        <w:rPr>
          <w:lang w:val="fr-FR"/>
        </w:rPr>
        <w:t>l’alimentation</w:t>
      </w:r>
      <w:r w:rsidR="00EC442C">
        <w:rPr>
          <w:lang w:val="fr-FR"/>
        </w:rPr>
        <w:t xml:space="preserve"> </w:t>
      </w:r>
      <w:r w:rsidR="00AE3647" w:rsidRPr="00DE4822">
        <w:rPr>
          <w:lang w:val="fr-FR"/>
        </w:rPr>
        <w:t>électrique</w:t>
      </w:r>
      <w:r w:rsidR="00EC442C">
        <w:rPr>
          <w:lang w:val="fr-FR"/>
        </w:rPr>
        <w:t xml:space="preserve"> </w:t>
      </w:r>
      <w:r w:rsidR="00AE3647"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="00AE3647" w:rsidRPr="00DE4822">
        <w:rPr>
          <w:lang w:val="fr-FR"/>
        </w:rPr>
        <w:t>systèmes</w:t>
      </w:r>
      <w:r w:rsidR="00EC442C">
        <w:rPr>
          <w:lang w:val="fr-FR"/>
        </w:rPr>
        <w:t xml:space="preserve"> </w:t>
      </w:r>
      <w:r w:rsidR="00AE3647"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="00AE3647"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="00AE3647"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="00AE3647" w:rsidRPr="00DE4822">
        <w:rPr>
          <w:lang w:val="fr-FR"/>
        </w:rPr>
        <w:t>remorques</w:t>
      </w:r>
      <w:r w:rsidR="00EC442C">
        <w:rPr>
          <w:lang w:val="fr-FR"/>
        </w:rPr>
        <w:t xml:space="preserve"> </w:t>
      </w:r>
      <w:r w:rsidR="00AE3647"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="00AE3647" w:rsidRPr="00DE4822">
        <w:rPr>
          <w:lang w:val="fr-FR"/>
        </w:rPr>
        <w:t>partir</w:t>
      </w:r>
      <w:r w:rsidR="00EC442C">
        <w:rPr>
          <w:lang w:val="fr-FR"/>
        </w:rPr>
        <w:t xml:space="preserve"> </w:t>
      </w:r>
      <w:r w:rsidR="00AE3647"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="00AE3647"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="00AE3647" w:rsidRPr="00DE4822">
        <w:rPr>
          <w:lang w:val="fr-FR"/>
        </w:rPr>
        <w:t>tracteur</w:t>
      </w:r>
    </w:p>
    <w:p w:rsidR="00AE3647" w:rsidRPr="00DE4822" w:rsidRDefault="00AE3647" w:rsidP="001A7A21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1.</w:t>
      </w:r>
      <w:r w:rsidRPr="00DE4822">
        <w:rPr>
          <w:lang w:val="fr-FR"/>
        </w:rPr>
        <w:tab/>
        <w:t>Généralités</w:t>
      </w:r>
    </w:p>
    <w:p w:rsidR="00AE3647" w:rsidRPr="00DE4822" w:rsidRDefault="00AE3647" w:rsidP="00DB7C78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annexe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appliquées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tracteurs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lorsque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l’énergie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destinée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permettre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installé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fournie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tracteur.</w:t>
      </w:r>
    </w:p>
    <w:p w:rsidR="00AE3647" w:rsidRPr="00DE4822" w:rsidRDefault="00AE3647" w:rsidP="001A7A21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</w:t>
      </w:r>
      <w:r w:rsidRPr="00DE4822">
        <w:rPr>
          <w:lang w:val="fr-FR"/>
        </w:rPr>
        <w:tab/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applicables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tracteurs</w:t>
      </w:r>
    </w:p>
    <w:p w:rsidR="00AE3647" w:rsidRPr="00DE4822" w:rsidRDefault="00AE3647" w:rsidP="001A7A21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2.1</w:t>
      </w:r>
      <w:r w:rsidRPr="00DE4822">
        <w:rPr>
          <w:lang w:val="fr-FR"/>
        </w:rPr>
        <w:tab/>
        <w:t>Alimentation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énergie</w:t>
      </w:r>
    </w:p>
    <w:p w:rsidR="00AE3647" w:rsidRPr="00DE4822" w:rsidRDefault="00AE3647" w:rsidP="001A7A21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2.1.1</w:t>
      </w:r>
      <w:r w:rsidRPr="00DE4822">
        <w:rPr>
          <w:lang w:val="fr-FR"/>
        </w:rPr>
        <w:tab/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constructeur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définir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capacité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source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sorte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dispose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l’intensité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visée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2.3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ci</w:t>
      </w:r>
      <w:r w:rsidR="00F70BDB">
        <w:rPr>
          <w:lang w:val="fr-FR"/>
        </w:rPr>
        <w:noBreakHyphen/>
      </w:r>
      <w:r w:rsidRPr="00DE4822">
        <w:rPr>
          <w:lang w:val="fr-FR"/>
        </w:rPr>
        <w:t>dessous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conditions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d’utilisation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normales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véhicule.</w:t>
      </w:r>
    </w:p>
    <w:p w:rsidR="00AE3647" w:rsidRPr="00DE4822" w:rsidRDefault="00AE3647" w:rsidP="001A7A21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2.1.2</w:t>
      </w:r>
      <w:r w:rsidRPr="00DE4822">
        <w:rPr>
          <w:lang w:val="fr-FR"/>
        </w:rPr>
        <w:tab/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manuel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figurer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renseignements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informant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l’intensité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disponible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alimenter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l’avisant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connecter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l’interface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lorsque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l’intensité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requise,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inscrite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dépasse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fournir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tracteur.</w:t>
      </w:r>
    </w:p>
    <w:p w:rsidR="00AE3647" w:rsidRPr="00DE4822" w:rsidRDefault="00AE3647" w:rsidP="001A7A21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2.1.3</w:t>
      </w:r>
      <w:r w:rsidRPr="00DE4822">
        <w:rPr>
          <w:lang w:val="fr-FR"/>
        </w:rPr>
        <w:tab/>
        <w:t>L’alimentation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fournie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raccord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auquel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fait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référence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2.5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ci</w:t>
      </w:r>
      <w:r w:rsidR="004D15A8">
        <w:rPr>
          <w:lang w:val="fr-FR"/>
        </w:rPr>
        <w:t>-</w:t>
      </w:r>
      <w:r w:rsidRPr="00DE4822">
        <w:rPr>
          <w:lang w:val="fr-FR"/>
        </w:rPr>
        <w:t>dessous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utilisée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alimenter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dispositions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3.3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ci</w:t>
      </w:r>
      <w:r w:rsidR="004D15A8">
        <w:rPr>
          <w:lang w:val="fr-FR"/>
        </w:rPr>
        <w:t>-</w:t>
      </w:r>
      <w:r w:rsidRPr="00DE4822">
        <w:rPr>
          <w:lang w:val="fr-FR"/>
        </w:rPr>
        <w:t>dessous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cependant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s’appliquer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cas.</w:t>
      </w:r>
    </w:p>
    <w:p w:rsidR="00AE3647" w:rsidRPr="00DE4822" w:rsidRDefault="00AE3647" w:rsidP="001A7A21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2.2</w:t>
      </w:r>
      <w:r w:rsidRPr="00DE4822">
        <w:rPr>
          <w:lang w:val="fr-FR"/>
        </w:rPr>
        <w:tab/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tension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nominale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24</w:t>
      </w:r>
      <w:r w:rsidR="00F70BDB">
        <w:rPr>
          <w:lang w:val="fr-FR"/>
        </w:rPr>
        <w:t> </w:t>
      </w:r>
      <w:r w:rsidRPr="00DE4822">
        <w:rPr>
          <w:lang w:val="fr-FR"/>
        </w:rPr>
        <w:t>V.</w:t>
      </w:r>
    </w:p>
    <w:p w:rsidR="00AE3647" w:rsidRPr="00DE4822" w:rsidRDefault="00AE3647" w:rsidP="001A7A21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2.3</w:t>
      </w:r>
      <w:r w:rsidRPr="00DE4822">
        <w:rPr>
          <w:lang w:val="fr-FR"/>
        </w:rPr>
        <w:tab/>
        <w:t>L’intensité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maximale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disponible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raccord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mentionné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2.5.2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ci</w:t>
      </w:r>
      <w:r w:rsidR="004D15A8">
        <w:rPr>
          <w:lang w:val="fr-FR"/>
        </w:rPr>
        <w:t>-</w:t>
      </w:r>
      <w:r w:rsidRPr="00DE4822">
        <w:rPr>
          <w:lang w:val="fr-FR"/>
        </w:rPr>
        <w:t>dessous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définie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constructeur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tracteur.</w:t>
      </w:r>
    </w:p>
    <w:p w:rsidR="00AE3647" w:rsidRPr="00DE4822" w:rsidRDefault="00AE3647" w:rsidP="001A7A21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2.4</w:t>
      </w:r>
      <w:r w:rsidRPr="00DE4822">
        <w:rPr>
          <w:lang w:val="fr-FR"/>
        </w:rPr>
        <w:tab/>
        <w:t>Protection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</w:t>
      </w:r>
    </w:p>
    <w:p w:rsidR="00AE3647" w:rsidRPr="00DE4822" w:rsidRDefault="00AE3647" w:rsidP="001A7A21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2.4.1</w:t>
      </w:r>
      <w:r w:rsidRPr="00DE4822">
        <w:rPr>
          <w:lang w:val="fr-FR"/>
        </w:rPr>
        <w:tab/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protégé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effets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surcharge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court</w:t>
      </w:r>
      <w:r w:rsidR="004D15A8">
        <w:rPr>
          <w:lang w:val="fr-FR"/>
        </w:rPr>
        <w:t>-</w:t>
      </w:r>
      <w:r w:rsidRPr="00DE4822">
        <w:rPr>
          <w:lang w:val="fr-FR"/>
        </w:rPr>
        <w:t>circuit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l’alimentation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remorque.</w:t>
      </w:r>
    </w:p>
    <w:p w:rsidR="00AE3647" w:rsidRPr="00DE4822" w:rsidRDefault="00AE3647" w:rsidP="001A7A21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2.5</w:t>
      </w:r>
      <w:r w:rsidRPr="00DE4822">
        <w:rPr>
          <w:lang w:val="fr-FR"/>
        </w:rPr>
        <w:tab/>
        <w:t>Câblage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raccords</w:t>
      </w:r>
    </w:p>
    <w:p w:rsidR="00AE3647" w:rsidRPr="00DE4822" w:rsidRDefault="00AE3647" w:rsidP="001A7A21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2.5.1</w:t>
      </w:r>
      <w:r w:rsidRPr="00DE4822">
        <w:rPr>
          <w:lang w:val="fr-FR"/>
        </w:rPr>
        <w:tab/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câbles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utilisés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alimenter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énergie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avoir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compatible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avec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l’intensité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visée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2.3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ci</w:t>
      </w:r>
      <w:r w:rsidR="004D15A8">
        <w:rPr>
          <w:lang w:val="fr-FR"/>
        </w:rPr>
        <w:t>-</w:t>
      </w:r>
      <w:r w:rsidRPr="00DE4822">
        <w:rPr>
          <w:lang w:val="fr-FR"/>
        </w:rPr>
        <w:t>dessus.</w:t>
      </w:r>
    </w:p>
    <w:p w:rsidR="00AE3647" w:rsidRPr="00DE4822" w:rsidRDefault="00AE3647" w:rsidP="001A7A21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2.5.2</w:t>
      </w:r>
      <w:r w:rsidRPr="00DE4822">
        <w:rPr>
          <w:lang w:val="fr-FR"/>
        </w:rPr>
        <w:tab/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attendant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norme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uniforme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définie,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raccord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utilisé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relier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remplir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conditions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suivantes</w:t>
      </w:r>
      <w:r w:rsidR="00EC442C">
        <w:rPr>
          <w:lang w:val="fr-FR"/>
        </w:rPr>
        <w:t> :</w:t>
      </w:r>
    </w:p>
    <w:p w:rsidR="00AE3647" w:rsidRPr="00DE4822" w:rsidRDefault="00AE3647" w:rsidP="00DB7C78">
      <w:pPr>
        <w:pStyle w:val="SingleTxtG"/>
        <w:ind w:left="2835" w:hanging="567"/>
        <w:rPr>
          <w:lang w:val="fr-FR"/>
        </w:rPr>
      </w:pPr>
      <w:r w:rsidRPr="00DE4822">
        <w:rPr>
          <w:lang w:val="fr-FR"/>
        </w:rPr>
        <w:t>a)</w:t>
      </w:r>
      <w:r w:rsidRPr="00DE4822">
        <w:rPr>
          <w:lang w:val="fr-FR"/>
        </w:rPr>
        <w:tab/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broches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avoir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capacité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transport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courant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compatible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avec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l’intensité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maximale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visée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2.3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ci</w:t>
      </w:r>
      <w:r w:rsidR="00F70BDB">
        <w:rPr>
          <w:lang w:val="fr-FR"/>
        </w:rPr>
        <w:noBreakHyphen/>
      </w:r>
      <w:r w:rsidRPr="00DE4822">
        <w:rPr>
          <w:lang w:val="fr-FR"/>
        </w:rPr>
        <w:t>dessus</w:t>
      </w:r>
      <w:r w:rsidR="00EC442C">
        <w:rPr>
          <w:lang w:val="fr-FR"/>
        </w:rPr>
        <w:t> ;</w:t>
      </w:r>
    </w:p>
    <w:p w:rsidR="00AE3647" w:rsidRPr="00DE4822" w:rsidRDefault="00AE3647" w:rsidP="00DB7C78">
      <w:pPr>
        <w:pStyle w:val="SingleTxtG"/>
        <w:ind w:left="2835" w:hanging="567"/>
        <w:rPr>
          <w:lang w:val="fr-FR"/>
        </w:rPr>
      </w:pPr>
      <w:r w:rsidRPr="00DE4822">
        <w:rPr>
          <w:lang w:val="fr-FR"/>
        </w:rPr>
        <w:t>b)</w:t>
      </w:r>
      <w:r w:rsidRPr="00DE4822">
        <w:rPr>
          <w:lang w:val="fr-FR"/>
        </w:rPr>
        <w:tab/>
        <w:t>L’indice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protection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raccord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adapté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l’usage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fait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figurer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l’évaluation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l’annexe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6</w:t>
      </w:r>
      <w:r w:rsidR="00EC442C">
        <w:rPr>
          <w:lang w:val="fr-FR"/>
        </w:rPr>
        <w:t xml:space="preserve"> ; </w:t>
      </w:r>
      <w:r w:rsidRPr="00DE4822">
        <w:rPr>
          <w:lang w:val="fr-FR"/>
        </w:rPr>
        <w:t>et</w:t>
      </w:r>
    </w:p>
    <w:p w:rsidR="00AE3647" w:rsidRPr="00DE4822" w:rsidRDefault="00AE3647" w:rsidP="00DB7C78">
      <w:pPr>
        <w:pStyle w:val="SingleTxtG"/>
        <w:ind w:left="2835" w:hanging="567"/>
        <w:rPr>
          <w:lang w:val="fr-FR"/>
        </w:rPr>
      </w:pPr>
      <w:r w:rsidRPr="00DE4822">
        <w:rPr>
          <w:lang w:val="fr-FR"/>
        </w:rPr>
        <w:t>c)</w:t>
      </w:r>
      <w:r w:rsidRPr="00DE4822">
        <w:rPr>
          <w:lang w:val="fr-FR"/>
        </w:rPr>
        <w:tab/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raccord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interchangeable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avec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raccord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utilisé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(ISO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7638,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ISO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12098,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etc.).</w:t>
      </w:r>
    </w:p>
    <w:p w:rsidR="00AE3647" w:rsidRPr="00DE4822" w:rsidRDefault="00AE3647" w:rsidP="00987FB3">
      <w:pPr>
        <w:pStyle w:val="SingleTxtG"/>
        <w:keepNext/>
        <w:ind w:left="2268" w:hanging="1134"/>
        <w:rPr>
          <w:lang w:val="fr-FR"/>
        </w:rPr>
      </w:pPr>
      <w:r w:rsidRPr="00DE4822">
        <w:rPr>
          <w:lang w:val="fr-FR"/>
        </w:rPr>
        <w:lastRenderedPageBreak/>
        <w:t>2.6</w:t>
      </w:r>
      <w:r w:rsidRPr="00DE4822">
        <w:rPr>
          <w:lang w:val="fr-FR"/>
        </w:rPr>
        <w:tab/>
        <w:t>Marquage</w:t>
      </w:r>
    </w:p>
    <w:p w:rsidR="00AE3647" w:rsidRPr="00DE4822" w:rsidRDefault="00AE3647" w:rsidP="001A7A21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2.6.1</w:t>
      </w:r>
      <w:r w:rsidRPr="00DE4822">
        <w:rPr>
          <w:lang w:val="fr-FR"/>
        </w:rPr>
        <w:tab/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porter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marque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indiquant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l’intensité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maximale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disponible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qu’elle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définie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2.3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ci</w:t>
      </w:r>
      <w:r w:rsidR="00987FB3">
        <w:rPr>
          <w:lang w:val="fr-FR"/>
        </w:rPr>
        <w:noBreakHyphen/>
      </w:r>
      <w:r w:rsidRPr="00DE4822">
        <w:rPr>
          <w:lang w:val="fr-FR"/>
        </w:rPr>
        <w:t>dessus.</w:t>
      </w:r>
    </w:p>
    <w:p w:rsidR="00AE3647" w:rsidRPr="00DE4822" w:rsidRDefault="00AE3647" w:rsidP="00DB7C78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Cette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marque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indélébile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placée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manière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visible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lorsqu’on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raccorde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l’interface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mentionnée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2.5.2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ci</w:t>
      </w:r>
      <w:r w:rsidR="004D15A8">
        <w:rPr>
          <w:lang w:val="fr-FR"/>
        </w:rPr>
        <w:t>-</w:t>
      </w:r>
      <w:r w:rsidRPr="00DE4822">
        <w:rPr>
          <w:lang w:val="fr-FR"/>
        </w:rPr>
        <w:t>dessus.</w:t>
      </w:r>
    </w:p>
    <w:p w:rsidR="00AE3647" w:rsidRPr="00DE4822" w:rsidRDefault="00AE3647" w:rsidP="00480F72">
      <w:pPr>
        <w:pStyle w:val="SingleTxtG"/>
        <w:keepNext/>
        <w:ind w:left="2268" w:hanging="1134"/>
        <w:rPr>
          <w:lang w:val="fr-FR"/>
        </w:rPr>
      </w:pPr>
      <w:r w:rsidRPr="00DE4822">
        <w:rPr>
          <w:lang w:val="fr-FR"/>
        </w:rPr>
        <w:t>3.</w:t>
      </w:r>
      <w:r w:rsidRPr="00DE4822">
        <w:rPr>
          <w:lang w:val="fr-FR"/>
        </w:rPr>
        <w:tab/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remorques</w:t>
      </w:r>
    </w:p>
    <w:p w:rsidR="00AE3647" w:rsidRPr="00DE4822" w:rsidRDefault="00AE3647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3.1</w:t>
      </w:r>
      <w:r w:rsidRPr="00DE4822">
        <w:rPr>
          <w:lang w:val="fr-FR"/>
        </w:rPr>
        <w:tab/>
        <w:t>L’intensité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maximale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absorbée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définie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constructeur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véhicule.</w:t>
      </w:r>
    </w:p>
    <w:p w:rsidR="00AE3647" w:rsidRPr="00DE4822" w:rsidRDefault="00AE3647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3.2</w:t>
      </w:r>
      <w:r w:rsidRPr="00DE4822">
        <w:rPr>
          <w:lang w:val="fr-FR"/>
        </w:rPr>
        <w:tab/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tension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nominale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24</w:t>
      </w:r>
      <w:r w:rsidR="00987FB3">
        <w:rPr>
          <w:lang w:val="fr-FR"/>
        </w:rPr>
        <w:t> </w:t>
      </w:r>
      <w:r w:rsidRPr="00DE4822">
        <w:rPr>
          <w:lang w:val="fr-FR"/>
        </w:rPr>
        <w:t>V.</w:t>
      </w:r>
    </w:p>
    <w:p w:rsidR="00AE3647" w:rsidRPr="00DE4822" w:rsidRDefault="00AE3647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3.3</w:t>
      </w:r>
      <w:r w:rsidRPr="00DE4822">
        <w:rPr>
          <w:lang w:val="fr-FR"/>
        </w:rPr>
        <w:tab/>
        <w:t>L’énergie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transmise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utilisée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suit</w:t>
      </w:r>
      <w:r w:rsidR="00EC442C">
        <w:rPr>
          <w:lang w:val="fr-FR"/>
        </w:rPr>
        <w:t> :</w:t>
      </w:r>
    </w:p>
    <w:p w:rsidR="00AE3647" w:rsidRPr="00DE4822" w:rsidRDefault="00AE3647" w:rsidP="00DB7C78">
      <w:pPr>
        <w:pStyle w:val="SingleTxtG"/>
        <w:ind w:left="2835" w:hanging="567"/>
        <w:rPr>
          <w:lang w:val="fr-FR"/>
        </w:rPr>
      </w:pPr>
      <w:r w:rsidRPr="00DE4822">
        <w:rPr>
          <w:lang w:val="fr-FR"/>
        </w:rPr>
        <w:t>a)</w:t>
      </w:r>
      <w:r w:rsidRPr="00DE4822">
        <w:rPr>
          <w:lang w:val="fr-FR"/>
        </w:rPr>
        <w:tab/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alimenter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exclusivement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</w:t>
      </w:r>
      <w:r w:rsidR="00EC442C">
        <w:rPr>
          <w:lang w:val="fr-FR"/>
        </w:rPr>
        <w:t> ;</w:t>
      </w:r>
    </w:p>
    <w:p w:rsidR="00AE3647" w:rsidRPr="00DE4822" w:rsidRDefault="00AE3647" w:rsidP="00DB7C78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ou</w:t>
      </w:r>
    </w:p>
    <w:p w:rsidR="00AE3647" w:rsidRPr="00DE4822" w:rsidRDefault="00AE3647" w:rsidP="00DB7C78">
      <w:pPr>
        <w:pStyle w:val="SingleTxtG"/>
        <w:ind w:left="2835" w:hanging="567"/>
        <w:rPr>
          <w:lang w:val="fr-FR"/>
        </w:rPr>
      </w:pPr>
      <w:r w:rsidRPr="00DE4822">
        <w:rPr>
          <w:lang w:val="fr-FR"/>
        </w:rPr>
        <w:t>b)</w:t>
      </w:r>
      <w:r w:rsidRPr="00DE4822">
        <w:rPr>
          <w:lang w:val="fr-FR"/>
        </w:rPr>
        <w:tab/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alimenter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auxiliaires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condition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prioritaire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protégé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effets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surcharge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causes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extérieures.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Cette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protection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intégrée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remorque.</w:t>
      </w:r>
    </w:p>
    <w:p w:rsidR="00AE3647" w:rsidRPr="00DE4822" w:rsidRDefault="00AE3647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3.4</w:t>
      </w:r>
      <w:r w:rsidRPr="00DE4822">
        <w:rPr>
          <w:lang w:val="fr-FR"/>
        </w:rPr>
        <w:tab/>
        <w:t>Câblage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raccords</w:t>
      </w:r>
    </w:p>
    <w:p w:rsidR="00AE3647" w:rsidRPr="00DE4822" w:rsidRDefault="00AE3647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3.4.1</w:t>
      </w:r>
      <w:r w:rsidRPr="00DE4822">
        <w:rPr>
          <w:lang w:val="fr-FR"/>
        </w:rPr>
        <w:tab/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câbles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utilisés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alimenter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énergie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avoir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compatible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avec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besoins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énergie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installé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remorque.</w:t>
      </w:r>
    </w:p>
    <w:p w:rsidR="00AE3647" w:rsidRPr="00DE4822" w:rsidRDefault="00AE3647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3.4.2</w:t>
      </w:r>
      <w:r w:rsidRPr="00DE4822">
        <w:rPr>
          <w:lang w:val="fr-FR"/>
        </w:rPr>
        <w:tab/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attendant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norme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uniforme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définie,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raccord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utilisé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relier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remplir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conditions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suivantes</w:t>
      </w:r>
      <w:r w:rsidR="00EC442C">
        <w:rPr>
          <w:lang w:val="fr-FR"/>
        </w:rPr>
        <w:t> :</w:t>
      </w:r>
    </w:p>
    <w:p w:rsidR="00AE3647" w:rsidRPr="00DE4822" w:rsidRDefault="00AE3647" w:rsidP="00DB7C78">
      <w:pPr>
        <w:pStyle w:val="SingleTxtG"/>
        <w:ind w:left="2835" w:hanging="567"/>
        <w:rPr>
          <w:lang w:val="fr-FR"/>
        </w:rPr>
      </w:pPr>
      <w:r w:rsidRPr="00DE4822">
        <w:rPr>
          <w:lang w:val="fr-FR"/>
        </w:rPr>
        <w:t>a)</w:t>
      </w:r>
      <w:r w:rsidRPr="00DE4822">
        <w:rPr>
          <w:lang w:val="fr-FR"/>
        </w:rPr>
        <w:tab/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broches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avoir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capacité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transport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courant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compatible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avec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l’intensité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maximale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définie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3.1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ci</w:t>
      </w:r>
      <w:r w:rsidR="004D15A8">
        <w:rPr>
          <w:lang w:val="fr-FR"/>
        </w:rPr>
        <w:t>-</w:t>
      </w:r>
      <w:r w:rsidRPr="00DE4822">
        <w:rPr>
          <w:lang w:val="fr-FR"/>
        </w:rPr>
        <w:t>dessus</w:t>
      </w:r>
      <w:r w:rsidR="00EC442C">
        <w:rPr>
          <w:lang w:val="fr-FR"/>
        </w:rPr>
        <w:t> ;</w:t>
      </w:r>
    </w:p>
    <w:p w:rsidR="00AE3647" w:rsidRPr="00DE4822" w:rsidRDefault="00AE3647" w:rsidP="00DB7C78">
      <w:pPr>
        <w:pStyle w:val="SingleTxtG"/>
        <w:ind w:left="2835" w:hanging="567"/>
        <w:rPr>
          <w:lang w:val="fr-FR"/>
        </w:rPr>
      </w:pPr>
      <w:r w:rsidRPr="00DE4822">
        <w:rPr>
          <w:lang w:val="fr-FR"/>
        </w:rPr>
        <w:t>b)</w:t>
      </w:r>
      <w:r w:rsidRPr="00DE4822">
        <w:rPr>
          <w:lang w:val="fr-FR"/>
        </w:rPr>
        <w:tab/>
        <w:t>L’indice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protection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raccord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adapté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l’usage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fait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figurer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l’évaluation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définie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l’annexe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6</w:t>
      </w:r>
      <w:r w:rsidR="00EC442C">
        <w:rPr>
          <w:lang w:val="fr-FR"/>
        </w:rPr>
        <w:t> ;</w:t>
      </w:r>
    </w:p>
    <w:p w:rsidR="00AE3647" w:rsidRPr="00DE4822" w:rsidRDefault="00AE3647" w:rsidP="00DB7C78">
      <w:pPr>
        <w:pStyle w:val="SingleTxtG"/>
        <w:ind w:left="2835" w:hanging="567"/>
        <w:rPr>
          <w:lang w:val="fr-FR"/>
        </w:rPr>
      </w:pPr>
      <w:r w:rsidRPr="00DE4822">
        <w:rPr>
          <w:lang w:val="fr-FR"/>
        </w:rPr>
        <w:t>c)</w:t>
      </w:r>
      <w:r w:rsidRPr="00DE4822">
        <w:rPr>
          <w:lang w:val="fr-FR"/>
        </w:rPr>
        <w:tab/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raccord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interchangeable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avec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raccord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utilisé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(ISO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7638,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ISO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12098,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etc.).</w:t>
      </w:r>
    </w:p>
    <w:p w:rsidR="00AE3647" w:rsidRPr="00DE4822" w:rsidRDefault="00AE3647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3.5</w:t>
      </w:r>
      <w:r w:rsidRPr="00DE4822">
        <w:rPr>
          <w:lang w:val="fr-FR"/>
        </w:rPr>
        <w:tab/>
        <w:t>Avertissement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</w:t>
      </w:r>
    </w:p>
    <w:p w:rsidR="00AE3647" w:rsidRPr="00DE4822" w:rsidRDefault="00AE3647" w:rsidP="00DB7C78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transmission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signalées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conducteur.</w:t>
      </w:r>
    </w:p>
    <w:p w:rsidR="00AE3647" w:rsidRPr="00DE4822" w:rsidRDefault="00AE3647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3.6</w:t>
      </w:r>
      <w:r w:rsidRPr="00DE4822">
        <w:rPr>
          <w:lang w:val="fr-FR"/>
        </w:rPr>
        <w:tab/>
        <w:t>Démonstration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</w:p>
    <w:p w:rsidR="00AE3647" w:rsidRPr="00DE4822" w:rsidRDefault="00AE3647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3.6.1</w:t>
      </w:r>
      <w:r w:rsidRPr="00DE4822">
        <w:rPr>
          <w:lang w:val="fr-FR"/>
        </w:rPr>
        <w:tab/>
        <w:t>Lors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type,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constructeur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démontrer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service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technique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conformément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pertinentes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Règlement.</w:t>
      </w:r>
    </w:p>
    <w:p w:rsidR="00AE3647" w:rsidRPr="00DE4822" w:rsidRDefault="00AE3647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3.6.2</w:t>
      </w:r>
      <w:r w:rsidRPr="00DE4822">
        <w:rPr>
          <w:lang w:val="fr-FR"/>
        </w:rPr>
        <w:tab/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</w:t>
      </w:r>
    </w:p>
    <w:p w:rsidR="00AE3647" w:rsidRPr="00DE4822" w:rsidRDefault="00AE3647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3.6.2.1</w:t>
      </w:r>
      <w:r w:rsidRPr="00DE4822">
        <w:rPr>
          <w:lang w:val="fr-FR"/>
        </w:rPr>
        <w:tab/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conditions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stabilisées</w:t>
      </w:r>
    </w:p>
    <w:p w:rsidR="00AE3647" w:rsidRPr="00DE4822" w:rsidRDefault="00AE3647" w:rsidP="00DB7C78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attelée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disposant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alimentation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coupure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l’alimentation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transmission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démontré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satisfait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définies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6.3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intact.</w:t>
      </w:r>
    </w:p>
    <w:p w:rsidR="00AE3647" w:rsidRPr="00DE4822" w:rsidRDefault="00AE3647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lastRenderedPageBreak/>
        <w:t>3.6.2.2</w:t>
      </w:r>
      <w:r w:rsidRPr="00DE4822">
        <w:rPr>
          <w:lang w:val="fr-FR"/>
        </w:rPr>
        <w:tab/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conditions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transitoires</w:t>
      </w:r>
    </w:p>
    <w:p w:rsidR="00AE3647" w:rsidRPr="00DE4822" w:rsidRDefault="00AE3647" w:rsidP="00DB7C78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comportement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transitoire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transmission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évalué,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manière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garantir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stabilité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maintenue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pendant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période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transitoire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faisant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suite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défaillance,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moyen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essais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suivants</w:t>
      </w:r>
      <w:r w:rsidR="00EC442C">
        <w:rPr>
          <w:lang w:val="fr-FR"/>
        </w:rPr>
        <w:t> :</w:t>
      </w:r>
    </w:p>
    <w:p w:rsidR="00AE3647" w:rsidRPr="00DE4822" w:rsidRDefault="00AE3647" w:rsidP="00DB7C78">
      <w:pPr>
        <w:pStyle w:val="SingleTxtG"/>
        <w:ind w:left="2835" w:hanging="567"/>
        <w:rPr>
          <w:lang w:val="fr-FR"/>
        </w:rPr>
      </w:pPr>
      <w:r w:rsidRPr="00DE4822">
        <w:rPr>
          <w:lang w:val="fr-FR"/>
        </w:rPr>
        <w:t>a)</w:t>
      </w:r>
      <w:r w:rsidRPr="00DE4822">
        <w:rPr>
          <w:lang w:val="fr-FR"/>
        </w:rPr>
        <w:tab/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appliquant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procédure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d’essai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définies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6.3.1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</w:t>
      </w:r>
      <w:r w:rsidRPr="00DE4822">
        <w:rPr>
          <w:rStyle w:val="FootnoteReference"/>
        </w:rPr>
        <w:footnoteReference w:id="10"/>
      </w:r>
      <w:r w:rsidR="00EC442C">
        <w:rPr>
          <w:lang w:val="fr-FR"/>
        </w:rPr>
        <w:t xml:space="preserve"> ; </w:t>
      </w:r>
    </w:p>
    <w:p w:rsidR="00AE3647" w:rsidRPr="00DE4822" w:rsidRDefault="00AE3647" w:rsidP="00DB7C78">
      <w:pPr>
        <w:pStyle w:val="SingleTxtG"/>
        <w:ind w:left="2835" w:hanging="567"/>
        <w:rPr>
          <w:lang w:val="fr-FR"/>
        </w:rPr>
      </w:pPr>
      <w:r w:rsidRPr="00DE4822">
        <w:rPr>
          <w:lang w:val="fr-FR"/>
        </w:rPr>
        <w:t>b)</w:t>
      </w:r>
      <w:r w:rsidRPr="00DE4822">
        <w:rPr>
          <w:lang w:val="fr-FR"/>
        </w:rPr>
        <w:tab/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appliquant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procédure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d’essai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définies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6.3.3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</w:t>
      </w:r>
      <w:r w:rsidRPr="00A50921">
        <w:rPr>
          <w:sz w:val="18"/>
          <w:szCs w:val="18"/>
          <w:vertAlign w:val="superscript"/>
          <w:lang w:val="fr-FR"/>
        </w:rPr>
        <w:t>1</w:t>
      </w:r>
      <w:r w:rsidRPr="00DE4822">
        <w:rPr>
          <w:lang w:val="fr-FR"/>
        </w:rPr>
        <w:t>.</w:t>
      </w:r>
    </w:p>
    <w:p w:rsidR="00AE3647" w:rsidRPr="00DE4822" w:rsidRDefault="00AE3647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3.6.3</w:t>
      </w:r>
      <w:r w:rsidRPr="00DE4822">
        <w:rPr>
          <w:lang w:val="fr-FR"/>
        </w:rPr>
        <w:tab/>
        <w:t>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utilise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transmission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hydraulique,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l’annexe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s’appliquent.</w:t>
      </w:r>
    </w:p>
    <w:p w:rsidR="00AE3647" w:rsidRPr="00DE4822" w:rsidRDefault="00AE3647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3.7</w:t>
      </w:r>
      <w:r w:rsidRPr="00DE4822">
        <w:rPr>
          <w:lang w:val="fr-FR"/>
        </w:rPr>
        <w:tab/>
        <w:t>Marquage</w:t>
      </w:r>
    </w:p>
    <w:p w:rsidR="00AE3647" w:rsidRPr="00DE4822" w:rsidRDefault="00AE3647" w:rsidP="00DB7C78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3.8.1</w:t>
      </w:r>
      <w:r w:rsidRPr="00DE4822">
        <w:rPr>
          <w:lang w:val="fr-FR"/>
        </w:rPr>
        <w:tab/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remorques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équipées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raccord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destiné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alimenter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énergie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porter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marque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indiquant</w:t>
      </w:r>
      <w:r w:rsidR="00EC442C">
        <w:rPr>
          <w:lang w:val="fr-FR"/>
        </w:rPr>
        <w:t> :</w:t>
      </w:r>
    </w:p>
    <w:p w:rsidR="00AE3647" w:rsidRPr="00DE4822" w:rsidRDefault="00AE3647" w:rsidP="00DB7C78">
      <w:pPr>
        <w:pStyle w:val="SingleTxtG"/>
        <w:ind w:left="2835" w:hanging="567"/>
        <w:rPr>
          <w:lang w:val="fr-FR"/>
        </w:rPr>
      </w:pPr>
      <w:r w:rsidRPr="00DE4822">
        <w:rPr>
          <w:lang w:val="fr-FR"/>
        </w:rPr>
        <w:t>a)</w:t>
      </w:r>
      <w:r w:rsidRPr="00DE4822">
        <w:rPr>
          <w:lang w:val="fr-FR"/>
        </w:rPr>
        <w:tab/>
        <w:t>L’intensité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maximale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qu’elle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définie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3.1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ci</w:t>
      </w:r>
      <w:r w:rsidR="004D15A8">
        <w:rPr>
          <w:lang w:val="fr-FR"/>
        </w:rPr>
        <w:t>-</w:t>
      </w:r>
      <w:r w:rsidRPr="00DE4822">
        <w:rPr>
          <w:lang w:val="fr-FR"/>
        </w:rPr>
        <w:t>dessus</w:t>
      </w:r>
      <w:r w:rsidR="00EC442C">
        <w:rPr>
          <w:lang w:val="fr-FR"/>
        </w:rPr>
        <w:t> ;</w:t>
      </w:r>
    </w:p>
    <w:p w:rsidR="00AE3647" w:rsidRPr="00DE4822" w:rsidRDefault="00AE3647" w:rsidP="00DB7C78">
      <w:pPr>
        <w:pStyle w:val="SingleTxtG"/>
        <w:ind w:left="2835" w:hanging="567"/>
        <w:rPr>
          <w:lang w:val="fr-FR"/>
        </w:rPr>
      </w:pPr>
      <w:r w:rsidRPr="00DE4822">
        <w:rPr>
          <w:lang w:val="fr-FR"/>
        </w:rPr>
        <w:t>b)</w:t>
      </w:r>
      <w:r w:rsidRPr="00DE4822">
        <w:rPr>
          <w:lang w:val="fr-FR"/>
        </w:rPr>
        <w:tab/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notamment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incidence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manœuvrabilité,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lorsque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raccord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connecté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lorsqu’il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déconnecté.</w:t>
      </w:r>
    </w:p>
    <w:p w:rsidR="00AE3647" w:rsidRPr="00DE4822" w:rsidRDefault="00AE3647" w:rsidP="00DB7C78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Cette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marque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indélébile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positionnée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manière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visible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lorsqu’on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raccorde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l’interface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électrique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évoquée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3.3.2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ci</w:t>
      </w:r>
      <w:r w:rsidR="000433AF">
        <w:rPr>
          <w:lang w:val="fr-FR"/>
        </w:rPr>
        <w:noBreakHyphen/>
      </w:r>
      <w:r w:rsidRPr="00DE4822">
        <w:rPr>
          <w:lang w:val="fr-FR"/>
        </w:rPr>
        <w:t>dessus.</w:t>
      </w:r>
    </w:p>
    <w:p w:rsidR="00DB7C78" w:rsidRPr="00DE4822" w:rsidRDefault="00DB7C78" w:rsidP="00DB7C78">
      <w:pPr>
        <w:pStyle w:val="SingleTxtG"/>
        <w:ind w:left="2268"/>
        <w:rPr>
          <w:lang w:val="fr-FR"/>
        </w:rPr>
      </w:pPr>
    </w:p>
    <w:p w:rsidR="00BF5B7D" w:rsidRPr="00DE4822" w:rsidRDefault="00BF5B7D" w:rsidP="00AE3647">
      <w:pPr>
        <w:sectPr w:rsidR="00BF5B7D" w:rsidRPr="00DE4822" w:rsidSect="00AE3647">
          <w:headerReference w:type="even" r:id="rId41"/>
          <w:headerReference w:type="default" r:id="rId42"/>
          <w:footerReference w:type="even" r:id="rId43"/>
          <w:footerReference w:type="default" r:id="rId44"/>
          <w:footnotePr>
            <w:numRestart w:val="eachSect"/>
          </w:footnotePr>
          <w:endnotePr>
            <w:numFmt w:val="decimal"/>
          </w:endnotePr>
          <w:pgSz w:w="11907" w:h="16840" w:code="9"/>
          <w:pgMar w:top="1417" w:right="1134" w:bottom="1134" w:left="1134" w:header="680" w:footer="567" w:gutter="0"/>
          <w:cols w:space="720"/>
          <w:docGrid w:linePitch="272"/>
        </w:sectPr>
      </w:pPr>
    </w:p>
    <w:p w:rsidR="00A91344" w:rsidRPr="00DE4822" w:rsidRDefault="00A91344" w:rsidP="000433AF">
      <w:pPr>
        <w:pStyle w:val="HChG"/>
        <w:rPr>
          <w:lang w:val="fr-FR"/>
        </w:rPr>
      </w:pPr>
      <w:r w:rsidRPr="00DE4822">
        <w:rPr>
          <w:lang w:val="fr-FR"/>
        </w:rPr>
        <w:lastRenderedPageBreak/>
        <w:t>Annexe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8</w:t>
      </w:r>
    </w:p>
    <w:p w:rsidR="00A91344" w:rsidRPr="00DE4822" w:rsidRDefault="000433AF" w:rsidP="000433AF">
      <w:pPr>
        <w:pStyle w:val="HChG"/>
        <w:rPr>
          <w:lang w:val="fr-FR"/>
        </w:rPr>
      </w:pPr>
      <w:r>
        <w:rPr>
          <w:lang w:val="fr-FR"/>
        </w:rPr>
        <w:tab/>
      </w:r>
      <w:r w:rsidR="00E33761" w:rsidRPr="00DE4822">
        <w:rPr>
          <w:lang w:val="fr-FR"/>
        </w:rPr>
        <w:tab/>
      </w:r>
      <w:r w:rsidR="00A91344"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="00A91344" w:rsidRPr="00DE4822">
        <w:rPr>
          <w:lang w:val="fr-FR"/>
        </w:rPr>
        <w:t>d’essai</w:t>
      </w:r>
      <w:r w:rsidR="00EC442C">
        <w:rPr>
          <w:lang w:val="fr-FR"/>
        </w:rPr>
        <w:t xml:space="preserve"> </w:t>
      </w:r>
      <w:r w:rsidR="00A91344" w:rsidRPr="00DE4822">
        <w:rPr>
          <w:lang w:val="fr-FR"/>
        </w:rPr>
        <w:t>relatives</w:t>
      </w:r>
      <w:r w:rsidR="00EC442C">
        <w:rPr>
          <w:lang w:val="fr-FR"/>
        </w:rPr>
        <w:t xml:space="preserve"> </w:t>
      </w:r>
      <w:r w:rsidR="00A91344"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="00A91344" w:rsidRPr="00DE4822">
        <w:rPr>
          <w:lang w:val="fr-FR"/>
        </w:rPr>
        <w:t>fonctions</w:t>
      </w:r>
      <w:r w:rsidR="00EC442C">
        <w:rPr>
          <w:lang w:val="fr-FR"/>
        </w:rPr>
        <w:t xml:space="preserve"> </w:t>
      </w:r>
      <w:r w:rsidR="00A91344"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="00A91344"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="00A91344" w:rsidRPr="00DE4822">
        <w:rPr>
          <w:lang w:val="fr-FR"/>
        </w:rPr>
        <w:t>corrective</w:t>
      </w:r>
      <w:r w:rsidR="00EC442C">
        <w:rPr>
          <w:lang w:val="fr-FR"/>
        </w:rPr>
        <w:t xml:space="preserve"> </w:t>
      </w:r>
      <w:r w:rsidR="00A91344"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="00A91344"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="00A91344"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="00A91344"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="00A91344"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="00A91344" w:rsidRPr="00DE4822">
        <w:rPr>
          <w:lang w:val="fr-FR"/>
        </w:rPr>
        <w:t>automatique</w:t>
      </w:r>
    </w:p>
    <w:p w:rsidR="00A91344" w:rsidRPr="00DE4822" w:rsidRDefault="00A91344" w:rsidP="007A68CE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1.</w:t>
      </w:r>
      <w:r w:rsidRPr="00DE4822">
        <w:rPr>
          <w:lang w:val="fr-FR"/>
        </w:rPr>
        <w:tab/>
        <w:t>Dispositions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générales</w:t>
      </w:r>
      <w:r w:rsidR="00EC442C">
        <w:rPr>
          <w:lang w:val="fr-FR"/>
        </w:rPr>
        <w:t xml:space="preserve"> </w:t>
      </w:r>
    </w:p>
    <w:p w:rsidR="00A91344" w:rsidRPr="00DE4822" w:rsidRDefault="00A91344" w:rsidP="007A68C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équipés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CSF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et/ou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ACSF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satisfaire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d’essai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appropriées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annexe.</w:t>
      </w:r>
    </w:p>
    <w:p w:rsidR="00A91344" w:rsidRPr="00DE4822" w:rsidRDefault="00AA28FF" w:rsidP="007A68CE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</w:t>
      </w:r>
      <w:r w:rsidR="00A91344" w:rsidRPr="00DE4822">
        <w:rPr>
          <w:lang w:val="fr-FR"/>
        </w:rPr>
        <w:t>.</w:t>
      </w:r>
      <w:r w:rsidR="00A91344" w:rsidRPr="00DE4822">
        <w:rPr>
          <w:lang w:val="fr-FR"/>
        </w:rPr>
        <w:tab/>
        <w:t>Conditions</w:t>
      </w:r>
      <w:r w:rsidR="00EC442C">
        <w:rPr>
          <w:lang w:val="fr-FR"/>
        </w:rPr>
        <w:t xml:space="preserve"> </w:t>
      </w:r>
      <w:r w:rsidR="00A91344" w:rsidRPr="00DE4822">
        <w:rPr>
          <w:lang w:val="fr-FR"/>
        </w:rPr>
        <w:t>d’essai</w:t>
      </w:r>
    </w:p>
    <w:p w:rsidR="00A91344" w:rsidRPr="00DE4822" w:rsidRDefault="00A91344" w:rsidP="007A68C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essais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dérouler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chaussée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plane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sèche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bitume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béton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offrant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bonne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adhérence.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température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ambiante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comprise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0</w:t>
      </w:r>
      <w:r w:rsidR="000433AF">
        <w:rPr>
          <w:lang w:val="fr-FR"/>
        </w:rPr>
        <w:t> </w:t>
      </w:r>
      <w:r w:rsidRPr="00DE4822">
        <w:rPr>
          <w:lang w:val="fr-FR"/>
        </w:rPr>
        <w:t>°C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45</w:t>
      </w:r>
      <w:r w:rsidR="000433AF">
        <w:rPr>
          <w:lang w:val="fr-FR"/>
        </w:rPr>
        <w:t> </w:t>
      </w:r>
      <w:r w:rsidRPr="00DE4822">
        <w:rPr>
          <w:lang w:val="fr-FR"/>
        </w:rPr>
        <w:t>°C.</w:t>
      </w:r>
    </w:p>
    <w:p w:rsidR="00A91344" w:rsidRPr="00DE4822" w:rsidRDefault="00A91344" w:rsidP="007A68CE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2.1</w:t>
      </w:r>
      <w:r w:rsidRPr="00DE4822">
        <w:rPr>
          <w:lang w:val="fr-FR"/>
        </w:rPr>
        <w:tab/>
        <w:t>Marques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routières</w:t>
      </w:r>
    </w:p>
    <w:p w:rsidR="00A91344" w:rsidRPr="00DE4822" w:rsidRDefault="00A91344" w:rsidP="007A68C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marques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routières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chaussée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utilisée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essais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conformes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l’annexe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3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ONU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</w:t>
      </w:r>
      <w:r w:rsidRPr="00DE4822">
        <w:rPr>
          <w:vertAlign w:val="superscript"/>
          <w:lang w:val="fr-FR"/>
        </w:rPr>
        <w:t>o</w:t>
      </w:r>
      <w:r w:rsidR="000433AF">
        <w:rPr>
          <w:lang w:val="fr-FR"/>
        </w:rPr>
        <w:t> </w:t>
      </w:r>
      <w:r w:rsidRPr="00DE4822">
        <w:rPr>
          <w:lang w:val="fr-FR"/>
        </w:rPr>
        <w:t>130.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marques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état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matériau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conformant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norme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relative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marquage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visible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voies.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configuration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marques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utilisées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essais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consignée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procès</w:t>
      </w:r>
      <w:r w:rsidR="004D15A8">
        <w:rPr>
          <w:lang w:val="fr-FR"/>
        </w:rPr>
        <w:t>-</w:t>
      </w:r>
      <w:r w:rsidRPr="00DE4822">
        <w:rPr>
          <w:lang w:val="fr-FR"/>
        </w:rPr>
        <w:t>verbal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d’essai.</w:t>
      </w:r>
    </w:p>
    <w:p w:rsidR="00A91344" w:rsidRPr="00DE4822" w:rsidRDefault="00A91344" w:rsidP="007A68C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besoins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essais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annexe,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largeur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voie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minimum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3,5</w:t>
      </w:r>
      <w:r w:rsidR="000433AF">
        <w:rPr>
          <w:lang w:val="fr-FR"/>
        </w:rPr>
        <w:t> </w:t>
      </w:r>
      <w:r w:rsidRPr="00DE4822">
        <w:rPr>
          <w:lang w:val="fr-FR"/>
        </w:rPr>
        <w:t>m.</w:t>
      </w:r>
    </w:p>
    <w:p w:rsidR="00A91344" w:rsidRPr="00DE4822" w:rsidRDefault="00A91344" w:rsidP="007A68C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essais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exécutés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conditions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visibilité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assurent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conduite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sûre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d’essai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requise.</w:t>
      </w:r>
    </w:p>
    <w:p w:rsidR="00A91344" w:rsidRPr="00DE4822" w:rsidRDefault="00A91344" w:rsidP="007A68C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constructeur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démontrer,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documentation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l’appui,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conformité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avec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autres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marques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routières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figurent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l’annexe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3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ONU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</w:t>
      </w:r>
      <w:r w:rsidRPr="00DE4822">
        <w:rPr>
          <w:vertAlign w:val="superscript"/>
          <w:lang w:val="fr-FR"/>
        </w:rPr>
        <w:t>o</w:t>
      </w:r>
      <w:r w:rsidR="000433AF">
        <w:rPr>
          <w:lang w:val="fr-FR"/>
        </w:rPr>
        <w:t> </w:t>
      </w:r>
      <w:r w:rsidRPr="00DE4822">
        <w:rPr>
          <w:lang w:val="fr-FR"/>
        </w:rPr>
        <w:t>130.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documents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utilisés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effet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joints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procès</w:t>
      </w:r>
      <w:r w:rsidR="004D15A8">
        <w:rPr>
          <w:lang w:val="fr-FR"/>
        </w:rPr>
        <w:t>-</w:t>
      </w:r>
      <w:r w:rsidRPr="00DE4822">
        <w:rPr>
          <w:lang w:val="fr-FR"/>
        </w:rPr>
        <w:t>verbal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d’essai.</w:t>
      </w:r>
    </w:p>
    <w:p w:rsidR="00A91344" w:rsidRPr="00DE4822" w:rsidRDefault="00A91344" w:rsidP="007A68CE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2.2</w:t>
      </w:r>
      <w:r w:rsidRPr="00DE4822">
        <w:rPr>
          <w:lang w:val="fr-FR"/>
        </w:rPr>
        <w:tab/>
        <w:t>Tolérances</w:t>
      </w:r>
    </w:p>
    <w:p w:rsidR="00A91344" w:rsidRPr="00DE4822" w:rsidRDefault="00A91344" w:rsidP="007A68C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Toutes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spécifiées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essais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décrits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annexe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respectées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avec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tolérance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="0098585B">
        <w:rPr>
          <w:lang w:val="fr-FR"/>
        </w:rPr>
        <w:sym w:font="Symbol" w:char="F0B1"/>
      </w:r>
      <w:r w:rsidRPr="00DE4822">
        <w:rPr>
          <w:lang w:val="fr-FR"/>
        </w:rPr>
        <w:t>2</w:t>
      </w:r>
      <w:r w:rsidR="0098585B">
        <w:rPr>
          <w:lang w:val="fr-FR"/>
        </w:rPr>
        <w:t> </w:t>
      </w:r>
      <w:r w:rsidRPr="00DE4822">
        <w:rPr>
          <w:lang w:val="fr-FR"/>
        </w:rPr>
        <w:t>km/h.</w:t>
      </w:r>
    </w:p>
    <w:p w:rsidR="00A91344" w:rsidRPr="00DE4822" w:rsidRDefault="00A91344" w:rsidP="007A68CE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2.3</w:t>
      </w:r>
      <w:r w:rsidRPr="00DE4822">
        <w:rPr>
          <w:lang w:val="fr-FR"/>
        </w:rPr>
        <w:tab/>
        <w:t>État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</w:p>
    <w:p w:rsidR="00A91344" w:rsidRPr="00DE4822" w:rsidRDefault="00A91344" w:rsidP="007A68CE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2.3.1</w:t>
      </w:r>
      <w:r w:rsidRPr="00DE4822">
        <w:rPr>
          <w:lang w:val="fr-FR"/>
        </w:rPr>
        <w:tab/>
        <w:t>Masse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d’essai</w:t>
      </w:r>
      <w:r w:rsidR="00EC442C">
        <w:rPr>
          <w:lang w:val="fr-FR"/>
        </w:rPr>
        <w:t xml:space="preserve"> </w:t>
      </w:r>
    </w:p>
    <w:p w:rsidR="00A91344" w:rsidRPr="00DE4822" w:rsidRDefault="00A91344" w:rsidP="007A68C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soumis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essai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état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charge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convenu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constructeur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service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technique.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Aucune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modification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apportée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charge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après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l’essai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commencé.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constructeur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démontrer,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documentation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l’appui,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états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charge.</w:t>
      </w:r>
    </w:p>
    <w:p w:rsidR="00A91344" w:rsidRPr="00DE4822" w:rsidRDefault="00A91344" w:rsidP="007A68CE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2.3.2</w:t>
      </w:r>
      <w:r w:rsidRPr="00DE4822">
        <w:rPr>
          <w:lang w:val="fr-FR"/>
        </w:rPr>
        <w:tab/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soumis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l’essai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avec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pressions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pneumatiques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recommandées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constructeur.</w:t>
      </w:r>
    </w:p>
    <w:p w:rsidR="00A91344" w:rsidRPr="00DE4822" w:rsidRDefault="00A91344" w:rsidP="007A68CE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2.4</w:t>
      </w:r>
      <w:r w:rsidRPr="00DE4822">
        <w:rPr>
          <w:lang w:val="fr-FR"/>
        </w:rPr>
        <w:tab/>
        <w:t>Accélération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latérale</w:t>
      </w:r>
    </w:p>
    <w:p w:rsidR="00A91344" w:rsidRPr="00DE4822" w:rsidRDefault="00A91344" w:rsidP="007A68C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L’emplacement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correspondant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centre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gravité,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où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l’accélération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latérale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sera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mesurée,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déterminé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accord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constructeur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service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technique.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emplacement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précisé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procès</w:t>
      </w:r>
      <w:r w:rsidR="004D15A8">
        <w:rPr>
          <w:lang w:val="fr-FR"/>
        </w:rPr>
        <w:t>-</w:t>
      </w:r>
      <w:r w:rsidRPr="00DE4822">
        <w:rPr>
          <w:lang w:val="fr-FR"/>
        </w:rPr>
        <w:t>verbal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d’essai.</w:t>
      </w:r>
    </w:p>
    <w:p w:rsidR="00A91344" w:rsidRPr="00DE4822" w:rsidRDefault="00A91344" w:rsidP="007A68C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L’accélération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latérale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mesurée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prendre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effets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additionnels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mouvements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carrosserie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exemple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roulis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suspendue).</w:t>
      </w:r>
    </w:p>
    <w:p w:rsidR="00A91344" w:rsidRPr="00DE4822" w:rsidRDefault="00A91344" w:rsidP="00776521">
      <w:pPr>
        <w:pStyle w:val="SingleTxtG"/>
        <w:keepNext/>
        <w:ind w:left="2268" w:hanging="1134"/>
        <w:rPr>
          <w:lang w:val="fr-FR"/>
        </w:rPr>
      </w:pPr>
      <w:r w:rsidRPr="00DE4822">
        <w:rPr>
          <w:lang w:val="fr-FR"/>
        </w:rPr>
        <w:lastRenderedPageBreak/>
        <w:t>3.</w:t>
      </w:r>
      <w:r w:rsidRPr="00DE4822">
        <w:rPr>
          <w:lang w:val="fr-FR"/>
        </w:rPr>
        <w:tab/>
        <w:t>Procédures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d’essai</w:t>
      </w:r>
      <w:r w:rsidR="00EC442C">
        <w:rPr>
          <w:lang w:val="fr-FR"/>
        </w:rPr>
        <w:t xml:space="preserve"> </w:t>
      </w:r>
    </w:p>
    <w:p w:rsidR="00A91344" w:rsidRPr="00DE4822" w:rsidRDefault="00A91344" w:rsidP="007A68CE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3.1</w:t>
      </w:r>
      <w:r w:rsidRPr="00DE4822">
        <w:rPr>
          <w:lang w:val="fr-FR"/>
        </w:rPr>
        <w:tab/>
        <w:t>Essais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relatifs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CSF</w:t>
      </w:r>
    </w:p>
    <w:p w:rsidR="00A91344" w:rsidRPr="00DE4822" w:rsidRDefault="00A91344" w:rsidP="007A68C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L’essai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ci</w:t>
      </w:r>
      <w:r w:rsidR="004D15A8">
        <w:rPr>
          <w:lang w:val="fr-FR"/>
        </w:rPr>
        <w:t>-</w:t>
      </w:r>
      <w:r w:rsidRPr="00DE4822">
        <w:rPr>
          <w:lang w:val="fr-FR"/>
        </w:rPr>
        <w:t>après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s’applique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tâches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décrites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l’alinéa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c)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définition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CSF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donnée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2.3.4.2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Règlement.</w:t>
      </w:r>
    </w:p>
    <w:p w:rsidR="00A91344" w:rsidRPr="00DE4822" w:rsidRDefault="00A91344" w:rsidP="007A68CE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3.1.1</w:t>
      </w:r>
      <w:r w:rsidRPr="00DE4822">
        <w:rPr>
          <w:lang w:val="fr-FR"/>
        </w:rPr>
        <w:tab/>
        <w:t>Essai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d’avertissement</w:t>
      </w:r>
      <w:r w:rsidR="00EC442C">
        <w:rPr>
          <w:lang w:val="fr-FR"/>
        </w:rPr>
        <w:t xml:space="preserve"> </w:t>
      </w:r>
    </w:p>
    <w:p w:rsidR="00A91344" w:rsidRPr="00DE4822" w:rsidRDefault="00A91344" w:rsidP="007A68CE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3.1.1.1</w:t>
      </w:r>
      <w:r w:rsidRPr="00DE4822">
        <w:rPr>
          <w:lang w:val="fr-FR"/>
        </w:rPr>
        <w:tab/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avec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CSF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activé,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voie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bordée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d’autre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marques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routières.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CSF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n’intervenant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lorsqu’elle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détecte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situe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limites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voie,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chaussée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limites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correspondent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celles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décrit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déclaration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fabricant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exemple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bords).</w:t>
      </w:r>
      <w:r w:rsidR="00EC442C">
        <w:rPr>
          <w:lang w:val="fr-FR"/>
        </w:rPr>
        <w:t xml:space="preserve"> </w:t>
      </w:r>
    </w:p>
    <w:p w:rsidR="00A91344" w:rsidRPr="00DE4822" w:rsidRDefault="00A91344" w:rsidP="007A68C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conditions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d’essai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d’essai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situer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système.</w:t>
      </w:r>
    </w:p>
    <w:p w:rsidR="00A91344" w:rsidRPr="00DE4822" w:rsidRDefault="00A91344" w:rsidP="007A68C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Pendant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l’essai,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durée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interventions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CSF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alarmes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visuelles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sonores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enregistrées.</w:t>
      </w:r>
    </w:p>
    <w:p w:rsidR="00A91344" w:rsidRPr="00DE4822" w:rsidRDefault="00A91344" w:rsidP="007A68C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décrit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5.1.6.1.2.1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façon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qu’il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tente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quitter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voie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déclenche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intervention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CSF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durée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supérieure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10</w:t>
      </w:r>
      <w:r w:rsidR="00776521">
        <w:rPr>
          <w:lang w:val="fr-FR"/>
        </w:rPr>
        <w:t> </w:t>
      </w:r>
      <w:r w:rsidRPr="00DE4822">
        <w:rPr>
          <w:lang w:val="fr-FR"/>
        </w:rPr>
        <w:t>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catégories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</w:t>
      </w:r>
      <w:r w:rsidRPr="00DE4822">
        <w:rPr>
          <w:vertAlign w:val="subscript"/>
          <w:lang w:val="fr-FR"/>
        </w:rPr>
        <w:t>1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</w:t>
      </w:r>
      <w:r w:rsidRPr="00DE4822">
        <w:rPr>
          <w:vertAlign w:val="subscript"/>
          <w:lang w:val="fr-FR"/>
        </w:rPr>
        <w:t>1</w:t>
      </w:r>
      <w:r w:rsidRPr="00DE4822">
        <w:rPr>
          <w:lang w:val="fr-FR"/>
        </w:rPr>
        <w:t>)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30</w:t>
      </w:r>
      <w:r w:rsidR="00776521">
        <w:rPr>
          <w:lang w:val="fr-FR"/>
        </w:rPr>
        <w:t> </w:t>
      </w:r>
      <w:r w:rsidRPr="00DE4822">
        <w:rPr>
          <w:lang w:val="fr-FR"/>
        </w:rPr>
        <w:t>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catégories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</w:t>
      </w:r>
      <w:r w:rsidRPr="00DE4822">
        <w:rPr>
          <w:vertAlign w:val="subscript"/>
          <w:lang w:val="fr-FR"/>
        </w:rPr>
        <w:t>2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</w:t>
      </w:r>
      <w:r w:rsidRPr="00DE4822">
        <w:rPr>
          <w:vertAlign w:val="subscript"/>
          <w:lang w:val="fr-FR"/>
        </w:rPr>
        <w:t>3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</w:t>
      </w:r>
      <w:r w:rsidRPr="00DE4822">
        <w:rPr>
          <w:vertAlign w:val="subscript"/>
          <w:lang w:val="fr-FR"/>
        </w:rPr>
        <w:t>2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</w:t>
      </w:r>
      <w:r w:rsidRPr="00DE4822">
        <w:rPr>
          <w:vertAlign w:val="subscript"/>
          <w:lang w:val="fr-FR"/>
        </w:rPr>
        <w:t>3</w:t>
      </w:r>
      <w:r w:rsidRPr="00DE4822">
        <w:rPr>
          <w:lang w:val="fr-FR"/>
        </w:rPr>
        <w:t>).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essai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effectué,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exemple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raison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limitations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inhérentes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infrastructures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d’essai,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preuve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cette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satisfaite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apportée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documentation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fournie,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avec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l’accord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l’autorité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d’homologation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type.</w:t>
      </w:r>
    </w:p>
    <w:p w:rsidR="00A91344" w:rsidRPr="00DE4822" w:rsidRDefault="00A91344" w:rsidP="007A68C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L’essai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satisfaisant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l’alarme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sonore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retentit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tard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10</w:t>
      </w:r>
      <w:r w:rsidR="00776521">
        <w:rPr>
          <w:lang w:val="fr-FR"/>
        </w:rPr>
        <w:t> </w:t>
      </w:r>
      <w:r w:rsidRPr="00DE4822">
        <w:rPr>
          <w:lang w:val="fr-FR"/>
        </w:rPr>
        <w:t>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catégories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</w:t>
      </w:r>
      <w:r w:rsidRPr="00DE4822">
        <w:rPr>
          <w:vertAlign w:val="subscript"/>
          <w:lang w:val="fr-FR"/>
        </w:rPr>
        <w:t>1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</w:t>
      </w:r>
      <w:r w:rsidRPr="00DE4822">
        <w:rPr>
          <w:vertAlign w:val="subscript"/>
          <w:lang w:val="fr-FR"/>
        </w:rPr>
        <w:t>1</w:t>
      </w:r>
      <w:r w:rsidRPr="00DE4822">
        <w:rPr>
          <w:lang w:val="fr-FR"/>
        </w:rPr>
        <w:t>)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30</w:t>
      </w:r>
      <w:r w:rsidR="00776521">
        <w:rPr>
          <w:lang w:val="fr-FR"/>
        </w:rPr>
        <w:t> </w:t>
      </w:r>
      <w:r w:rsidRPr="00DE4822">
        <w:rPr>
          <w:lang w:val="fr-FR"/>
        </w:rPr>
        <w:t>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catégories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</w:t>
      </w:r>
      <w:r w:rsidRPr="00DE4822">
        <w:rPr>
          <w:vertAlign w:val="subscript"/>
          <w:lang w:val="fr-FR"/>
        </w:rPr>
        <w:t>2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</w:t>
      </w:r>
      <w:r w:rsidRPr="00DE4822">
        <w:rPr>
          <w:vertAlign w:val="subscript"/>
          <w:lang w:val="fr-FR"/>
        </w:rPr>
        <w:t>3</w:t>
      </w:r>
      <w:r w:rsidRPr="00DE4822">
        <w:rPr>
          <w:lang w:val="fr-FR"/>
        </w:rPr>
        <w:t>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</w:t>
      </w:r>
      <w:r w:rsidRPr="00DE4822">
        <w:rPr>
          <w:vertAlign w:val="subscript"/>
          <w:lang w:val="fr-FR"/>
        </w:rPr>
        <w:t>2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</w:t>
      </w:r>
      <w:r w:rsidRPr="00DE4822">
        <w:rPr>
          <w:vertAlign w:val="subscript"/>
          <w:lang w:val="fr-FR"/>
        </w:rPr>
        <w:t>3</w:t>
      </w:r>
      <w:r w:rsidRPr="00DE4822">
        <w:rPr>
          <w:lang w:val="fr-FR"/>
        </w:rPr>
        <w:t>)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après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début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l’intervention.</w:t>
      </w:r>
    </w:p>
    <w:p w:rsidR="00A91344" w:rsidRPr="00DE4822" w:rsidRDefault="00A91344" w:rsidP="007A68C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décrit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5.1.6.1.2.2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façon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qu’il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tente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quitter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voie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entraîne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moins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trois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interventions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intervalle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glissant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180</w:t>
      </w:r>
      <w:r w:rsidR="00CE5E2D">
        <w:rPr>
          <w:lang w:val="fr-FR"/>
        </w:rPr>
        <w:t> </w:t>
      </w:r>
      <w:r w:rsidRPr="00DE4822">
        <w:rPr>
          <w:lang w:val="fr-FR"/>
        </w:rPr>
        <w:t>s.</w:t>
      </w:r>
    </w:p>
    <w:p w:rsidR="00A91344" w:rsidRPr="00DE4822" w:rsidRDefault="00A91344" w:rsidP="007A68C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L’essai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satisfaisant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</w:t>
      </w:r>
      <w:r w:rsidR="00EC442C">
        <w:rPr>
          <w:lang w:val="fr-FR"/>
        </w:rPr>
        <w:t> :</w:t>
      </w:r>
    </w:p>
    <w:p w:rsidR="00A91344" w:rsidRPr="00DE4822" w:rsidRDefault="00A91344" w:rsidP="001A7A21">
      <w:pPr>
        <w:pStyle w:val="SingleTxtG"/>
        <w:ind w:left="2835" w:hanging="567"/>
        <w:rPr>
          <w:lang w:val="fr-FR"/>
        </w:rPr>
      </w:pPr>
      <w:r w:rsidRPr="00DE4822">
        <w:rPr>
          <w:lang w:val="fr-FR"/>
        </w:rPr>
        <w:t>a)</w:t>
      </w:r>
      <w:r w:rsidRPr="00DE4822">
        <w:rPr>
          <w:lang w:val="fr-FR"/>
        </w:rPr>
        <w:tab/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d’avertissement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visuel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émis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intervention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reste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visible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pendant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durée</w:t>
      </w:r>
      <w:r w:rsidR="00EC442C">
        <w:rPr>
          <w:lang w:val="fr-FR"/>
        </w:rPr>
        <w:t> ;</w:t>
      </w:r>
    </w:p>
    <w:p w:rsidR="00A91344" w:rsidRPr="00DE4822" w:rsidRDefault="00A91344" w:rsidP="001A7A21">
      <w:pPr>
        <w:pStyle w:val="SingleTxtG"/>
        <w:ind w:left="2835" w:hanging="567"/>
        <w:rPr>
          <w:lang w:val="fr-FR"/>
        </w:rPr>
      </w:pPr>
      <w:r w:rsidRPr="00DE4822">
        <w:rPr>
          <w:lang w:val="fr-FR"/>
        </w:rPr>
        <w:t>b)</w:t>
      </w:r>
      <w:r w:rsidRPr="00DE4822">
        <w:rPr>
          <w:lang w:val="fr-FR"/>
        </w:rPr>
        <w:tab/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alarme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sonore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retentit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deuxième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troisième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interventions</w:t>
      </w:r>
      <w:r w:rsidR="00EC442C">
        <w:rPr>
          <w:lang w:val="fr-FR"/>
        </w:rPr>
        <w:t> ;</w:t>
      </w:r>
    </w:p>
    <w:p w:rsidR="00A91344" w:rsidRPr="00DE4822" w:rsidRDefault="00A91344" w:rsidP="007A68CE">
      <w:pPr>
        <w:pStyle w:val="SingleTxtG"/>
        <w:ind w:left="2835" w:hanging="567"/>
        <w:rPr>
          <w:lang w:val="fr-FR"/>
        </w:rPr>
      </w:pPr>
      <w:r w:rsidRPr="00DE4822">
        <w:rPr>
          <w:lang w:val="fr-FR"/>
        </w:rPr>
        <w:t>c)</w:t>
      </w:r>
      <w:r w:rsidRPr="00DE4822">
        <w:rPr>
          <w:lang w:val="fr-FR"/>
        </w:rPr>
        <w:tab/>
        <w:t>L’alarme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sonore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émise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lors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troisième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intervention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moins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10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émise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deuxième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intervention.</w:t>
      </w:r>
    </w:p>
    <w:p w:rsidR="00A91344" w:rsidRPr="00DE4822" w:rsidRDefault="00A91344" w:rsidP="007A68CE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3.1.1.2</w:t>
      </w:r>
      <w:r w:rsidRPr="00DE4822">
        <w:rPr>
          <w:lang w:val="fr-FR"/>
        </w:rPr>
        <w:tab/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outre,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constructeur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démontrer,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satisfaction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service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technique,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énoncées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aux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5.1.6.1.1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5.1.6.1.2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satisfaites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totalité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CSF.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moyen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documentation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appropriée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annexée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procès</w:t>
      </w:r>
      <w:r w:rsidR="004D15A8">
        <w:rPr>
          <w:lang w:val="fr-FR"/>
        </w:rPr>
        <w:t>-</w:t>
      </w:r>
      <w:r w:rsidRPr="00DE4822">
        <w:rPr>
          <w:lang w:val="fr-FR"/>
        </w:rPr>
        <w:t>verbal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d’essai.</w:t>
      </w:r>
      <w:r w:rsidR="00EC442C">
        <w:rPr>
          <w:lang w:val="fr-FR"/>
        </w:rPr>
        <w:t xml:space="preserve"> </w:t>
      </w:r>
    </w:p>
    <w:p w:rsidR="00A91344" w:rsidRPr="00DE4822" w:rsidRDefault="00A91344" w:rsidP="007A68CE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3.1.2</w:t>
      </w:r>
      <w:r w:rsidRPr="00DE4822">
        <w:rPr>
          <w:lang w:val="fr-FR"/>
        </w:rPr>
        <w:tab/>
        <w:t>Essai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force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neutralisation</w:t>
      </w:r>
    </w:p>
    <w:p w:rsidR="00A91344" w:rsidRPr="00DE4822" w:rsidRDefault="00A91344" w:rsidP="007A68CE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3.1.2.1</w:t>
      </w:r>
      <w:r w:rsidRPr="00DE4822">
        <w:rPr>
          <w:lang w:val="fr-FR"/>
        </w:rPr>
        <w:tab/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avec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CSF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activée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comportant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marques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côté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voie.</w:t>
      </w:r>
    </w:p>
    <w:p w:rsidR="00A91344" w:rsidRPr="00DE4822" w:rsidRDefault="00A91344" w:rsidP="007A68C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conditions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d’essai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d’essai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situer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système.</w:t>
      </w:r>
    </w:p>
    <w:p w:rsidR="00A91344" w:rsidRPr="00DE4822" w:rsidRDefault="00A91344" w:rsidP="007A68C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telle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façon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qu’il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tente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quitter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voie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entraîne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l’intervention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CSF.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Pendant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l’intervention,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exercer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force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neutraliser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l’intervention.</w:t>
      </w:r>
    </w:p>
    <w:p w:rsidR="00A91344" w:rsidRPr="00DE4822" w:rsidRDefault="00A91344" w:rsidP="007A68C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force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exercée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enregistrée.</w:t>
      </w:r>
    </w:p>
    <w:p w:rsidR="00A91344" w:rsidRPr="00DE4822" w:rsidRDefault="00A91344" w:rsidP="007A68CE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lastRenderedPageBreak/>
        <w:t>3.1.2.2</w:t>
      </w:r>
      <w:r w:rsidRPr="00DE4822">
        <w:rPr>
          <w:lang w:val="fr-FR"/>
        </w:rPr>
        <w:tab/>
        <w:t>L’essai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satisfaisant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force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exerce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neutraliser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l’intervention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inférieure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50</w:t>
      </w:r>
      <w:r w:rsidR="00CE5E2D">
        <w:rPr>
          <w:lang w:val="fr-FR"/>
        </w:rPr>
        <w:t> </w:t>
      </w:r>
      <w:r w:rsidRPr="00DE4822">
        <w:rPr>
          <w:lang w:val="fr-FR"/>
        </w:rPr>
        <w:t>N.</w:t>
      </w:r>
    </w:p>
    <w:p w:rsidR="00A91344" w:rsidRPr="00DE4822" w:rsidRDefault="00A91344" w:rsidP="007A68CE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3.1.2.3</w:t>
      </w:r>
      <w:r w:rsidRPr="00DE4822">
        <w:rPr>
          <w:lang w:val="fr-FR"/>
        </w:rPr>
        <w:tab/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outre,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constructeur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démontrer,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satisfaction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service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technique,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énoncées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5.1.6.1.3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satisfaites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totalité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CSF.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moyen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documentation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appropriée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annexée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procès</w:t>
      </w:r>
      <w:r w:rsidR="004D15A8">
        <w:rPr>
          <w:lang w:val="fr-FR"/>
        </w:rPr>
        <w:t>-</w:t>
      </w:r>
      <w:r w:rsidRPr="00DE4822">
        <w:rPr>
          <w:lang w:val="fr-FR"/>
        </w:rPr>
        <w:t>verbal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d’essai.</w:t>
      </w:r>
    </w:p>
    <w:p w:rsidR="00A91344" w:rsidRPr="00DE4822" w:rsidRDefault="00A91344" w:rsidP="007A68CE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3.2</w:t>
      </w:r>
      <w:r w:rsidRPr="00DE4822">
        <w:rPr>
          <w:lang w:val="fr-FR"/>
        </w:rPr>
        <w:tab/>
        <w:t>Essais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ACSF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catégorie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B1</w:t>
      </w:r>
    </w:p>
    <w:p w:rsidR="00A91344" w:rsidRPr="00DE4822" w:rsidRDefault="00A91344" w:rsidP="007A68CE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3.2.1</w:t>
      </w:r>
      <w:r w:rsidRPr="00DE4822">
        <w:rPr>
          <w:lang w:val="fr-FR"/>
        </w:rPr>
        <w:tab/>
        <w:t>Essai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fonctionnel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maintien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voie</w:t>
      </w:r>
    </w:p>
    <w:p w:rsidR="00A91344" w:rsidRPr="00DE4822" w:rsidRDefault="00A91344" w:rsidP="007A68CE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3.2.1.1</w:t>
      </w:r>
      <w:r w:rsidRPr="00DE4822">
        <w:rPr>
          <w:lang w:val="fr-FR"/>
        </w:rPr>
        <w:tab/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maintenue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comprise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entre</w:t>
      </w:r>
      <w:r w:rsidR="00EC442C">
        <w:rPr>
          <w:lang w:val="fr-FR"/>
        </w:rPr>
        <w:t xml:space="preserve"> </w:t>
      </w:r>
      <w:proofErr w:type="spellStart"/>
      <w:r w:rsidRPr="00DE4822">
        <w:rPr>
          <w:lang w:val="fr-FR"/>
        </w:rPr>
        <w:t>V</w:t>
      </w:r>
      <w:r w:rsidRPr="00DE4822">
        <w:rPr>
          <w:vertAlign w:val="subscript"/>
          <w:lang w:val="fr-FR"/>
        </w:rPr>
        <w:t>smin</w:t>
      </w:r>
      <w:proofErr w:type="spellEnd"/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proofErr w:type="spellStart"/>
      <w:r w:rsidRPr="00DE4822">
        <w:rPr>
          <w:lang w:val="fr-FR"/>
        </w:rPr>
        <w:t>V</w:t>
      </w:r>
      <w:r w:rsidRPr="00DE4822">
        <w:rPr>
          <w:vertAlign w:val="subscript"/>
          <w:lang w:val="fr-FR"/>
        </w:rPr>
        <w:t>smax</w:t>
      </w:r>
      <w:proofErr w:type="spellEnd"/>
      <w:r w:rsidRPr="00204256">
        <w:t>.</w:t>
      </w:r>
    </w:p>
    <w:p w:rsidR="00A91344" w:rsidRPr="00DE4822" w:rsidRDefault="00A91344" w:rsidP="007A68C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L’essai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exécuté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séparément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indiquée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5.6.2.1.3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plages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contiguës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avec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même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valeur</w:t>
      </w:r>
      <w:r w:rsidR="00EC442C">
        <w:rPr>
          <w:lang w:val="fr-FR"/>
        </w:rPr>
        <w:t xml:space="preserve"> </w:t>
      </w:r>
      <w:proofErr w:type="spellStart"/>
      <w:r w:rsidRPr="00DE4822">
        <w:rPr>
          <w:lang w:val="fr-FR"/>
        </w:rPr>
        <w:t>ay</w:t>
      </w:r>
      <w:r w:rsidRPr="00DE4822">
        <w:rPr>
          <w:vertAlign w:val="subscript"/>
          <w:lang w:val="fr-FR"/>
        </w:rPr>
        <w:t>smax</w:t>
      </w:r>
      <w:proofErr w:type="spellEnd"/>
      <w:r w:rsidRPr="00DE4822">
        <w:rPr>
          <w:lang w:val="fr-FR"/>
        </w:rPr>
        <w:t>.</w:t>
      </w:r>
    </w:p>
    <w:p w:rsidR="00A91344" w:rsidRPr="00DE4822" w:rsidRDefault="00A91344" w:rsidP="007A68C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conduit,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n’exerce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aucune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force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exemple,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ôtant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mains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commande),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constante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piste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incurvée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comportant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marques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routières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côté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voie.</w:t>
      </w:r>
    </w:p>
    <w:p w:rsidR="00A91344" w:rsidRPr="00DE4822" w:rsidRDefault="00A91344" w:rsidP="007A68C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L’accélération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latérale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nécessaire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suivre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courbe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situer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80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90</w:t>
      </w:r>
      <w:r w:rsidR="00654ECA">
        <w:rPr>
          <w:lang w:val="fr-FR"/>
        </w:rPr>
        <w:t> </w:t>
      </w:r>
      <w:r w:rsidRPr="00DE4822">
        <w:rPr>
          <w:lang w:val="fr-FR"/>
        </w:rPr>
        <w:t>%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l’accélération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latérale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maximale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indiquée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constructeur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</w:t>
      </w:r>
      <w:proofErr w:type="spellStart"/>
      <w:r w:rsidRPr="00DE4822">
        <w:rPr>
          <w:lang w:val="fr-FR"/>
        </w:rPr>
        <w:t>ay</w:t>
      </w:r>
      <w:r w:rsidRPr="00DE4822">
        <w:rPr>
          <w:vertAlign w:val="subscript"/>
          <w:lang w:val="fr-FR"/>
        </w:rPr>
        <w:t>smax</w:t>
      </w:r>
      <w:proofErr w:type="spellEnd"/>
      <w:r w:rsidRPr="00DE4822">
        <w:rPr>
          <w:lang w:val="fr-FR"/>
        </w:rPr>
        <w:t>).</w:t>
      </w:r>
    </w:p>
    <w:p w:rsidR="00A91344" w:rsidRPr="00DE4822" w:rsidRDefault="00A91344" w:rsidP="007A68C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L’accélération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latérale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l’à</w:t>
      </w:r>
      <w:r w:rsidR="004D15A8">
        <w:rPr>
          <w:lang w:val="fr-FR"/>
        </w:rPr>
        <w:t>-</w:t>
      </w:r>
      <w:r w:rsidRPr="00DE4822">
        <w:rPr>
          <w:lang w:val="fr-FR"/>
        </w:rPr>
        <w:t>coup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latéral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enregistrés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pendant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l’essai.</w:t>
      </w:r>
    </w:p>
    <w:p w:rsidR="00A91344" w:rsidRPr="00DE4822" w:rsidRDefault="00A91344" w:rsidP="007A68CE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3.2.1.2</w:t>
      </w:r>
      <w:r w:rsidRPr="00DE4822">
        <w:rPr>
          <w:lang w:val="fr-FR"/>
        </w:rPr>
        <w:tab/>
        <w:t>L’essai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satisfaisant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</w:t>
      </w:r>
      <w:r w:rsidR="00EC442C">
        <w:rPr>
          <w:lang w:val="fr-FR"/>
        </w:rPr>
        <w:t> :</w:t>
      </w:r>
    </w:p>
    <w:p w:rsidR="00A91344" w:rsidRPr="00DE4822" w:rsidRDefault="00A91344" w:rsidP="007A68C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franchit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aucune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marque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routière.</w:t>
      </w:r>
    </w:p>
    <w:p w:rsidR="00A91344" w:rsidRPr="00DE4822" w:rsidRDefault="00A91344" w:rsidP="007A68C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moyenne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mobile,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durée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demi</w:t>
      </w:r>
      <w:r w:rsidR="004D15A8">
        <w:rPr>
          <w:lang w:val="fr-FR"/>
        </w:rPr>
        <w:t>-</w:t>
      </w:r>
      <w:r w:rsidRPr="00DE4822">
        <w:rPr>
          <w:lang w:val="fr-FR"/>
        </w:rPr>
        <w:t>seconde,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l’à</w:t>
      </w:r>
      <w:r w:rsidR="004D15A8">
        <w:rPr>
          <w:lang w:val="fr-FR"/>
        </w:rPr>
        <w:t>-</w:t>
      </w:r>
      <w:r w:rsidRPr="00DE4822">
        <w:rPr>
          <w:lang w:val="fr-FR"/>
        </w:rPr>
        <w:t>coup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latéral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dépasse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</w:t>
      </w:r>
      <w:r w:rsidR="00654ECA">
        <w:rPr>
          <w:lang w:val="fr-FR"/>
        </w:rPr>
        <w:t> </w:t>
      </w:r>
      <w:r w:rsidRPr="00DE4822">
        <w:rPr>
          <w:lang w:val="fr-FR"/>
        </w:rPr>
        <w:t>m/s</w:t>
      </w:r>
      <w:r w:rsidRPr="00DE4822">
        <w:rPr>
          <w:vertAlign w:val="superscript"/>
          <w:lang w:val="fr-FR"/>
        </w:rPr>
        <w:t>3</w:t>
      </w:r>
      <w:r w:rsidRPr="00DE4822">
        <w:rPr>
          <w:lang w:val="fr-FR"/>
        </w:rPr>
        <w:t>.</w:t>
      </w:r>
    </w:p>
    <w:p w:rsidR="00A91344" w:rsidRPr="00DE4822" w:rsidRDefault="00A91344" w:rsidP="007A68CE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3.2.1.3</w:t>
      </w:r>
      <w:r w:rsidRPr="00DE4822">
        <w:rPr>
          <w:lang w:val="fr-FR"/>
        </w:rPr>
        <w:tab/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constructeur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démontrer,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satisfaction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service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technique,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satisfaites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gamme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accélérations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latérales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vitesses.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moyen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documentation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appropriée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annexée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procès</w:t>
      </w:r>
      <w:r w:rsidR="004D15A8">
        <w:rPr>
          <w:lang w:val="fr-FR"/>
        </w:rPr>
        <w:t>-</w:t>
      </w:r>
      <w:r w:rsidRPr="00DE4822">
        <w:rPr>
          <w:lang w:val="fr-FR"/>
        </w:rPr>
        <w:t>verbal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d’essai.</w:t>
      </w:r>
    </w:p>
    <w:p w:rsidR="00A91344" w:rsidRPr="00DE4822" w:rsidRDefault="00A91344" w:rsidP="007A68CE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3.2.2</w:t>
      </w:r>
      <w:r w:rsidRPr="00DE4822">
        <w:rPr>
          <w:lang w:val="fr-FR"/>
        </w:rPr>
        <w:tab/>
        <w:t>Essai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d’accélération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latérale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maximale</w:t>
      </w:r>
      <w:r w:rsidR="00EC442C">
        <w:rPr>
          <w:lang w:val="fr-FR"/>
        </w:rPr>
        <w:t xml:space="preserve"> </w:t>
      </w:r>
    </w:p>
    <w:p w:rsidR="00A91344" w:rsidRPr="00DE4822" w:rsidRDefault="00A91344" w:rsidP="007A68CE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3.2.2.1</w:t>
      </w:r>
      <w:r w:rsidRPr="00DE4822">
        <w:rPr>
          <w:lang w:val="fr-FR"/>
        </w:rPr>
        <w:tab/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maintenue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comprise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entre</w:t>
      </w:r>
      <w:r w:rsidR="00EC442C">
        <w:rPr>
          <w:lang w:val="fr-FR"/>
        </w:rPr>
        <w:t xml:space="preserve"> </w:t>
      </w:r>
      <w:proofErr w:type="spellStart"/>
      <w:r w:rsidRPr="00DE4822">
        <w:rPr>
          <w:lang w:val="fr-FR"/>
        </w:rPr>
        <w:t>V</w:t>
      </w:r>
      <w:r w:rsidRPr="00DE4822">
        <w:rPr>
          <w:vertAlign w:val="subscript"/>
          <w:lang w:val="fr-FR"/>
        </w:rPr>
        <w:t>smin</w:t>
      </w:r>
      <w:proofErr w:type="spellEnd"/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proofErr w:type="spellStart"/>
      <w:r w:rsidRPr="00DE4822">
        <w:rPr>
          <w:lang w:val="fr-FR"/>
        </w:rPr>
        <w:t>V</w:t>
      </w:r>
      <w:r w:rsidRPr="00DE4822">
        <w:rPr>
          <w:vertAlign w:val="subscript"/>
          <w:lang w:val="fr-FR"/>
        </w:rPr>
        <w:t>smax</w:t>
      </w:r>
      <w:proofErr w:type="spellEnd"/>
      <w:r w:rsidRPr="00DE4822">
        <w:rPr>
          <w:lang w:val="fr-FR"/>
        </w:rPr>
        <w:t>.</w:t>
      </w:r>
    </w:p>
    <w:p w:rsidR="00A91344" w:rsidRPr="00DE4822" w:rsidRDefault="00A91344" w:rsidP="007A68C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L’essai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exécuté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séparément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indiquée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5.6.2.1.3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plages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contiguës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avec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même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valeur</w:t>
      </w:r>
      <w:r w:rsidR="00EC442C">
        <w:rPr>
          <w:lang w:val="fr-FR"/>
        </w:rPr>
        <w:t xml:space="preserve"> </w:t>
      </w:r>
      <w:proofErr w:type="spellStart"/>
      <w:r w:rsidRPr="00DE4822">
        <w:rPr>
          <w:lang w:val="fr-FR"/>
        </w:rPr>
        <w:t>ay</w:t>
      </w:r>
      <w:r w:rsidRPr="00DE4822">
        <w:rPr>
          <w:vertAlign w:val="subscript"/>
          <w:lang w:val="fr-FR"/>
        </w:rPr>
        <w:t>smax</w:t>
      </w:r>
      <w:proofErr w:type="spellEnd"/>
      <w:r w:rsidRPr="00DE4822">
        <w:rPr>
          <w:lang w:val="fr-FR"/>
        </w:rPr>
        <w:t>.</w:t>
      </w:r>
    </w:p>
    <w:p w:rsidR="00A91344" w:rsidRPr="00DE4822" w:rsidRDefault="00A91344" w:rsidP="007A68C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conduit,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n’exerce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aucune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force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exemple,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ôtant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mains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commande),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constante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piste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incurvée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comportant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marques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routières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côté.</w:t>
      </w:r>
    </w:p>
    <w:p w:rsidR="00A91344" w:rsidRPr="00DE4822" w:rsidRDefault="00A91344" w:rsidP="007A68C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service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technique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définit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d’essai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rayon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provoqueraient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accélération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supérieure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proofErr w:type="spellStart"/>
      <w:r w:rsidRPr="00DE4822">
        <w:rPr>
          <w:lang w:val="fr-FR"/>
        </w:rPr>
        <w:t>ay</w:t>
      </w:r>
      <w:r w:rsidRPr="00DE4822">
        <w:rPr>
          <w:vertAlign w:val="subscript"/>
          <w:lang w:val="fr-FR"/>
        </w:rPr>
        <w:t>smax</w:t>
      </w:r>
      <w:proofErr w:type="spellEnd"/>
      <w:r w:rsidR="00EC442C">
        <w:rPr>
          <w:lang w:val="fr-FR"/>
        </w:rPr>
        <w:t xml:space="preserve"> </w:t>
      </w:r>
      <w:r w:rsidRPr="00DE4822">
        <w:rPr>
          <w:lang w:val="fr-FR"/>
        </w:rPr>
        <w:t>+0,3</w:t>
      </w:r>
      <w:r w:rsidR="00654ECA">
        <w:rPr>
          <w:lang w:val="fr-FR"/>
        </w:rPr>
        <w:t> </w:t>
      </w:r>
      <w:r w:rsidRPr="00DE4822">
        <w:rPr>
          <w:lang w:val="fr-FR"/>
        </w:rPr>
        <w:t>m/s</w:t>
      </w:r>
      <w:r w:rsidRPr="00DE4822">
        <w:rPr>
          <w:vertAlign w:val="superscript"/>
          <w:lang w:val="fr-FR"/>
        </w:rPr>
        <w:t>2</w:t>
      </w:r>
      <w:r w:rsidR="00EC442C">
        <w:rPr>
          <w:vertAlign w:val="superscript"/>
          <w:lang w:val="fr-FR"/>
        </w:rPr>
        <w:t xml:space="preserve"> </w:t>
      </w:r>
      <w:r w:rsidRPr="00DE4822">
        <w:rPr>
          <w:lang w:val="fr-FR"/>
        </w:rPr>
        <w:t>(par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exemple,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conduisant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élevée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virage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ayant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rayon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donné).</w:t>
      </w:r>
    </w:p>
    <w:p w:rsidR="00A91344" w:rsidRPr="00DE4822" w:rsidRDefault="00A91344" w:rsidP="007A68C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L’accélération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latérale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l’à</w:t>
      </w:r>
      <w:r w:rsidR="004D15A8">
        <w:rPr>
          <w:lang w:val="fr-FR"/>
        </w:rPr>
        <w:t>-</w:t>
      </w:r>
      <w:r w:rsidRPr="00DE4822">
        <w:rPr>
          <w:lang w:val="fr-FR"/>
        </w:rPr>
        <w:t>coup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latéral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doivent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enregistrés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pendant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l’essai.</w:t>
      </w:r>
    </w:p>
    <w:p w:rsidR="00A91344" w:rsidRPr="00DE4822" w:rsidRDefault="00A91344" w:rsidP="007A68CE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3.2.2.2</w:t>
      </w:r>
      <w:r w:rsidRPr="00DE4822">
        <w:rPr>
          <w:lang w:val="fr-FR"/>
        </w:rPr>
        <w:tab/>
        <w:t>L’essai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satisfaisant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</w:t>
      </w:r>
      <w:r w:rsidR="00EC442C">
        <w:rPr>
          <w:lang w:val="fr-FR"/>
        </w:rPr>
        <w:t> :</w:t>
      </w:r>
    </w:p>
    <w:p w:rsidR="00A91344" w:rsidRPr="00DE4822" w:rsidRDefault="00A91344" w:rsidP="007A68C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L’accélération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enregistrée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limites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spécifiées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5.6.2.1.3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Règlement.</w:t>
      </w:r>
    </w:p>
    <w:p w:rsidR="00A91344" w:rsidRPr="00DE4822" w:rsidRDefault="00A91344" w:rsidP="007A68C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lastRenderedPageBreak/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moyenne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mobile,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durée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demi</w:t>
      </w:r>
      <w:r w:rsidR="004D15A8">
        <w:rPr>
          <w:lang w:val="fr-FR"/>
        </w:rPr>
        <w:t>-</w:t>
      </w:r>
      <w:r w:rsidRPr="00DE4822">
        <w:rPr>
          <w:lang w:val="fr-FR"/>
        </w:rPr>
        <w:t>seconde,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l’à</w:t>
      </w:r>
      <w:r w:rsidR="004D15A8">
        <w:rPr>
          <w:lang w:val="fr-FR"/>
        </w:rPr>
        <w:t>-</w:t>
      </w:r>
      <w:r w:rsidRPr="00DE4822">
        <w:rPr>
          <w:lang w:val="fr-FR"/>
        </w:rPr>
        <w:t>coup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latéral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dépasse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</w:t>
      </w:r>
      <w:r w:rsidR="00654ECA">
        <w:rPr>
          <w:lang w:val="fr-FR"/>
        </w:rPr>
        <w:t> </w:t>
      </w:r>
      <w:r w:rsidRPr="00DE4822">
        <w:rPr>
          <w:lang w:val="fr-FR"/>
        </w:rPr>
        <w:t>m/s</w:t>
      </w:r>
      <w:r w:rsidRPr="00DE4822">
        <w:rPr>
          <w:vertAlign w:val="superscript"/>
          <w:lang w:val="fr-FR"/>
        </w:rPr>
        <w:t>3</w:t>
      </w:r>
      <w:r w:rsidRPr="00DE4822">
        <w:rPr>
          <w:lang w:val="fr-FR"/>
        </w:rPr>
        <w:t>.</w:t>
      </w:r>
    </w:p>
    <w:p w:rsidR="00A91344" w:rsidRPr="00DE4822" w:rsidRDefault="00A91344" w:rsidP="007A68CE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3.2.3</w:t>
      </w:r>
      <w:r w:rsidRPr="00DE4822">
        <w:rPr>
          <w:lang w:val="fr-FR"/>
        </w:rPr>
        <w:tab/>
        <w:t>Essai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force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neutralisation</w:t>
      </w:r>
      <w:r w:rsidR="00EC442C">
        <w:rPr>
          <w:lang w:val="fr-FR"/>
        </w:rPr>
        <w:t xml:space="preserve"> </w:t>
      </w:r>
    </w:p>
    <w:p w:rsidR="00A91344" w:rsidRPr="00DE4822" w:rsidRDefault="00A91344" w:rsidP="007A68CE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3.2.3.1</w:t>
      </w:r>
      <w:r w:rsidRPr="00DE4822">
        <w:rPr>
          <w:lang w:val="fr-FR"/>
        </w:rPr>
        <w:tab/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maintenue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comprise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entre</w:t>
      </w:r>
      <w:r w:rsidR="00EC442C">
        <w:rPr>
          <w:lang w:val="fr-FR"/>
        </w:rPr>
        <w:t xml:space="preserve"> </w:t>
      </w:r>
      <w:proofErr w:type="spellStart"/>
      <w:r w:rsidRPr="00DE4822">
        <w:rPr>
          <w:lang w:val="fr-FR"/>
        </w:rPr>
        <w:t>V</w:t>
      </w:r>
      <w:r w:rsidRPr="00DE4822">
        <w:rPr>
          <w:vertAlign w:val="subscript"/>
          <w:lang w:val="fr-FR"/>
        </w:rPr>
        <w:t>smin</w:t>
      </w:r>
      <w:proofErr w:type="spellEnd"/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proofErr w:type="spellStart"/>
      <w:r w:rsidRPr="00DE4822">
        <w:rPr>
          <w:lang w:val="fr-FR"/>
        </w:rPr>
        <w:t>V</w:t>
      </w:r>
      <w:r w:rsidRPr="00DE4822">
        <w:rPr>
          <w:vertAlign w:val="subscript"/>
          <w:lang w:val="fr-FR"/>
        </w:rPr>
        <w:t>smax</w:t>
      </w:r>
      <w:proofErr w:type="spellEnd"/>
      <w:r w:rsidRPr="00DE4822">
        <w:rPr>
          <w:lang w:val="fr-FR"/>
        </w:rPr>
        <w:t>.</w:t>
      </w:r>
    </w:p>
    <w:p w:rsidR="00A91344" w:rsidRPr="00DE4822" w:rsidRDefault="00A91344" w:rsidP="007A68C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conduit,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n’exerce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aucune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force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(par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exemple,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ôtant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mains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commande),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constante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piste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incurvée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comportant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marques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routières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chaque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côté.</w:t>
      </w:r>
    </w:p>
    <w:p w:rsidR="00A91344" w:rsidRPr="00DE4822" w:rsidRDefault="00A91344" w:rsidP="007A68C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L’accélération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latérale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nécessaire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suivre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courbe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situer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80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90</w:t>
      </w:r>
      <w:r w:rsidR="00654ECA">
        <w:rPr>
          <w:lang w:val="fr-FR"/>
        </w:rPr>
        <w:t> </w:t>
      </w:r>
      <w:r w:rsidRPr="00DE4822">
        <w:rPr>
          <w:lang w:val="fr-FR"/>
        </w:rPr>
        <w:t>%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valeur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minimale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indiquée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tableau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paragraphe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5.6.2.1.3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présent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Règlement.</w:t>
      </w:r>
    </w:p>
    <w:p w:rsidR="00A91344" w:rsidRPr="00DE4822" w:rsidRDefault="00A91344" w:rsidP="007A68C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alors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exercer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force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pour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neutraliser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l’intervention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quitter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voie.</w:t>
      </w:r>
    </w:p>
    <w:p w:rsidR="00A91344" w:rsidRPr="00DE4822" w:rsidRDefault="00A91344" w:rsidP="007A68C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force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exercée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cours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manœuvre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neutralisation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enregistrée.</w:t>
      </w:r>
    </w:p>
    <w:p w:rsidR="00A91344" w:rsidRPr="00DE4822" w:rsidRDefault="00A91344" w:rsidP="007A68CE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3.2.3.2</w:t>
      </w:r>
      <w:r w:rsidRPr="00DE4822">
        <w:rPr>
          <w:lang w:val="fr-FR"/>
        </w:rPr>
        <w:tab/>
        <w:t>L’essai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satisfaisant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force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exercée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cours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manœuvre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neutralisation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inférieure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50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N.</w:t>
      </w:r>
    </w:p>
    <w:p w:rsidR="00A91344" w:rsidRPr="00DE4822" w:rsidRDefault="00A91344" w:rsidP="007A68C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constructeur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démontrer,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documentation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l’appui,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cette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condition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remplie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plage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fonctionnement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l’ACSF.</w:t>
      </w:r>
      <w:r w:rsidR="00EC442C">
        <w:rPr>
          <w:lang w:val="fr-FR"/>
        </w:rPr>
        <w:t xml:space="preserve"> </w:t>
      </w:r>
    </w:p>
    <w:p w:rsidR="00A91344" w:rsidRPr="00DE4822" w:rsidRDefault="00A91344" w:rsidP="007A68CE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3.2.4</w:t>
      </w:r>
      <w:r w:rsidRPr="00DE4822">
        <w:rPr>
          <w:lang w:val="fr-FR"/>
        </w:rPr>
        <w:tab/>
        <w:t>Essai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transition</w:t>
      </w:r>
      <w:r w:rsidR="00EC442C">
        <w:rPr>
          <w:lang w:val="fr-FR"/>
        </w:rPr>
        <w:t xml:space="preserve"> ; </w:t>
      </w:r>
      <w:r w:rsidRPr="00DE4822">
        <w:rPr>
          <w:lang w:val="fr-FR"/>
        </w:rPr>
        <w:t>tenue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volant</w:t>
      </w:r>
    </w:p>
    <w:p w:rsidR="00A91344" w:rsidRPr="00DE4822" w:rsidRDefault="00AA28FF" w:rsidP="007A68CE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</w:t>
      </w:r>
      <w:r w:rsidR="00A91344" w:rsidRPr="00DE4822">
        <w:rPr>
          <w:lang w:val="fr-FR"/>
        </w:rPr>
        <w:t>.2.4.1</w:t>
      </w:r>
      <w:r w:rsidR="00A91344" w:rsidRPr="00DE4822">
        <w:rPr>
          <w:lang w:val="fr-FR"/>
        </w:rPr>
        <w:tab/>
        <w:t>Le</w:t>
      </w:r>
      <w:r w:rsidR="00EC442C">
        <w:rPr>
          <w:lang w:val="fr-FR"/>
        </w:rPr>
        <w:t xml:space="preserve"> </w:t>
      </w:r>
      <w:r w:rsidR="00A91344" w:rsidRPr="00DE4822">
        <w:rPr>
          <w:lang w:val="fr-FR"/>
        </w:rPr>
        <w:t>véhicule</w:t>
      </w:r>
      <w:r w:rsidR="00EC442C">
        <w:rPr>
          <w:lang w:val="fr-FR"/>
        </w:rPr>
        <w:t xml:space="preserve"> </w:t>
      </w:r>
      <w:r w:rsidR="00A91344"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="00A91344"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="00A91344" w:rsidRPr="00DE4822">
        <w:rPr>
          <w:lang w:val="fr-FR"/>
        </w:rPr>
        <w:t>conduit</w:t>
      </w:r>
      <w:r w:rsidR="00EC442C">
        <w:rPr>
          <w:lang w:val="fr-FR"/>
        </w:rPr>
        <w:t xml:space="preserve"> </w:t>
      </w:r>
      <w:r w:rsidR="00A91344" w:rsidRPr="00DE4822">
        <w:rPr>
          <w:lang w:val="fr-FR"/>
        </w:rPr>
        <w:t>avec</w:t>
      </w:r>
      <w:r w:rsidR="00EC442C">
        <w:rPr>
          <w:lang w:val="fr-FR"/>
        </w:rPr>
        <w:t xml:space="preserve"> </w:t>
      </w:r>
      <w:r w:rsidR="00A91344" w:rsidRPr="00DE4822">
        <w:rPr>
          <w:lang w:val="fr-FR"/>
        </w:rPr>
        <w:t>l’ACSF</w:t>
      </w:r>
      <w:r w:rsidR="00EC442C">
        <w:rPr>
          <w:lang w:val="fr-FR"/>
        </w:rPr>
        <w:t xml:space="preserve"> </w:t>
      </w:r>
      <w:r w:rsidR="00A91344" w:rsidRPr="00DE4822">
        <w:rPr>
          <w:lang w:val="fr-FR"/>
        </w:rPr>
        <w:t>activée,</w:t>
      </w:r>
      <w:r w:rsidR="00EC442C">
        <w:rPr>
          <w:lang w:val="fr-FR"/>
        </w:rPr>
        <w:t xml:space="preserve"> </w:t>
      </w:r>
      <w:r w:rsidR="00A91344"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="00A91344"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="00A91344" w:rsidRPr="00DE4822">
        <w:rPr>
          <w:lang w:val="fr-FR"/>
        </w:rPr>
        <w:t>vitesse</w:t>
      </w:r>
      <w:r w:rsidR="00EC442C">
        <w:rPr>
          <w:lang w:val="fr-FR"/>
        </w:rPr>
        <w:t xml:space="preserve"> </w:t>
      </w:r>
      <w:r w:rsidR="00A91344" w:rsidRPr="00DE4822">
        <w:rPr>
          <w:lang w:val="fr-FR"/>
        </w:rPr>
        <w:t>d’essai</w:t>
      </w:r>
      <w:r w:rsidR="00EC442C">
        <w:rPr>
          <w:lang w:val="fr-FR"/>
        </w:rPr>
        <w:t xml:space="preserve"> </w:t>
      </w:r>
      <w:r w:rsidR="00A91344" w:rsidRPr="00DE4822">
        <w:rPr>
          <w:lang w:val="fr-FR"/>
        </w:rPr>
        <w:t>comprise</w:t>
      </w:r>
      <w:r w:rsidR="00EC442C">
        <w:rPr>
          <w:lang w:val="fr-FR"/>
        </w:rPr>
        <w:t xml:space="preserve"> </w:t>
      </w:r>
      <w:r w:rsidR="00A91344" w:rsidRPr="00DE4822">
        <w:rPr>
          <w:lang w:val="fr-FR"/>
        </w:rPr>
        <w:t>entre</w:t>
      </w:r>
      <w:r w:rsidR="00EC442C">
        <w:rPr>
          <w:lang w:val="fr-FR"/>
        </w:rPr>
        <w:t xml:space="preserve"> </w:t>
      </w:r>
      <w:proofErr w:type="spellStart"/>
      <w:r w:rsidR="00A91344" w:rsidRPr="00DE4822">
        <w:rPr>
          <w:lang w:val="fr-FR"/>
        </w:rPr>
        <w:t>V</w:t>
      </w:r>
      <w:r w:rsidR="00A91344" w:rsidRPr="00DE4822">
        <w:rPr>
          <w:vertAlign w:val="subscript"/>
          <w:lang w:val="fr-FR"/>
        </w:rPr>
        <w:t>smin</w:t>
      </w:r>
      <w:proofErr w:type="spellEnd"/>
      <w:r w:rsidR="00EC442C">
        <w:rPr>
          <w:lang w:val="fr-FR"/>
        </w:rPr>
        <w:t xml:space="preserve"> </w:t>
      </w:r>
      <w:r w:rsidR="00A91344" w:rsidRPr="00DE4822">
        <w:rPr>
          <w:lang w:val="fr-FR"/>
        </w:rPr>
        <w:t>+10</w:t>
      </w:r>
      <w:r w:rsidR="00654ECA">
        <w:rPr>
          <w:lang w:val="fr-FR"/>
        </w:rPr>
        <w:t> </w:t>
      </w:r>
      <w:r w:rsidR="00A91344" w:rsidRPr="00DE4822">
        <w:rPr>
          <w:lang w:val="fr-FR"/>
        </w:rPr>
        <w:t>km/h</w:t>
      </w:r>
      <w:r w:rsidR="00EC442C">
        <w:rPr>
          <w:lang w:val="fr-FR"/>
        </w:rPr>
        <w:t xml:space="preserve"> </w:t>
      </w:r>
      <w:r w:rsidR="00A91344"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proofErr w:type="spellStart"/>
      <w:r w:rsidR="00A91344" w:rsidRPr="00DE4822">
        <w:rPr>
          <w:lang w:val="fr-FR"/>
        </w:rPr>
        <w:t>V</w:t>
      </w:r>
      <w:r w:rsidR="00A91344" w:rsidRPr="00DE4822">
        <w:rPr>
          <w:vertAlign w:val="subscript"/>
          <w:lang w:val="fr-FR"/>
        </w:rPr>
        <w:t>smin</w:t>
      </w:r>
      <w:proofErr w:type="spellEnd"/>
      <w:r w:rsidR="00EC442C">
        <w:rPr>
          <w:lang w:val="fr-FR"/>
        </w:rPr>
        <w:t xml:space="preserve"> </w:t>
      </w:r>
      <w:r w:rsidR="00A91344" w:rsidRPr="00DE4822">
        <w:rPr>
          <w:lang w:val="fr-FR"/>
        </w:rPr>
        <w:t>+20</w:t>
      </w:r>
      <w:r w:rsidR="00654ECA">
        <w:rPr>
          <w:lang w:val="fr-FR"/>
        </w:rPr>
        <w:t> </w:t>
      </w:r>
      <w:r w:rsidR="00A91344" w:rsidRPr="00DE4822">
        <w:rPr>
          <w:lang w:val="fr-FR"/>
        </w:rPr>
        <w:t>km/h</w:t>
      </w:r>
      <w:r w:rsidR="00EC442C">
        <w:rPr>
          <w:lang w:val="fr-FR"/>
        </w:rPr>
        <w:t xml:space="preserve"> </w:t>
      </w:r>
      <w:r w:rsidR="00A91344"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="00A91344"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="00A91344" w:rsidRPr="00DE4822">
        <w:rPr>
          <w:lang w:val="fr-FR"/>
        </w:rPr>
        <w:t>voie</w:t>
      </w:r>
      <w:r w:rsidR="00EC442C">
        <w:rPr>
          <w:lang w:val="fr-FR"/>
        </w:rPr>
        <w:t xml:space="preserve"> </w:t>
      </w:r>
      <w:r w:rsidR="00A91344" w:rsidRPr="00DE4822">
        <w:rPr>
          <w:lang w:val="fr-FR"/>
        </w:rPr>
        <w:t>bordée</w:t>
      </w:r>
      <w:r w:rsidR="00EC442C">
        <w:rPr>
          <w:lang w:val="fr-FR"/>
        </w:rPr>
        <w:t xml:space="preserve"> </w:t>
      </w:r>
      <w:r w:rsidR="00A91344"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="00A91344" w:rsidRPr="00DE4822">
        <w:rPr>
          <w:lang w:val="fr-FR"/>
        </w:rPr>
        <w:t>marques</w:t>
      </w:r>
      <w:r w:rsidR="00EC442C">
        <w:rPr>
          <w:lang w:val="fr-FR"/>
        </w:rPr>
        <w:t xml:space="preserve"> </w:t>
      </w:r>
      <w:r w:rsidR="00A91344" w:rsidRPr="00DE4822">
        <w:rPr>
          <w:lang w:val="fr-FR"/>
        </w:rPr>
        <w:t>routières</w:t>
      </w:r>
      <w:r w:rsidR="00EC442C">
        <w:rPr>
          <w:lang w:val="fr-FR"/>
        </w:rPr>
        <w:t xml:space="preserve"> </w:t>
      </w:r>
      <w:r w:rsidR="00A91344"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="00A91344" w:rsidRPr="00DE4822">
        <w:rPr>
          <w:lang w:val="fr-FR"/>
        </w:rPr>
        <w:t>chaque</w:t>
      </w:r>
      <w:r w:rsidR="00EC442C">
        <w:rPr>
          <w:lang w:val="fr-FR"/>
        </w:rPr>
        <w:t xml:space="preserve"> </w:t>
      </w:r>
      <w:r w:rsidR="00A91344" w:rsidRPr="00DE4822">
        <w:rPr>
          <w:lang w:val="fr-FR"/>
        </w:rPr>
        <w:t>côté.</w:t>
      </w:r>
    </w:p>
    <w:p w:rsidR="00A91344" w:rsidRPr="00DE4822" w:rsidRDefault="00A91344" w:rsidP="007A68C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relâche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continue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jusqu’à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l’ACSF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désactivée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par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système.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voie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sélectionnée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façon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permettre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conduite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avec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l’ACSF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activée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pendant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moins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65</w:t>
      </w:r>
      <w:r w:rsidR="00654ECA">
        <w:rPr>
          <w:lang w:val="fr-FR"/>
        </w:rPr>
        <w:t> </w:t>
      </w:r>
      <w:r w:rsidRPr="00DE4822">
        <w:rPr>
          <w:lang w:val="fr-FR"/>
        </w:rPr>
        <w:t>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aucune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intervention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conducteur.</w:t>
      </w:r>
    </w:p>
    <w:p w:rsidR="00A91344" w:rsidRPr="00DE4822" w:rsidRDefault="00A91344" w:rsidP="007A68C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L’essai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être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répété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avec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comprise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entre</w:t>
      </w:r>
      <w:r w:rsidR="00EC442C">
        <w:rPr>
          <w:lang w:val="fr-FR"/>
        </w:rPr>
        <w:t xml:space="preserve"> </w:t>
      </w:r>
      <w:proofErr w:type="spellStart"/>
      <w:r w:rsidRPr="00DE4822">
        <w:rPr>
          <w:lang w:val="fr-FR"/>
        </w:rPr>
        <w:t>V</w:t>
      </w:r>
      <w:r w:rsidRPr="00DE4822">
        <w:rPr>
          <w:vertAlign w:val="subscript"/>
          <w:lang w:val="fr-FR"/>
        </w:rPr>
        <w:t>smax</w:t>
      </w:r>
      <w:proofErr w:type="spellEnd"/>
      <w:r w:rsidR="00EC442C">
        <w:rPr>
          <w:lang w:val="fr-FR"/>
        </w:rPr>
        <w:t xml:space="preserve"> </w:t>
      </w:r>
      <w:r w:rsidR="004D15A8">
        <w:rPr>
          <w:lang w:val="fr-FR"/>
        </w:rPr>
        <w:t>-</w:t>
      </w:r>
      <w:r w:rsidRPr="00DE4822">
        <w:rPr>
          <w:lang w:val="fr-FR"/>
        </w:rPr>
        <w:t>20</w:t>
      </w:r>
      <w:r w:rsidR="00654ECA">
        <w:rPr>
          <w:lang w:val="fr-FR"/>
        </w:rPr>
        <w:t> </w:t>
      </w:r>
      <w:r w:rsidRPr="00DE4822">
        <w:rPr>
          <w:lang w:val="fr-FR"/>
        </w:rPr>
        <w:t>km/h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proofErr w:type="spellStart"/>
      <w:r w:rsidRPr="00DE4822">
        <w:rPr>
          <w:lang w:val="fr-FR"/>
        </w:rPr>
        <w:t>V</w:t>
      </w:r>
      <w:r w:rsidRPr="00DE4822">
        <w:rPr>
          <w:vertAlign w:val="subscript"/>
          <w:lang w:val="fr-FR"/>
        </w:rPr>
        <w:t>smax</w:t>
      </w:r>
      <w:proofErr w:type="spellEnd"/>
      <w:r w:rsidR="00EC442C">
        <w:rPr>
          <w:lang w:val="fr-FR"/>
        </w:rPr>
        <w:t xml:space="preserve"> </w:t>
      </w:r>
      <w:r w:rsidR="004D15A8">
        <w:rPr>
          <w:lang w:val="fr-FR"/>
        </w:rPr>
        <w:t>-</w:t>
      </w:r>
      <w:r w:rsidRPr="00DE4822">
        <w:rPr>
          <w:lang w:val="fr-FR"/>
        </w:rPr>
        <w:t>10</w:t>
      </w:r>
      <w:r w:rsidR="00654ECA">
        <w:rPr>
          <w:lang w:val="fr-FR"/>
        </w:rPr>
        <w:t> </w:t>
      </w:r>
      <w:r w:rsidRPr="00DE4822">
        <w:rPr>
          <w:lang w:val="fr-FR"/>
        </w:rPr>
        <w:t>km/h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130</w:t>
      </w:r>
      <w:r w:rsidR="00654ECA">
        <w:rPr>
          <w:lang w:val="fr-FR"/>
        </w:rPr>
        <w:t> </w:t>
      </w:r>
      <w:r w:rsidRPr="00DE4822">
        <w:rPr>
          <w:lang w:val="fr-FR"/>
        </w:rPr>
        <w:t>km/h,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valeur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faible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étant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retenue.</w:t>
      </w:r>
      <w:r w:rsidR="00EC442C">
        <w:rPr>
          <w:lang w:val="fr-FR"/>
        </w:rPr>
        <w:t xml:space="preserve"> </w:t>
      </w:r>
    </w:p>
    <w:p w:rsidR="00A91344" w:rsidRPr="00DE4822" w:rsidRDefault="00A91344" w:rsidP="007A68C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En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outre,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constructeur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doit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démontrer,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satisfaction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service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technique,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prescriptions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satisfaites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dans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toute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gamme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vitesses.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Cela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faire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sur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base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documents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appropriés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joints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procès</w:t>
      </w:r>
      <w:r w:rsidR="004D15A8">
        <w:rPr>
          <w:lang w:val="fr-FR"/>
        </w:rPr>
        <w:t>-</w:t>
      </w:r>
      <w:r w:rsidRPr="00DE4822">
        <w:rPr>
          <w:lang w:val="fr-FR"/>
        </w:rPr>
        <w:t>verbal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d’essai.</w:t>
      </w:r>
    </w:p>
    <w:p w:rsidR="00A91344" w:rsidRPr="00DE4822" w:rsidRDefault="00A91344" w:rsidP="007A68CE">
      <w:pPr>
        <w:pStyle w:val="SingleTxtG"/>
        <w:ind w:left="2268" w:hanging="1134"/>
        <w:rPr>
          <w:lang w:val="fr-FR"/>
        </w:rPr>
      </w:pPr>
      <w:r w:rsidRPr="00DE4822">
        <w:rPr>
          <w:lang w:val="fr-FR"/>
        </w:rPr>
        <w:t>3.2.4.2</w:t>
      </w:r>
      <w:r w:rsidRPr="00DE4822">
        <w:rPr>
          <w:lang w:val="fr-FR"/>
        </w:rPr>
        <w:tab/>
        <w:t>L’essai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satisfaisant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</w:t>
      </w:r>
      <w:r w:rsidR="00EC442C">
        <w:rPr>
          <w:lang w:val="fr-FR"/>
        </w:rPr>
        <w:t> :</w:t>
      </w:r>
    </w:p>
    <w:p w:rsidR="00A91344" w:rsidRPr="00DE4822" w:rsidRDefault="00A91344" w:rsidP="007A68C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d’avertissement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visuel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émis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tard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15</w:t>
      </w:r>
      <w:r w:rsidR="007E212C">
        <w:rPr>
          <w:lang w:val="fr-FR"/>
        </w:rPr>
        <w:t> </w:t>
      </w:r>
      <w:r w:rsidRPr="00DE4822">
        <w:rPr>
          <w:lang w:val="fr-FR"/>
        </w:rPr>
        <w:t>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après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relâchée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persiste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jusqu’à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désactivation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l’ACSF.</w:t>
      </w:r>
    </w:p>
    <w:p w:rsidR="00A91344" w:rsidRPr="00DE4822" w:rsidRDefault="00A91344" w:rsidP="007A68C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d’avertissement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sonore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émis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tard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30</w:t>
      </w:r>
      <w:r w:rsidR="007E212C">
        <w:rPr>
          <w:lang w:val="fr-FR"/>
        </w:rPr>
        <w:t> </w:t>
      </w:r>
      <w:r w:rsidRPr="00DE4822">
        <w:rPr>
          <w:lang w:val="fr-FR"/>
        </w:rPr>
        <w:t>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après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que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commande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direction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été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relâchée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persiste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jusqu’à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désactivation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l’ACSF.</w:t>
      </w:r>
      <w:r w:rsidR="00EC442C">
        <w:rPr>
          <w:lang w:val="fr-FR"/>
        </w:rPr>
        <w:t xml:space="preserve"> </w:t>
      </w:r>
    </w:p>
    <w:p w:rsidR="00BF5B7D" w:rsidRPr="00DE4822" w:rsidRDefault="00A91344" w:rsidP="007A68CE">
      <w:pPr>
        <w:pStyle w:val="SingleTxtG"/>
        <w:ind w:left="2268"/>
        <w:rPr>
          <w:lang w:val="fr-FR"/>
        </w:rPr>
      </w:pPr>
      <w:r w:rsidRPr="00DE4822">
        <w:rPr>
          <w:lang w:val="fr-FR"/>
        </w:rPr>
        <w:t>L’ACSF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est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désactivée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plus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tard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30</w:t>
      </w:r>
      <w:r w:rsidR="007E212C">
        <w:rPr>
          <w:lang w:val="fr-FR"/>
        </w:rPr>
        <w:t> </w:t>
      </w:r>
      <w:r w:rsidRPr="00DE4822">
        <w:rPr>
          <w:lang w:val="fr-FR"/>
        </w:rPr>
        <w:t>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après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le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début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sonore,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avec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un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d’alarme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moins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5</w:t>
      </w:r>
      <w:r w:rsidR="007E212C">
        <w:rPr>
          <w:lang w:val="fr-FR"/>
        </w:rPr>
        <w:t> </w:t>
      </w:r>
      <w:r w:rsidRPr="00DE4822">
        <w:rPr>
          <w:lang w:val="fr-FR"/>
        </w:rPr>
        <w:t>s,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différent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du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signal</w:t>
      </w:r>
      <w:r w:rsidR="00EC442C">
        <w:rPr>
          <w:lang w:val="fr-FR"/>
        </w:rPr>
        <w:t xml:space="preserve"> </w:t>
      </w:r>
      <w:r w:rsidRPr="00DE4822">
        <w:rPr>
          <w:lang w:val="fr-FR"/>
        </w:rPr>
        <w:t>d’avertissement.</w:t>
      </w:r>
    </w:p>
    <w:p w:rsidR="00A91344" w:rsidRPr="00DE4822" w:rsidRDefault="00E33761" w:rsidP="00A91344">
      <w:pPr>
        <w:pStyle w:val="SingleTxtG"/>
        <w:spacing w:before="240" w:after="0"/>
        <w:jc w:val="center"/>
        <w:rPr>
          <w:u w:val="single"/>
        </w:rPr>
      </w:pPr>
      <w:r w:rsidRPr="00DE4822">
        <w:rPr>
          <w:u w:val="single"/>
        </w:rPr>
        <w:tab/>
      </w:r>
      <w:r w:rsidR="007E212C">
        <w:rPr>
          <w:u w:val="single"/>
        </w:rPr>
        <w:tab/>
      </w:r>
      <w:r w:rsidR="007E212C">
        <w:rPr>
          <w:u w:val="single"/>
        </w:rPr>
        <w:tab/>
      </w:r>
    </w:p>
    <w:sectPr w:rsidR="00A91344" w:rsidRPr="00DE4822" w:rsidSect="00BF5B7D">
      <w:headerReference w:type="even" r:id="rId45"/>
      <w:headerReference w:type="default" r:id="rId46"/>
      <w:footerReference w:type="even" r:id="rId47"/>
      <w:footerReference w:type="default" r:id="rId48"/>
      <w:footnotePr>
        <w:numRestart w:val="eachSect"/>
      </w:footnotePr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FBA" w:rsidRDefault="00BD1FBA"/>
  </w:endnote>
  <w:endnote w:type="continuationSeparator" w:id="0">
    <w:p w:rsidR="00BD1FBA" w:rsidRDefault="00BD1FBA">
      <w:pPr>
        <w:pStyle w:val="Footer"/>
      </w:pPr>
    </w:p>
  </w:endnote>
  <w:endnote w:type="continuationNotice" w:id="1">
    <w:p w:rsidR="00BD1FBA" w:rsidRPr="00C451B9" w:rsidRDefault="00BD1FBA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BA" w:rsidRPr="00B64A2D" w:rsidRDefault="00BD1FBA" w:rsidP="00B64A2D">
    <w:pPr>
      <w:pStyle w:val="Footer"/>
      <w:tabs>
        <w:tab w:val="right" w:pos="9638"/>
      </w:tabs>
    </w:pPr>
    <w:r w:rsidRPr="00B64A2D">
      <w:rPr>
        <w:b/>
        <w:sz w:val="18"/>
      </w:rPr>
      <w:fldChar w:fldCharType="begin"/>
    </w:r>
    <w:r w:rsidRPr="00B64A2D">
      <w:rPr>
        <w:b/>
        <w:sz w:val="18"/>
      </w:rPr>
      <w:instrText xml:space="preserve"> PAGE  \* MERGEFORMAT </w:instrText>
    </w:r>
    <w:r w:rsidRPr="00B64A2D">
      <w:rPr>
        <w:b/>
        <w:sz w:val="18"/>
      </w:rPr>
      <w:fldChar w:fldCharType="separate"/>
    </w:r>
    <w:r w:rsidR="009B6DC7">
      <w:rPr>
        <w:b/>
        <w:noProof/>
        <w:sz w:val="18"/>
      </w:rPr>
      <w:t>22</w:t>
    </w:r>
    <w:r w:rsidRPr="00B64A2D">
      <w:rPr>
        <w:b/>
        <w:sz w:val="18"/>
      </w:rPr>
      <w:fldChar w:fldCharType="end"/>
    </w:r>
    <w:r>
      <w:rPr>
        <w:b/>
        <w:sz w:val="18"/>
      </w:rPr>
      <w:tab/>
    </w:r>
    <w:r>
      <w:t>GE.17-21250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BA" w:rsidRPr="00C76D6C" w:rsidRDefault="00BD1FBA" w:rsidP="00C76D6C">
    <w:pPr>
      <w:pStyle w:val="Footer"/>
      <w:tabs>
        <w:tab w:val="right" w:pos="9638"/>
      </w:tabs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9B6DC7">
      <w:rPr>
        <w:b/>
        <w:noProof/>
        <w:sz w:val="18"/>
      </w:rPr>
      <w:t>30</w:t>
    </w:r>
    <w:r>
      <w:rPr>
        <w:b/>
        <w:sz w:val="18"/>
      </w:rPr>
      <w:fldChar w:fldCharType="end"/>
    </w:r>
    <w:r>
      <w:rPr>
        <w:b/>
        <w:sz w:val="18"/>
      </w:rPr>
      <w:tab/>
    </w:r>
    <w:r w:rsidRPr="00C76D6C">
      <w:t>GE.17</w:t>
    </w:r>
    <w:r>
      <w:t>-</w:t>
    </w:r>
    <w:r w:rsidRPr="00C76D6C">
      <w:t>21250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BA" w:rsidRPr="00C76D6C" w:rsidRDefault="00BD1FBA" w:rsidP="00C76D6C">
    <w:pPr>
      <w:pStyle w:val="Footer"/>
      <w:tabs>
        <w:tab w:val="right" w:pos="9638"/>
      </w:tabs>
      <w:rPr>
        <w:b/>
        <w:sz w:val="18"/>
      </w:rPr>
    </w:pPr>
    <w:r>
      <w:t>GE.</w:t>
    </w:r>
    <w:r w:rsidRPr="00C76D6C">
      <w:t>17</w:t>
    </w:r>
    <w:r>
      <w:t>-</w:t>
    </w:r>
    <w:r w:rsidRPr="00C76D6C">
      <w:t>21250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9B6DC7">
      <w:rPr>
        <w:b/>
        <w:noProof/>
        <w:sz w:val="18"/>
      </w:rPr>
      <w:t>31</w:t>
    </w:r>
    <w:r>
      <w:rPr>
        <w:b/>
        <w:sz w:val="18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BA" w:rsidRPr="00B972DC" w:rsidRDefault="00BD1FBA" w:rsidP="00B972DC">
    <w:pPr>
      <w:pStyle w:val="Footer"/>
      <w:tabs>
        <w:tab w:val="right" w:pos="9638"/>
      </w:tabs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9B6DC7">
      <w:rPr>
        <w:b/>
        <w:noProof/>
        <w:sz w:val="18"/>
      </w:rPr>
      <w:t>32</w:t>
    </w:r>
    <w:r>
      <w:rPr>
        <w:b/>
        <w:sz w:val="18"/>
      </w:rPr>
      <w:fldChar w:fldCharType="end"/>
    </w:r>
    <w:r>
      <w:rPr>
        <w:b/>
        <w:sz w:val="18"/>
      </w:rPr>
      <w:tab/>
    </w:r>
    <w:r w:rsidRPr="00B972DC">
      <w:t>GE.17</w:t>
    </w:r>
    <w:r>
      <w:t>-</w:t>
    </w:r>
    <w:r w:rsidRPr="00B972DC">
      <w:t>21250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BA" w:rsidRPr="00B972DC" w:rsidRDefault="00BD1FBA" w:rsidP="00B972DC">
    <w:pPr>
      <w:pStyle w:val="Footer"/>
      <w:tabs>
        <w:tab w:val="right" w:pos="9638"/>
      </w:tabs>
      <w:rPr>
        <w:b/>
        <w:sz w:val="18"/>
      </w:rPr>
    </w:pPr>
    <w:r>
      <w:t>GE.</w:t>
    </w:r>
    <w:r w:rsidRPr="00B972DC">
      <w:t>17</w:t>
    </w:r>
    <w:r>
      <w:t>-</w:t>
    </w:r>
    <w:r w:rsidRPr="00B972DC">
      <w:t>21250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44</w:t>
    </w:r>
    <w:r>
      <w:rPr>
        <w:b/>
        <w:sz w:val="18"/>
      </w:rP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BA" w:rsidRPr="002564BC" w:rsidRDefault="00BD1FBA" w:rsidP="002564BC">
    <w:pPr>
      <w:pStyle w:val="Footer"/>
      <w:tabs>
        <w:tab w:val="right" w:pos="9638"/>
      </w:tabs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9B6DC7">
      <w:rPr>
        <w:b/>
        <w:noProof/>
        <w:sz w:val="18"/>
      </w:rPr>
      <w:t>36</w:t>
    </w:r>
    <w:r>
      <w:rPr>
        <w:b/>
        <w:sz w:val="18"/>
      </w:rPr>
      <w:fldChar w:fldCharType="end"/>
    </w:r>
    <w:r>
      <w:rPr>
        <w:b/>
        <w:sz w:val="18"/>
      </w:rPr>
      <w:tab/>
    </w:r>
    <w:r w:rsidRPr="002564BC">
      <w:t>GE.17</w:t>
    </w:r>
    <w:r>
      <w:t>-</w:t>
    </w:r>
    <w:r w:rsidRPr="002564BC">
      <w:t>21250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BA" w:rsidRPr="002564BC" w:rsidRDefault="00BD1FBA" w:rsidP="002564BC">
    <w:pPr>
      <w:pStyle w:val="Footer"/>
      <w:tabs>
        <w:tab w:val="right" w:pos="9638"/>
      </w:tabs>
      <w:rPr>
        <w:b/>
        <w:sz w:val="18"/>
      </w:rPr>
    </w:pPr>
    <w:r>
      <w:t>GE.</w:t>
    </w:r>
    <w:r w:rsidRPr="002564BC">
      <w:t>17</w:t>
    </w:r>
    <w:r>
      <w:t>-</w:t>
    </w:r>
    <w:r w:rsidRPr="002564BC">
      <w:t>21250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9B6DC7">
      <w:rPr>
        <w:b/>
        <w:noProof/>
        <w:sz w:val="18"/>
      </w:rPr>
      <w:t>37</w:t>
    </w:r>
    <w:r>
      <w:rPr>
        <w:b/>
        <w:sz w:val="18"/>
      </w:rPr>
      <w:fldChar w:fldCharType="end"/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BA" w:rsidRPr="00AE3647" w:rsidRDefault="00BD1FBA" w:rsidP="00AE3647">
    <w:pPr>
      <w:pStyle w:val="Footer"/>
      <w:tabs>
        <w:tab w:val="right" w:pos="9638"/>
      </w:tabs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9B6DC7">
      <w:rPr>
        <w:b/>
        <w:noProof/>
        <w:sz w:val="18"/>
      </w:rPr>
      <w:t>40</w:t>
    </w:r>
    <w:r>
      <w:rPr>
        <w:b/>
        <w:sz w:val="18"/>
      </w:rPr>
      <w:fldChar w:fldCharType="end"/>
    </w:r>
    <w:r>
      <w:rPr>
        <w:b/>
        <w:sz w:val="18"/>
      </w:rPr>
      <w:tab/>
    </w:r>
    <w:r w:rsidRPr="00AE3647">
      <w:t>GE.17</w:t>
    </w:r>
    <w:r>
      <w:t>-</w:t>
    </w:r>
    <w:r w:rsidRPr="00AE3647">
      <w:t>21250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BA" w:rsidRPr="00AE3647" w:rsidRDefault="00BD1FBA" w:rsidP="00AE3647">
    <w:pPr>
      <w:pStyle w:val="Footer"/>
      <w:tabs>
        <w:tab w:val="right" w:pos="9638"/>
      </w:tabs>
      <w:rPr>
        <w:b/>
        <w:sz w:val="18"/>
      </w:rPr>
    </w:pPr>
    <w:r>
      <w:t>GE.</w:t>
    </w:r>
    <w:r w:rsidRPr="00AE3647">
      <w:t>17</w:t>
    </w:r>
    <w:r>
      <w:t>-</w:t>
    </w:r>
    <w:r w:rsidRPr="00AE3647">
      <w:t>21250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9B6DC7">
      <w:rPr>
        <w:b/>
        <w:noProof/>
        <w:sz w:val="18"/>
      </w:rPr>
      <w:t>39</w:t>
    </w:r>
    <w:r>
      <w:rPr>
        <w:b/>
        <w:sz w:val="18"/>
      </w:rPr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BA" w:rsidRPr="00BF5B7D" w:rsidRDefault="00BD1FBA" w:rsidP="00BF5B7D">
    <w:pPr>
      <w:pStyle w:val="Footer"/>
      <w:tabs>
        <w:tab w:val="right" w:pos="9638"/>
      </w:tabs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9B6DC7">
      <w:rPr>
        <w:b/>
        <w:noProof/>
        <w:sz w:val="18"/>
      </w:rPr>
      <w:t>44</w:t>
    </w:r>
    <w:r>
      <w:rPr>
        <w:b/>
        <w:sz w:val="18"/>
      </w:rPr>
      <w:fldChar w:fldCharType="end"/>
    </w:r>
    <w:r>
      <w:rPr>
        <w:b/>
        <w:sz w:val="18"/>
      </w:rPr>
      <w:tab/>
    </w:r>
    <w:r w:rsidRPr="00BF5B7D">
      <w:t>GE.17</w:t>
    </w:r>
    <w:r>
      <w:t>-</w:t>
    </w:r>
    <w:r w:rsidRPr="00BF5B7D">
      <w:t>21250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BA" w:rsidRPr="00BF5B7D" w:rsidRDefault="00BD1FBA" w:rsidP="00BF5B7D">
    <w:pPr>
      <w:pStyle w:val="Footer"/>
      <w:tabs>
        <w:tab w:val="right" w:pos="9638"/>
      </w:tabs>
      <w:rPr>
        <w:b/>
        <w:sz w:val="18"/>
      </w:rPr>
    </w:pPr>
    <w:r>
      <w:t>GE.</w:t>
    </w:r>
    <w:r w:rsidRPr="00BF5B7D">
      <w:t>17</w:t>
    </w:r>
    <w:r>
      <w:t>-</w:t>
    </w:r>
    <w:r w:rsidRPr="00BF5B7D">
      <w:t>21250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9B6DC7">
      <w:rPr>
        <w:b/>
        <w:noProof/>
        <w:sz w:val="18"/>
      </w:rPr>
      <w:t>43</w:t>
    </w:r>
    <w:r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BA" w:rsidRPr="00B64A2D" w:rsidRDefault="00BD1FBA" w:rsidP="00B64A2D">
    <w:pPr>
      <w:pStyle w:val="Footer"/>
      <w:tabs>
        <w:tab w:val="right" w:pos="9638"/>
      </w:tabs>
      <w:rPr>
        <w:b/>
        <w:sz w:val="18"/>
      </w:rPr>
    </w:pPr>
    <w:r>
      <w:t>GE.17-21250</w:t>
    </w:r>
    <w:r>
      <w:tab/>
    </w:r>
    <w:r w:rsidRPr="00B64A2D">
      <w:rPr>
        <w:b/>
        <w:sz w:val="18"/>
      </w:rPr>
      <w:fldChar w:fldCharType="begin"/>
    </w:r>
    <w:r w:rsidRPr="00B64A2D">
      <w:rPr>
        <w:b/>
        <w:sz w:val="18"/>
      </w:rPr>
      <w:instrText xml:space="preserve"> PAGE  \* MERGEFORMAT </w:instrText>
    </w:r>
    <w:r w:rsidRPr="00B64A2D">
      <w:rPr>
        <w:b/>
        <w:sz w:val="18"/>
      </w:rPr>
      <w:fldChar w:fldCharType="separate"/>
    </w:r>
    <w:r w:rsidR="009B6DC7">
      <w:rPr>
        <w:b/>
        <w:noProof/>
        <w:sz w:val="18"/>
      </w:rPr>
      <w:t>3</w:t>
    </w:r>
    <w:r w:rsidRPr="00B64A2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BA" w:rsidRPr="00B64A2D" w:rsidRDefault="00BD1FBA" w:rsidP="00B64A2D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1B28EA21" wp14:editId="0BAABB8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16" name="Image 16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B2E">
      <w:rPr>
        <w:sz w:val="20"/>
      </w:rPr>
      <w:t>17-21250  (F)    120318    14</w:t>
    </w:r>
    <w:r>
      <w:rPr>
        <w:sz w:val="20"/>
      </w:rPr>
      <w:t>0318</w:t>
    </w:r>
    <w:r>
      <w:rPr>
        <w:sz w:val="20"/>
      </w:rPr>
      <w:br/>
    </w:r>
    <w:r w:rsidRPr="00B64A2D">
      <w:rPr>
        <w:rFonts w:ascii="C39T30Lfz" w:hAnsi="C39T30Lfz"/>
        <w:sz w:val="56"/>
      </w:rPr>
      <w:t></w:t>
    </w:r>
    <w:r w:rsidRPr="00B64A2D">
      <w:rPr>
        <w:rFonts w:ascii="C39T30Lfz" w:hAnsi="C39T30Lfz"/>
        <w:sz w:val="56"/>
      </w:rPr>
      <w:t></w:t>
    </w:r>
    <w:r w:rsidRPr="00B64A2D">
      <w:rPr>
        <w:rFonts w:ascii="C39T30Lfz" w:hAnsi="C39T30Lfz"/>
        <w:sz w:val="56"/>
      </w:rPr>
      <w:t></w:t>
    </w:r>
    <w:r w:rsidRPr="00B64A2D">
      <w:rPr>
        <w:rFonts w:ascii="C39T30Lfz" w:hAnsi="C39T30Lfz"/>
        <w:sz w:val="56"/>
      </w:rPr>
      <w:t></w:t>
    </w:r>
    <w:r w:rsidRPr="00B64A2D">
      <w:rPr>
        <w:rFonts w:ascii="C39T30Lfz" w:hAnsi="C39T30Lfz"/>
        <w:sz w:val="56"/>
      </w:rPr>
      <w:t></w:t>
    </w:r>
    <w:r w:rsidRPr="00B64A2D">
      <w:rPr>
        <w:rFonts w:ascii="C39T30Lfz" w:hAnsi="C39T30Lfz"/>
        <w:sz w:val="56"/>
      </w:rPr>
      <w:t></w:t>
    </w:r>
    <w:r w:rsidRPr="00B64A2D">
      <w:rPr>
        <w:rFonts w:ascii="C39T30Lfz" w:hAnsi="C39T30Lfz"/>
        <w:sz w:val="56"/>
      </w:rPr>
      <w:t></w:t>
    </w:r>
    <w:r w:rsidRPr="00B64A2D">
      <w:rPr>
        <w:rFonts w:ascii="C39T30Lfz" w:hAnsi="C39T30Lfz"/>
        <w:sz w:val="56"/>
      </w:rPr>
      <w:t></w:t>
    </w:r>
    <w:r w:rsidRPr="00B64A2D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75648" behindDoc="0" locked="0" layoutInCell="1" allowOverlap="1" wp14:anchorId="2FE9AF3F" wp14:editId="32F4BF0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7" name="Image 17" descr="https://undocs.org/m2/QRCode.ashx?DS=E/ECE/324/Rev.1/Add.78/Rev.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78/Rev.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BA" w:rsidRPr="005F0772" w:rsidRDefault="00BD1FBA" w:rsidP="005F0772">
    <w:pPr>
      <w:pStyle w:val="Footer"/>
      <w:tabs>
        <w:tab w:val="right" w:pos="9638"/>
      </w:tabs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9B6DC7">
      <w:rPr>
        <w:b/>
        <w:noProof/>
        <w:sz w:val="18"/>
      </w:rPr>
      <w:t>26</w:t>
    </w:r>
    <w:r>
      <w:rPr>
        <w:b/>
        <w:sz w:val="18"/>
      </w:rPr>
      <w:fldChar w:fldCharType="end"/>
    </w:r>
    <w:r>
      <w:rPr>
        <w:b/>
        <w:sz w:val="18"/>
      </w:rPr>
      <w:tab/>
    </w:r>
    <w:r w:rsidRPr="005F0772">
      <w:t>GE.17</w:t>
    </w:r>
    <w:r>
      <w:t>-</w:t>
    </w:r>
    <w:r w:rsidRPr="005F0772">
      <w:t>21250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BA" w:rsidRPr="005F0772" w:rsidRDefault="00BD1FBA" w:rsidP="005F0772">
    <w:pPr>
      <w:pStyle w:val="Footer"/>
      <w:tabs>
        <w:tab w:val="right" w:pos="9638"/>
      </w:tabs>
      <w:rPr>
        <w:b/>
        <w:sz w:val="18"/>
      </w:rPr>
    </w:pPr>
    <w:r>
      <w:t>GE.</w:t>
    </w:r>
    <w:r w:rsidRPr="005F0772">
      <w:t>17</w:t>
    </w:r>
    <w:r>
      <w:t>-</w:t>
    </w:r>
    <w:r w:rsidRPr="005F0772">
      <w:t>21250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9B6DC7">
      <w:rPr>
        <w:b/>
        <w:noProof/>
        <w:sz w:val="18"/>
      </w:rPr>
      <w:t>25</w:t>
    </w:r>
    <w:r>
      <w:rPr>
        <w:b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BA" w:rsidRPr="00D858FA" w:rsidRDefault="00BD1FBA" w:rsidP="00D858FA">
    <w:pPr>
      <w:pStyle w:val="Footer"/>
      <w:tabs>
        <w:tab w:val="right" w:pos="9638"/>
      </w:tabs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44</w:t>
    </w:r>
    <w:r>
      <w:rPr>
        <w:b/>
        <w:sz w:val="18"/>
      </w:rPr>
      <w:fldChar w:fldCharType="end"/>
    </w:r>
    <w:r>
      <w:rPr>
        <w:b/>
        <w:sz w:val="18"/>
      </w:rPr>
      <w:tab/>
    </w:r>
    <w:r w:rsidRPr="00D858FA">
      <w:t>GE.17</w:t>
    </w:r>
    <w:r>
      <w:t>-</w:t>
    </w:r>
    <w:r w:rsidRPr="00D858FA">
      <w:t>21250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BA" w:rsidRPr="00D858FA" w:rsidRDefault="00BD1FBA" w:rsidP="00D858FA">
    <w:pPr>
      <w:pStyle w:val="Footer"/>
      <w:tabs>
        <w:tab w:val="right" w:pos="9638"/>
      </w:tabs>
      <w:rPr>
        <w:b/>
        <w:sz w:val="18"/>
      </w:rPr>
    </w:pPr>
    <w:r>
      <w:t>GE.</w:t>
    </w:r>
    <w:r w:rsidRPr="00D858FA">
      <w:t>17</w:t>
    </w:r>
    <w:r>
      <w:t>-</w:t>
    </w:r>
    <w:r w:rsidRPr="00D858FA">
      <w:t>21250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9B6DC7">
      <w:rPr>
        <w:b/>
        <w:noProof/>
        <w:sz w:val="18"/>
      </w:rPr>
      <w:t>27</w:t>
    </w:r>
    <w:r>
      <w:rPr>
        <w:b/>
        <w:sz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BA" w:rsidRPr="00B249BA" w:rsidRDefault="00BD1FBA" w:rsidP="00B249BA">
    <w:pPr>
      <w:pStyle w:val="Footer"/>
      <w:tabs>
        <w:tab w:val="right" w:pos="9638"/>
      </w:tabs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9B6DC7">
      <w:rPr>
        <w:b/>
        <w:noProof/>
        <w:sz w:val="18"/>
      </w:rPr>
      <w:t>28</w:t>
    </w:r>
    <w:r>
      <w:rPr>
        <w:b/>
        <w:sz w:val="18"/>
      </w:rPr>
      <w:fldChar w:fldCharType="end"/>
    </w:r>
    <w:r>
      <w:rPr>
        <w:b/>
        <w:sz w:val="18"/>
      </w:rPr>
      <w:tab/>
    </w:r>
    <w:r w:rsidRPr="00B249BA">
      <w:t>GE.17</w:t>
    </w:r>
    <w:r>
      <w:t>-</w:t>
    </w:r>
    <w:r w:rsidRPr="00B249BA">
      <w:t>21250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BA" w:rsidRPr="00B249BA" w:rsidRDefault="00BD1FBA" w:rsidP="00B249BA">
    <w:pPr>
      <w:pStyle w:val="Footer"/>
      <w:tabs>
        <w:tab w:val="right" w:pos="9638"/>
      </w:tabs>
      <w:rPr>
        <w:b/>
        <w:sz w:val="18"/>
      </w:rPr>
    </w:pPr>
    <w:r>
      <w:t>GE.</w:t>
    </w:r>
    <w:r w:rsidRPr="00B249BA">
      <w:t>17</w:t>
    </w:r>
    <w:r>
      <w:t>-</w:t>
    </w:r>
    <w:r w:rsidRPr="00B249BA">
      <w:t>21250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9B6DC7">
      <w:rPr>
        <w:b/>
        <w:noProof/>
        <w:sz w:val="18"/>
      </w:rPr>
      <w:t>29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FBA" w:rsidRPr="00D27D5E" w:rsidRDefault="00BD1FB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D1FBA" w:rsidRPr="00D171D4" w:rsidRDefault="00BD1FBA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BD1FBA" w:rsidRPr="00C451B9" w:rsidRDefault="00BD1FBA" w:rsidP="00C451B9">
      <w:pPr>
        <w:spacing w:line="240" w:lineRule="auto"/>
        <w:rPr>
          <w:sz w:val="2"/>
          <w:szCs w:val="2"/>
        </w:rPr>
      </w:pPr>
    </w:p>
  </w:footnote>
  <w:footnote w:id="2">
    <w:p w:rsidR="00BD1FBA" w:rsidRPr="002159B6" w:rsidRDefault="00BD1FBA" w:rsidP="00027188">
      <w:pPr>
        <w:pStyle w:val="FootnoteText"/>
        <w:rPr>
          <w:szCs w:val="18"/>
        </w:rPr>
      </w:pPr>
      <w:r w:rsidRPr="002159B6">
        <w:rPr>
          <w:rStyle w:val="FootnoteReference"/>
          <w:vertAlign w:val="baseline"/>
        </w:rPr>
        <w:tab/>
      </w:r>
      <w:r w:rsidRPr="002159B6">
        <w:rPr>
          <w:rStyle w:val="FootnoteReference"/>
          <w:sz w:val="20"/>
          <w:vertAlign w:val="baseline"/>
        </w:rPr>
        <w:t>*</w:t>
      </w:r>
      <w:r w:rsidRPr="002159B6">
        <w:rPr>
          <w:rStyle w:val="FootnoteReference"/>
          <w:sz w:val="20"/>
          <w:vertAlign w:val="baseline"/>
        </w:rPr>
        <w:tab/>
      </w:r>
      <w:r w:rsidRPr="002159B6">
        <w:rPr>
          <w:szCs w:val="18"/>
        </w:rPr>
        <w:t>Anciens titres de l’Accord :</w:t>
      </w:r>
    </w:p>
    <w:p w:rsidR="00BD1FBA" w:rsidRPr="002159B6" w:rsidRDefault="00BD1FBA" w:rsidP="00027188">
      <w:pPr>
        <w:pStyle w:val="FootnoteText"/>
        <w:rPr>
          <w:szCs w:val="18"/>
        </w:rPr>
      </w:pPr>
      <w:r w:rsidRPr="002159B6">
        <w:rPr>
          <w:szCs w:val="18"/>
        </w:rPr>
        <w:tab/>
      </w:r>
      <w:r w:rsidRPr="002159B6">
        <w:rPr>
          <w:szCs w:val="18"/>
        </w:rPr>
        <w:tab/>
        <w:t>Accord concernant l’adoption de conditions uniformes d’homologation et la reconnaissance réciproque de</w:t>
      </w:r>
      <w:r>
        <w:rPr>
          <w:szCs w:val="18"/>
        </w:rPr>
        <w:t xml:space="preserve"> </w:t>
      </w:r>
      <w:r w:rsidRPr="002159B6">
        <w:rPr>
          <w:szCs w:val="18"/>
        </w:rPr>
        <w:t>l’homologation des équipements et pièces de véhicules à moteur, en date, à Genève, du</w:t>
      </w:r>
      <w:r>
        <w:rPr>
          <w:szCs w:val="18"/>
        </w:rPr>
        <w:t> </w:t>
      </w:r>
      <w:r w:rsidRPr="002159B6">
        <w:rPr>
          <w:szCs w:val="18"/>
        </w:rPr>
        <w:t>20</w:t>
      </w:r>
      <w:r>
        <w:rPr>
          <w:szCs w:val="18"/>
        </w:rPr>
        <w:t xml:space="preserve"> </w:t>
      </w:r>
      <w:r w:rsidRPr="002159B6">
        <w:rPr>
          <w:szCs w:val="18"/>
        </w:rPr>
        <w:t>mars 1958 (version initiale) ;</w:t>
      </w:r>
    </w:p>
    <w:p w:rsidR="00BD1FBA" w:rsidRPr="00D268C0" w:rsidRDefault="00BD1FBA" w:rsidP="00027188">
      <w:pPr>
        <w:pStyle w:val="FootnoteText"/>
      </w:pPr>
      <w:r w:rsidRPr="002159B6">
        <w:rPr>
          <w:szCs w:val="18"/>
        </w:rPr>
        <w:tab/>
      </w:r>
      <w:r w:rsidRPr="002159B6">
        <w:rPr>
          <w:szCs w:val="18"/>
        </w:rPr>
        <w:tab/>
        <w:t>Accord concernant l’adoption de prescriptions techniques uniformes applicables aux véhicules à roues, aux équipements et aux pièces susceptibles d’être montés ou utilisés sur un véhicule à roues et les conditions de reconnaissance réciproque des homologations délivrées conformément à ces prescriptions, en date, à Genève, du 5 octobre 1995 (Révision 2).</w:t>
      </w:r>
    </w:p>
  </w:footnote>
  <w:footnote w:id="3">
    <w:p w:rsidR="00BD1FBA" w:rsidRPr="00D268C0" w:rsidRDefault="00BD1FBA" w:rsidP="00D643A6">
      <w:pPr>
        <w:pStyle w:val="FootnoteText"/>
      </w:pPr>
      <w:r w:rsidRPr="00D268C0">
        <w:tab/>
      </w:r>
      <w:r w:rsidRPr="00D268C0">
        <w:rPr>
          <w:rStyle w:val="FootnoteReference"/>
        </w:rPr>
        <w:footnoteRef/>
      </w:r>
      <w:r w:rsidRPr="00D268C0">
        <w:tab/>
        <w:t>Tels</w:t>
      </w:r>
      <w:r>
        <w:t xml:space="preserve"> </w:t>
      </w:r>
      <w:r w:rsidRPr="00D268C0">
        <w:t>qu</w:t>
      </w:r>
      <w:r>
        <w:t>’</w:t>
      </w:r>
      <w:r w:rsidRPr="00D268C0">
        <w:t>ils</w:t>
      </w:r>
      <w:r>
        <w:t xml:space="preserve"> </w:t>
      </w:r>
      <w:r w:rsidRPr="00D268C0">
        <w:t>sont</w:t>
      </w:r>
      <w:r>
        <w:t xml:space="preserve"> </w:t>
      </w:r>
      <w:r w:rsidRPr="00D268C0">
        <w:t>définis</w:t>
      </w:r>
      <w:r>
        <w:t xml:space="preserve"> </w:t>
      </w:r>
      <w:r w:rsidRPr="00D268C0">
        <w:t>dans</w:t>
      </w:r>
      <w:r>
        <w:t xml:space="preserve"> </w:t>
      </w:r>
      <w:r w:rsidRPr="00D268C0">
        <w:t>la</w:t>
      </w:r>
      <w:r>
        <w:t xml:space="preserve"> </w:t>
      </w:r>
      <w:r w:rsidRPr="00D268C0">
        <w:t>Résolution</w:t>
      </w:r>
      <w:r>
        <w:t xml:space="preserve"> </w:t>
      </w:r>
      <w:r w:rsidRPr="00D268C0">
        <w:t>d</w:t>
      </w:r>
      <w:r>
        <w:t>’</w:t>
      </w:r>
      <w:r w:rsidRPr="00D268C0">
        <w:t>ensemble</w:t>
      </w:r>
      <w:r>
        <w:t xml:space="preserve"> </w:t>
      </w:r>
      <w:r w:rsidRPr="00D268C0">
        <w:t>sur</w:t>
      </w:r>
      <w:r>
        <w:t xml:space="preserve"> </w:t>
      </w:r>
      <w:r w:rsidRPr="00D268C0">
        <w:t>la</w:t>
      </w:r>
      <w:r>
        <w:t xml:space="preserve"> </w:t>
      </w:r>
      <w:r w:rsidRPr="00D268C0">
        <w:t>construction</w:t>
      </w:r>
      <w:r>
        <w:t xml:space="preserve"> </w:t>
      </w:r>
      <w:r w:rsidRPr="00D268C0">
        <w:t>des</w:t>
      </w:r>
      <w:r>
        <w:t xml:space="preserve"> </w:t>
      </w:r>
      <w:r w:rsidRPr="00D268C0">
        <w:t>véhicules</w:t>
      </w:r>
      <w:r>
        <w:t xml:space="preserve"> </w:t>
      </w:r>
      <w:r w:rsidRPr="00D268C0">
        <w:t>(R.E.3),</w:t>
      </w:r>
      <w:r>
        <w:t xml:space="preserve"> </w:t>
      </w:r>
      <w:r w:rsidRPr="00D268C0">
        <w:t>document</w:t>
      </w:r>
      <w:r>
        <w:t xml:space="preserve"> </w:t>
      </w:r>
      <w:r w:rsidRPr="00D268C0">
        <w:t>ECE/TRANS/WP.29/78/Rev.6,</w:t>
      </w:r>
      <w:r>
        <w:t xml:space="preserve"> </w:t>
      </w:r>
      <w:r w:rsidRPr="00D268C0">
        <w:t>par.</w:t>
      </w:r>
      <w:r>
        <w:t xml:space="preserve"> </w:t>
      </w:r>
      <w:r w:rsidRPr="00D268C0">
        <w:t>2</w:t>
      </w:r>
      <w:r>
        <w:t xml:space="preserve"> </w:t>
      </w:r>
      <w:r w:rsidRPr="00D268C0">
        <w:t>−</w:t>
      </w:r>
      <w:r>
        <w:t xml:space="preserve"> </w:t>
      </w:r>
      <w:hyperlink r:id="rId1" w:history="1">
        <w:r w:rsidRPr="00D268C0">
          <w:t>www.unece.org/trans/main/wp29/wp29wgs/</w:t>
        </w:r>
        <w:r>
          <w:t xml:space="preserve"> </w:t>
        </w:r>
        <w:r w:rsidRPr="00D268C0">
          <w:t>wp29gen/wp29resolutions.html</w:t>
        </w:r>
      </w:hyperlink>
      <w:r w:rsidRPr="00D268C0">
        <w:t>.</w:t>
      </w:r>
    </w:p>
  </w:footnote>
  <w:footnote w:id="4">
    <w:p w:rsidR="00BD1FBA" w:rsidRPr="00D268C0" w:rsidRDefault="00BD1FBA" w:rsidP="00D643A6">
      <w:pPr>
        <w:pStyle w:val="FootnoteText"/>
      </w:pPr>
      <w:r w:rsidRPr="00D268C0">
        <w:tab/>
      </w:r>
      <w:r w:rsidRPr="00D268C0">
        <w:rPr>
          <w:rStyle w:val="FootnoteReference"/>
        </w:rPr>
        <w:footnoteRef/>
      </w:r>
      <w:r w:rsidRPr="00D268C0">
        <w:tab/>
        <w:t>Les</w:t>
      </w:r>
      <w:r>
        <w:t xml:space="preserve"> </w:t>
      </w:r>
      <w:r w:rsidRPr="00D268C0">
        <w:t>numéros</w:t>
      </w:r>
      <w:r>
        <w:t xml:space="preserve"> </w:t>
      </w:r>
      <w:r w:rsidRPr="00D268C0">
        <w:t>distinctifs</w:t>
      </w:r>
      <w:r>
        <w:t xml:space="preserve"> </w:t>
      </w:r>
      <w:r w:rsidRPr="00D268C0">
        <w:t>des</w:t>
      </w:r>
      <w:r>
        <w:t xml:space="preserve"> </w:t>
      </w:r>
      <w:r w:rsidRPr="00D268C0">
        <w:t>Parties</w:t>
      </w:r>
      <w:r>
        <w:t xml:space="preserve"> </w:t>
      </w:r>
      <w:r w:rsidRPr="00D268C0">
        <w:t>contractantes</w:t>
      </w:r>
      <w:r>
        <w:t xml:space="preserve"> </w:t>
      </w:r>
      <w:r w:rsidRPr="00D268C0">
        <w:t>à</w:t>
      </w:r>
      <w:r>
        <w:t xml:space="preserve"> </w:t>
      </w:r>
      <w:r w:rsidRPr="00D268C0">
        <w:t>l</w:t>
      </w:r>
      <w:r>
        <w:t>’</w:t>
      </w:r>
      <w:r w:rsidRPr="00D268C0">
        <w:t>Accord</w:t>
      </w:r>
      <w:r>
        <w:t xml:space="preserve"> </w:t>
      </w:r>
      <w:r w:rsidRPr="00D268C0">
        <w:t>de</w:t>
      </w:r>
      <w:r>
        <w:t xml:space="preserve"> </w:t>
      </w:r>
      <w:r w:rsidRPr="00D268C0">
        <w:t>1958</w:t>
      </w:r>
      <w:r>
        <w:t xml:space="preserve"> </w:t>
      </w:r>
      <w:r w:rsidRPr="00D268C0">
        <w:t>sont</w:t>
      </w:r>
      <w:r>
        <w:t xml:space="preserve"> </w:t>
      </w:r>
      <w:r w:rsidRPr="00D268C0">
        <w:t>indiqués</w:t>
      </w:r>
      <w:r>
        <w:t xml:space="preserve"> </w:t>
      </w:r>
      <w:r w:rsidRPr="00D268C0">
        <w:t>à</w:t>
      </w:r>
      <w:r>
        <w:t xml:space="preserve"> </w:t>
      </w:r>
      <w:r w:rsidRPr="00D268C0">
        <w:t>l</w:t>
      </w:r>
      <w:r>
        <w:t>’</w:t>
      </w:r>
      <w:r w:rsidRPr="00D268C0">
        <w:t>annexe</w:t>
      </w:r>
      <w:r>
        <w:t xml:space="preserve"> </w:t>
      </w:r>
      <w:r w:rsidRPr="00D268C0">
        <w:t>3</w:t>
      </w:r>
      <w:r>
        <w:t xml:space="preserve"> </w:t>
      </w:r>
      <w:r w:rsidRPr="00D268C0">
        <w:t>de</w:t>
      </w:r>
      <w:r>
        <w:t xml:space="preserve"> </w:t>
      </w:r>
      <w:r w:rsidRPr="00D268C0">
        <w:t>la</w:t>
      </w:r>
      <w:r>
        <w:t xml:space="preserve"> </w:t>
      </w:r>
      <w:r w:rsidRPr="00D268C0">
        <w:t>Résolution</w:t>
      </w:r>
      <w:r>
        <w:t xml:space="preserve"> </w:t>
      </w:r>
      <w:r w:rsidRPr="00D268C0">
        <w:t>d</w:t>
      </w:r>
      <w:r>
        <w:t>’</w:t>
      </w:r>
      <w:r w:rsidRPr="00D268C0">
        <w:t>ensemble</w:t>
      </w:r>
      <w:r>
        <w:t xml:space="preserve"> </w:t>
      </w:r>
      <w:r w:rsidRPr="00D268C0">
        <w:t>sur</w:t>
      </w:r>
      <w:r>
        <w:t xml:space="preserve"> </w:t>
      </w:r>
      <w:r w:rsidRPr="00D268C0">
        <w:t>la</w:t>
      </w:r>
      <w:r>
        <w:t xml:space="preserve"> </w:t>
      </w:r>
      <w:r w:rsidRPr="00D268C0">
        <w:t>construction</w:t>
      </w:r>
      <w:r>
        <w:t xml:space="preserve"> </w:t>
      </w:r>
      <w:r w:rsidRPr="00D268C0">
        <w:t>des</w:t>
      </w:r>
      <w:r>
        <w:t xml:space="preserve"> </w:t>
      </w:r>
      <w:r w:rsidRPr="00D268C0">
        <w:t>véhicules</w:t>
      </w:r>
      <w:r>
        <w:t xml:space="preserve"> </w:t>
      </w:r>
      <w:r w:rsidRPr="00D268C0">
        <w:t>(R.E.3),</w:t>
      </w:r>
      <w:r>
        <w:t xml:space="preserve"> </w:t>
      </w:r>
      <w:r w:rsidRPr="00D268C0">
        <w:t>document</w:t>
      </w:r>
      <w:r>
        <w:t xml:space="preserve"> ECE/TRANS/WP.29/ 78/Rev.6 − </w:t>
      </w:r>
      <w:r w:rsidRPr="00D268C0">
        <w:t>www.unece.org/trans/main/wp29/wp29wgs/wp29gen/wp29resolutions.html.</w:t>
      </w:r>
    </w:p>
  </w:footnote>
  <w:footnote w:id="5">
    <w:p w:rsidR="00BD1FBA" w:rsidRPr="00D268C0" w:rsidRDefault="00BD1FBA" w:rsidP="00D643A6">
      <w:pPr>
        <w:pStyle w:val="FootnoteText"/>
      </w:pPr>
      <w:r w:rsidRPr="00D268C0">
        <w:tab/>
      </w:r>
      <w:r w:rsidRPr="00D268C0">
        <w:rPr>
          <w:rStyle w:val="FootnoteReference"/>
        </w:rPr>
        <w:footnoteRef/>
      </w:r>
      <w:r w:rsidRPr="00D268C0">
        <w:tab/>
        <w:t>Tant</w:t>
      </w:r>
      <w:r>
        <w:t xml:space="preserve"> </w:t>
      </w:r>
      <w:r w:rsidRPr="00D268C0">
        <w:t>que</w:t>
      </w:r>
      <w:r>
        <w:t xml:space="preserve"> </w:t>
      </w:r>
      <w:r w:rsidRPr="00D268C0">
        <w:t>des</w:t>
      </w:r>
      <w:r>
        <w:t xml:space="preserve"> </w:t>
      </w:r>
      <w:r w:rsidRPr="00D268C0">
        <w:t>procédures</w:t>
      </w:r>
      <w:r>
        <w:t xml:space="preserve"> </w:t>
      </w:r>
      <w:r w:rsidRPr="00D268C0">
        <w:t>d</w:t>
      </w:r>
      <w:r>
        <w:t>’</w:t>
      </w:r>
      <w:r w:rsidRPr="00D268C0">
        <w:t>essai</w:t>
      </w:r>
      <w:r>
        <w:t xml:space="preserve"> </w:t>
      </w:r>
      <w:r w:rsidRPr="00D268C0">
        <w:t>uniformes</w:t>
      </w:r>
      <w:r>
        <w:t xml:space="preserve"> </w:t>
      </w:r>
      <w:r w:rsidRPr="00D268C0">
        <w:t>n</w:t>
      </w:r>
      <w:r>
        <w:t>’</w:t>
      </w:r>
      <w:r w:rsidRPr="00D268C0">
        <w:t>auront</w:t>
      </w:r>
      <w:r>
        <w:t xml:space="preserve"> </w:t>
      </w:r>
      <w:r w:rsidRPr="00D268C0">
        <w:t>pas</w:t>
      </w:r>
      <w:r>
        <w:t xml:space="preserve"> </w:t>
      </w:r>
      <w:r w:rsidRPr="00D268C0">
        <w:t>été</w:t>
      </w:r>
      <w:r>
        <w:t xml:space="preserve"> </w:t>
      </w:r>
      <w:r w:rsidRPr="00D268C0">
        <w:t>établies,</w:t>
      </w:r>
      <w:r>
        <w:t xml:space="preserve"> </w:t>
      </w:r>
      <w:r w:rsidRPr="00D268C0">
        <w:t>le</w:t>
      </w:r>
      <w:r>
        <w:t xml:space="preserve"> </w:t>
      </w:r>
      <w:r w:rsidRPr="00D268C0">
        <w:t>constructeur</w:t>
      </w:r>
      <w:r>
        <w:t xml:space="preserve"> </w:t>
      </w:r>
      <w:r w:rsidRPr="00D268C0">
        <w:t>du</w:t>
      </w:r>
      <w:r>
        <w:t xml:space="preserve"> </w:t>
      </w:r>
      <w:r w:rsidRPr="00D268C0">
        <w:t>véhicule</w:t>
      </w:r>
      <w:r>
        <w:t xml:space="preserve"> </w:t>
      </w:r>
      <w:r w:rsidRPr="00D268C0">
        <w:t>devra</w:t>
      </w:r>
      <w:r>
        <w:t> </w:t>
      </w:r>
      <w:r w:rsidRPr="00D268C0">
        <w:t>communiquer</w:t>
      </w:r>
      <w:r>
        <w:t xml:space="preserve"> </w:t>
      </w:r>
      <w:r w:rsidRPr="00D268C0">
        <w:t>au</w:t>
      </w:r>
      <w:r>
        <w:t xml:space="preserve"> </w:t>
      </w:r>
      <w:r w:rsidRPr="00D268C0">
        <w:t>service</w:t>
      </w:r>
      <w:r>
        <w:t xml:space="preserve"> </w:t>
      </w:r>
      <w:r w:rsidRPr="00D268C0">
        <w:t>technique</w:t>
      </w:r>
      <w:r>
        <w:t xml:space="preserve"> </w:t>
      </w:r>
      <w:r w:rsidRPr="00D268C0">
        <w:t>la</w:t>
      </w:r>
      <w:r>
        <w:t xml:space="preserve"> </w:t>
      </w:r>
      <w:r w:rsidRPr="00D268C0">
        <w:t>documentation</w:t>
      </w:r>
      <w:r>
        <w:t xml:space="preserve"> </w:t>
      </w:r>
      <w:r w:rsidRPr="00D268C0">
        <w:t>et</w:t>
      </w:r>
      <w:r>
        <w:t xml:space="preserve"> </w:t>
      </w:r>
      <w:r w:rsidRPr="00D268C0">
        <w:t>les</w:t>
      </w:r>
      <w:r>
        <w:t xml:space="preserve"> </w:t>
      </w:r>
      <w:r w:rsidRPr="00D268C0">
        <w:t>pièces</w:t>
      </w:r>
      <w:r>
        <w:t xml:space="preserve"> </w:t>
      </w:r>
      <w:r w:rsidRPr="00D268C0">
        <w:t>justificatives</w:t>
      </w:r>
      <w:r>
        <w:t xml:space="preserve"> </w:t>
      </w:r>
      <w:r w:rsidRPr="00D268C0">
        <w:t>démontrant</w:t>
      </w:r>
      <w:r>
        <w:t xml:space="preserve"> </w:t>
      </w:r>
      <w:r w:rsidRPr="00D268C0">
        <w:t>la</w:t>
      </w:r>
      <w:r>
        <w:t> </w:t>
      </w:r>
      <w:r w:rsidRPr="00D268C0">
        <w:t>conformité</w:t>
      </w:r>
      <w:r>
        <w:t xml:space="preserve"> </w:t>
      </w:r>
      <w:r w:rsidRPr="00D268C0">
        <w:t>avec</w:t>
      </w:r>
      <w:r>
        <w:t xml:space="preserve"> </w:t>
      </w:r>
      <w:r w:rsidRPr="00D268C0">
        <w:t>ces</w:t>
      </w:r>
      <w:r>
        <w:t xml:space="preserve"> </w:t>
      </w:r>
      <w:r w:rsidRPr="00D268C0">
        <w:t>prescriptions.</w:t>
      </w:r>
      <w:r>
        <w:t xml:space="preserve"> </w:t>
      </w:r>
      <w:r w:rsidRPr="00D268C0">
        <w:t>Les</w:t>
      </w:r>
      <w:r>
        <w:t xml:space="preserve"> </w:t>
      </w:r>
      <w:r w:rsidRPr="00D268C0">
        <w:t>renseignements</w:t>
      </w:r>
      <w:r>
        <w:t xml:space="preserve"> </w:t>
      </w:r>
      <w:r w:rsidRPr="00D268C0">
        <w:t>communiqués</w:t>
      </w:r>
      <w:r>
        <w:t xml:space="preserve"> </w:t>
      </w:r>
      <w:r w:rsidRPr="00D268C0">
        <w:t>devront</w:t>
      </w:r>
      <w:r>
        <w:t xml:space="preserve"> </w:t>
      </w:r>
      <w:r w:rsidRPr="00D268C0">
        <w:t>faire</w:t>
      </w:r>
      <w:r>
        <w:t xml:space="preserve"> </w:t>
      </w:r>
      <w:r w:rsidRPr="00D268C0">
        <w:t>l</w:t>
      </w:r>
      <w:r>
        <w:t>’</w:t>
      </w:r>
      <w:r w:rsidRPr="00D268C0">
        <w:t>objet</w:t>
      </w:r>
      <w:r>
        <w:t xml:space="preserve"> </w:t>
      </w:r>
      <w:r w:rsidRPr="00D268C0">
        <w:t>d</w:t>
      </w:r>
      <w:r>
        <w:t>’</w:t>
      </w:r>
      <w:r w:rsidRPr="00D268C0">
        <w:t>un</w:t>
      </w:r>
      <w:r>
        <w:t> </w:t>
      </w:r>
      <w:r w:rsidRPr="00D268C0">
        <w:t>examen</w:t>
      </w:r>
      <w:r>
        <w:t xml:space="preserve"> </w:t>
      </w:r>
      <w:r w:rsidRPr="00D268C0">
        <w:t>et</w:t>
      </w:r>
      <w:r>
        <w:t xml:space="preserve"> </w:t>
      </w:r>
      <w:r w:rsidRPr="00D268C0">
        <w:t>d</w:t>
      </w:r>
      <w:r>
        <w:t>’</w:t>
      </w:r>
      <w:r w:rsidRPr="00D268C0">
        <w:t>un</w:t>
      </w:r>
      <w:r>
        <w:t xml:space="preserve"> </w:t>
      </w:r>
      <w:r w:rsidRPr="00D268C0">
        <w:t>accord</w:t>
      </w:r>
      <w:r>
        <w:t xml:space="preserve"> </w:t>
      </w:r>
      <w:r w:rsidRPr="00D268C0">
        <w:t>entre</w:t>
      </w:r>
      <w:r>
        <w:t xml:space="preserve"> </w:t>
      </w:r>
      <w:r w:rsidRPr="00D268C0">
        <w:t>le</w:t>
      </w:r>
      <w:r>
        <w:t xml:space="preserve"> </w:t>
      </w:r>
      <w:r w:rsidRPr="00D268C0">
        <w:t>service</w:t>
      </w:r>
      <w:r>
        <w:t xml:space="preserve"> </w:t>
      </w:r>
      <w:r w:rsidRPr="00D268C0">
        <w:t>technique</w:t>
      </w:r>
      <w:r>
        <w:t xml:space="preserve"> </w:t>
      </w:r>
      <w:r w:rsidRPr="00D268C0">
        <w:t>et</w:t>
      </w:r>
      <w:r>
        <w:t xml:space="preserve"> </w:t>
      </w:r>
      <w:r w:rsidRPr="00D268C0">
        <w:t>le</w:t>
      </w:r>
      <w:r>
        <w:t xml:space="preserve"> </w:t>
      </w:r>
      <w:r w:rsidRPr="00D268C0">
        <w:t>constructeur.</w:t>
      </w:r>
    </w:p>
  </w:footnote>
  <w:footnote w:id="6">
    <w:p w:rsidR="00BD1FBA" w:rsidRPr="00D268C0" w:rsidRDefault="00BD1FBA">
      <w:pPr>
        <w:pStyle w:val="FootnoteText"/>
      </w:pPr>
      <w:r w:rsidRPr="00D268C0">
        <w:tab/>
      </w:r>
      <w:r w:rsidRPr="00D268C0">
        <w:rPr>
          <w:rStyle w:val="FootnoteReference"/>
        </w:rPr>
        <w:footnoteRef/>
      </w:r>
      <w:r w:rsidRPr="00D268C0">
        <w:tab/>
      </w:r>
      <w:r w:rsidRPr="00D268C0">
        <w:rPr>
          <w:szCs w:val="18"/>
        </w:rPr>
        <w:t>Numéro</w:t>
      </w:r>
      <w:r>
        <w:rPr>
          <w:szCs w:val="18"/>
        </w:rPr>
        <w:t xml:space="preserve"> </w:t>
      </w:r>
      <w:r w:rsidRPr="00D268C0">
        <w:rPr>
          <w:szCs w:val="18"/>
        </w:rPr>
        <w:t>distinctif</w:t>
      </w:r>
      <w:r>
        <w:rPr>
          <w:szCs w:val="18"/>
        </w:rPr>
        <w:t xml:space="preserve"> </w:t>
      </w:r>
      <w:r w:rsidRPr="00D268C0">
        <w:rPr>
          <w:szCs w:val="18"/>
        </w:rPr>
        <w:t>du</w:t>
      </w:r>
      <w:r>
        <w:rPr>
          <w:szCs w:val="18"/>
        </w:rPr>
        <w:t xml:space="preserve"> </w:t>
      </w:r>
      <w:r w:rsidRPr="00D268C0">
        <w:rPr>
          <w:szCs w:val="18"/>
        </w:rPr>
        <w:t>pays</w:t>
      </w:r>
      <w:r>
        <w:rPr>
          <w:szCs w:val="18"/>
        </w:rPr>
        <w:t xml:space="preserve"> </w:t>
      </w:r>
      <w:r w:rsidRPr="00D268C0">
        <w:rPr>
          <w:szCs w:val="18"/>
        </w:rPr>
        <w:t>qui</w:t>
      </w:r>
      <w:r>
        <w:rPr>
          <w:szCs w:val="18"/>
        </w:rPr>
        <w:t xml:space="preserve"> </w:t>
      </w:r>
      <w:r w:rsidRPr="00D268C0">
        <w:rPr>
          <w:szCs w:val="18"/>
        </w:rPr>
        <w:t>a</w:t>
      </w:r>
      <w:r>
        <w:rPr>
          <w:szCs w:val="18"/>
        </w:rPr>
        <w:t xml:space="preserve"> </w:t>
      </w:r>
      <w:r w:rsidRPr="00D268C0">
        <w:rPr>
          <w:szCs w:val="18"/>
        </w:rPr>
        <w:t>délivré/étendu/refusé/retiré</w:t>
      </w:r>
      <w:r>
        <w:rPr>
          <w:szCs w:val="18"/>
        </w:rPr>
        <w:t xml:space="preserve"> </w:t>
      </w:r>
      <w:r w:rsidRPr="00D268C0">
        <w:rPr>
          <w:szCs w:val="18"/>
        </w:rPr>
        <w:t>l</w:t>
      </w:r>
      <w:r>
        <w:rPr>
          <w:szCs w:val="18"/>
        </w:rPr>
        <w:t>’</w:t>
      </w:r>
      <w:r w:rsidRPr="00D268C0">
        <w:rPr>
          <w:szCs w:val="18"/>
        </w:rPr>
        <w:t>homolog</w:t>
      </w:r>
      <w:r>
        <w:rPr>
          <w:szCs w:val="18"/>
        </w:rPr>
        <w:t>ation (voir les dispositions du </w:t>
      </w:r>
      <w:r w:rsidRPr="00D268C0">
        <w:rPr>
          <w:szCs w:val="18"/>
        </w:rPr>
        <w:t>Règlement</w:t>
      </w:r>
      <w:r>
        <w:rPr>
          <w:szCs w:val="18"/>
        </w:rPr>
        <w:t xml:space="preserve"> </w:t>
      </w:r>
      <w:r w:rsidRPr="00D268C0">
        <w:rPr>
          <w:szCs w:val="18"/>
        </w:rPr>
        <w:t>relatives</w:t>
      </w:r>
      <w:r>
        <w:rPr>
          <w:szCs w:val="18"/>
        </w:rPr>
        <w:t xml:space="preserve"> </w:t>
      </w:r>
      <w:r w:rsidRPr="00D268C0">
        <w:rPr>
          <w:szCs w:val="18"/>
        </w:rPr>
        <w:t>à</w:t>
      </w:r>
      <w:r>
        <w:rPr>
          <w:szCs w:val="18"/>
        </w:rPr>
        <w:t xml:space="preserve"> </w:t>
      </w:r>
      <w:r w:rsidRPr="00D268C0">
        <w:rPr>
          <w:szCs w:val="18"/>
        </w:rPr>
        <w:t>l</w:t>
      </w:r>
      <w:r>
        <w:rPr>
          <w:szCs w:val="18"/>
        </w:rPr>
        <w:t>’</w:t>
      </w:r>
      <w:r w:rsidRPr="00D268C0">
        <w:rPr>
          <w:szCs w:val="18"/>
        </w:rPr>
        <w:t>homologation).</w:t>
      </w:r>
    </w:p>
  </w:footnote>
  <w:footnote w:id="7">
    <w:p w:rsidR="00BD1FBA" w:rsidRPr="00D268C0" w:rsidRDefault="00BD1FBA">
      <w:pPr>
        <w:pStyle w:val="FootnoteText"/>
      </w:pPr>
      <w:r w:rsidRPr="00D268C0">
        <w:tab/>
      </w:r>
      <w:r w:rsidRPr="00D268C0">
        <w:rPr>
          <w:rStyle w:val="FootnoteReference"/>
        </w:rPr>
        <w:footnoteRef/>
      </w:r>
      <w:r w:rsidRPr="00D268C0">
        <w:tab/>
      </w:r>
      <w:r w:rsidRPr="00D268C0">
        <w:rPr>
          <w:szCs w:val="18"/>
        </w:rPr>
        <w:t>Rayer</w:t>
      </w:r>
      <w:r>
        <w:rPr>
          <w:szCs w:val="18"/>
        </w:rPr>
        <w:t xml:space="preserve"> </w:t>
      </w:r>
      <w:r w:rsidRPr="00D268C0">
        <w:rPr>
          <w:szCs w:val="18"/>
        </w:rPr>
        <w:t>la</w:t>
      </w:r>
      <w:r>
        <w:rPr>
          <w:szCs w:val="18"/>
        </w:rPr>
        <w:t xml:space="preserve"> </w:t>
      </w:r>
      <w:r w:rsidRPr="00D268C0">
        <w:rPr>
          <w:szCs w:val="18"/>
        </w:rPr>
        <w:t>mention</w:t>
      </w:r>
      <w:r>
        <w:rPr>
          <w:szCs w:val="18"/>
        </w:rPr>
        <w:t xml:space="preserve"> </w:t>
      </w:r>
      <w:r w:rsidRPr="00D268C0">
        <w:rPr>
          <w:szCs w:val="18"/>
        </w:rPr>
        <w:t>inutile.</w:t>
      </w:r>
    </w:p>
  </w:footnote>
  <w:footnote w:id="8">
    <w:p w:rsidR="00BD1FBA" w:rsidRPr="00D268C0" w:rsidRDefault="00BD1FBA">
      <w:pPr>
        <w:pStyle w:val="FootnoteText"/>
      </w:pPr>
      <w:r w:rsidRPr="00D268C0">
        <w:tab/>
      </w:r>
      <w:r w:rsidRPr="00D268C0">
        <w:rPr>
          <w:rStyle w:val="FootnoteReference"/>
        </w:rPr>
        <w:footnoteRef/>
      </w:r>
      <w:r w:rsidRPr="00D268C0">
        <w:tab/>
        <w:t>Telle</w:t>
      </w:r>
      <w:r>
        <w:t xml:space="preserve"> </w:t>
      </w:r>
      <w:r w:rsidRPr="00D268C0">
        <w:t>qu</w:t>
      </w:r>
      <w:r>
        <w:t>’</w:t>
      </w:r>
      <w:r w:rsidRPr="00D268C0">
        <w:t>elle</w:t>
      </w:r>
      <w:r>
        <w:t xml:space="preserve"> </w:t>
      </w:r>
      <w:r w:rsidRPr="00D268C0">
        <w:t>est</w:t>
      </w:r>
      <w:r>
        <w:t xml:space="preserve"> </w:t>
      </w:r>
      <w:r w:rsidRPr="00D268C0">
        <w:t>définie</w:t>
      </w:r>
      <w:r>
        <w:t xml:space="preserve"> </w:t>
      </w:r>
      <w:r w:rsidRPr="00D268C0">
        <w:t>par</w:t>
      </w:r>
      <w:r>
        <w:t xml:space="preserve"> </w:t>
      </w:r>
      <w:r w:rsidRPr="00D268C0">
        <w:t>le</w:t>
      </w:r>
      <w:r>
        <w:t xml:space="preserve"> </w:t>
      </w:r>
      <w:r w:rsidRPr="00D268C0">
        <w:t>constructeur</w:t>
      </w:r>
      <w:r>
        <w:t xml:space="preserve"> </w:t>
      </w:r>
      <w:r w:rsidRPr="00D268C0">
        <w:t>du</w:t>
      </w:r>
      <w:r>
        <w:t xml:space="preserve"> </w:t>
      </w:r>
      <w:r w:rsidRPr="00D268C0">
        <w:t>véhicule</w:t>
      </w:r>
      <w:r>
        <w:t xml:space="preserve"> </w:t>
      </w:r>
      <w:r w:rsidRPr="00D268C0">
        <w:t>−</w:t>
      </w:r>
      <w:r>
        <w:t xml:space="preserve"> </w:t>
      </w:r>
      <w:r w:rsidRPr="00D268C0">
        <w:t>voir</w:t>
      </w:r>
      <w:r>
        <w:t xml:space="preserve"> </w:t>
      </w:r>
      <w:r w:rsidRPr="00D268C0">
        <w:t>le</w:t>
      </w:r>
      <w:r>
        <w:t xml:space="preserve"> </w:t>
      </w:r>
      <w:r w:rsidRPr="00D268C0">
        <w:t>paragraphe</w:t>
      </w:r>
      <w:r>
        <w:t xml:space="preserve"> </w:t>
      </w:r>
      <w:r w:rsidRPr="00D268C0">
        <w:t>2.3</w:t>
      </w:r>
      <w:r>
        <w:t xml:space="preserve"> </w:t>
      </w:r>
      <w:r w:rsidRPr="00D268C0">
        <w:t>ou</w:t>
      </w:r>
      <w:r>
        <w:t xml:space="preserve"> </w:t>
      </w:r>
      <w:r w:rsidRPr="00D268C0">
        <w:t>3.1</w:t>
      </w:r>
      <w:r>
        <w:t xml:space="preserve"> </w:t>
      </w:r>
      <w:r w:rsidRPr="00D268C0">
        <w:t>de</w:t>
      </w:r>
      <w:r>
        <w:t xml:space="preserve"> </w:t>
      </w:r>
      <w:r w:rsidRPr="00D268C0">
        <w:t>l</w:t>
      </w:r>
      <w:r>
        <w:t>’</w:t>
      </w:r>
      <w:r w:rsidRPr="00D268C0">
        <w:t>annexe</w:t>
      </w:r>
      <w:r>
        <w:t xml:space="preserve"> </w:t>
      </w:r>
      <w:r w:rsidRPr="00D268C0">
        <w:t>7,</w:t>
      </w:r>
      <w:r>
        <w:t xml:space="preserve"> </w:t>
      </w:r>
      <w:r w:rsidRPr="00D268C0">
        <w:t>selon</w:t>
      </w:r>
      <w:r>
        <w:t xml:space="preserve"> </w:t>
      </w:r>
      <w:r w:rsidRPr="00D268C0">
        <w:t>le</w:t>
      </w:r>
      <w:r>
        <w:t xml:space="preserve"> </w:t>
      </w:r>
      <w:r w:rsidRPr="00D268C0">
        <w:t>cas.</w:t>
      </w:r>
    </w:p>
  </w:footnote>
  <w:footnote w:id="9">
    <w:p w:rsidR="00BD1FBA" w:rsidRDefault="00BD1FBA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DE4822">
        <w:rPr>
          <w:szCs w:val="18"/>
          <w:lang w:val="fr-FR"/>
        </w:rPr>
        <w:t>Ce</w:t>
      </w:r>
      <w:r>
        <w:rPr>
          <w:szCs w:val="18"/>
          <w:lang w:val="fr-FR"/>
        </w:rPr>
        <w:t xml:space="preserve"> </w:t>
      </w:r>
      <w:r w:rsidRPr="00DE4822">
        <w:rPr>
          <w:szCs w:val="18"/>
          <w:lang w:val="fr-FR"/>
        </w:rPr>
        <w:t>dernier</w:t>
      </w:r>
      <w:r>
        <w:rPr>
          <w:szCs w:val="18"/>
          <w:lang w:val="fr-FR"/>
        </w:rPr>
        <w:t xml:space="preserve"> </w:t>
      </w:r>
      <w:r w:rsidRPr="00DE4822">
        <w:rPr>
          <w:szCs w:val="18"/>
          <w:lang w:val="fr-FR"/>
        </w:rPr>
        <w:t>numéro</w:t>
      </w:r>
      <w:r>
        <w:rPr>
          <w:szCs w:val="18"/>
          <w:lang w:val="fr-FR"/>
        </w:rPr>
        <w:t xml:space="preserve"> </w:t>
      </w:r>
      <w:r w:rsidRPr="00DE4822">
        <w:rPr>
          <w:szCs w:val="18"/>
          <w:lang w:val="fr-FR"/>
        </w:rPr>
        <w:t>n’est</w:t>
      </w:r>
      <w:r>
        <w:rPr>
          <w:szCs w:val="18"/>
          <w:lang w:val="fr-FR"/>
        </w:rPr>
        <w:t xml:space="preserve"> </w:t>
      </w:r>
      <w:r w:rsidRPr="00DE4822">
        <w:rPr>
          <w:szCs w:val="18"/>
          <w:lang w:val="fr-FR"/>
        </w:rPr>
        <w:t>donné</w:t>
      </w:r>
      <w:r>
        <w:rPr>
          <w:szCs w:val="18"/>
          <w:lang w:val="fr-FR"/>
        </w:rPr>
        <w:t xml:space="preserve"> </w:t>
      </w:r>
      <w:r w:rsidRPr="00DE4822">
        <w:rPr>
          <w:szCs w:val="18"/>
          <w:lang w:val="fr-FR"/>
        </w:rPr>
        <w:t>qu’à</w:t>
      </w:r>
      <w:r>
        <w:rPr>
          <w:szCs w:val="18"/>
          <w:lang w:val="fr-FR"/>
        </w:rPr>
        <w:t xml:space="preserve"> </w:t>
      </w:r>
      <w:r w:rsidRPr="00DE4822">
        <w:rPr>
          <w:szCs w:val="18"/>
          <w:lang w:val="fr-FR"/>
        </w:rPr>
        <w:t>titre</w:t>
      </w:r>
      <w:r>
        <w:rPr>
          <w:szCs w:val="18"/>
          <w:lang w:val="fr-FR"/>
        </w:rPr>
        <w:t xml:space="preserve"> </w:t>
      </w:r>
      <w:r w:rsidRPr="00DE4822">
        <w:rPr>
          <w:szCs w:val="18"/>
          <w:lang w:val="fr-FR"/>
        </w:rPr>
        <w:t>d’exemple.</w:t>
      </w:r>
    </w:p>
  </w:footnote>
  <w:footnote w:id="10">
    <w:p w:rsidR="00BD1FBA" w:rsidRPr="00D268C0" w:rsidRDefault="00BD1FBA" w:rsidP="00AE3647">
      <w:pPr>
        <w:pStyle w:val="FootnoteText"/>
      </w:pPr>
      <w:r>
        <w:tab/>
      </w:r>
      <w:r w:rsidRPr="00D268C0">
        <w:rPr>
          <w:rStyle w:val="FootnoteReference"/>
        </w:rPr>
        <w:footnoteRef/>
      </w:r>
      <w:r>
        <w:tab/>
      </w:r>
      <w:r w:rsidRPr="00D268C0">
        <w:t>Le</w:t>
      </w:r>
      <w:r>
        <w:t xml:space="preserve"> </w:t>
      </w:r>
      <w:r w:rsidRPr="00D268C0">
        <w:t>service</w:t>
      </w:r>
      <w:r>
        <w:t xml:space="preserve"> </w:t>
      </w:r>
      <w:r w:rsidRPr="00D268C0">
        <w:t>technique</w:t>
      </w:r>
      <w:r>
        <w:t xml:space="preserve"> </w:t>
      </w:r>
      <w:r w:rsidRPr="00D268C0">
        <w:t>peut</w:t>
      </w:r>
      <w:r>
        <w:t xml:space="preserve"> </w:t>
      </w:r>
      <w:r w:rsidRPr="00D268C0">
        <w:t>accepter</w:t>
      </w:r>
      <w:r>
        <w:t xml:space="preserve"> </w:t>
      </w:r>
      <w:r w:rsidRPr="00D268C0">
        <w:t>les</w:t>
      </w:r>
      <w:r>
        <w:t xml:space="preserve"> </w:t>
      </w:r>
      <w:r w:rsidRPr="00D268C0">
        <w:t>résultats</w:t>
      </w:r>
      <w:r>
        <w:t xml:space="preserve"> </w:t>
      </w:r>
      <w:r w:rsidRPr="00D268C0">
        <w:t>d</w:t>
      </w:r>
      <w:r>
        <w:t>’</w:t>
      </w:r>
      <w:r w:rsidRPr="00D268C0">
        <w:t>essais</w:t>
      </w:r>
      <w:r>
        <w:t xml:space="preserve"> </w:t>
      </w:r>
      <w:r w:rsidRPr="00D268C0">
        <w:t>fournis</w:t>
      </w:r>
      <w:r>
        <w:t xml:space="preserve"> </w:t>
      </w:r>
      <w:r w:rsidRPr="00D268C0">
        <w:t>par</w:t>
      </w:r>
      <w:r>
        <w:t xml:space="preserve"> </w:t>
      </w:r>
      <w:r w:rsidRPr="00D268C0">
        <w:t>le</w:t>
      </w:r>
      <w:r>
        <w:t xml:space="preserve"> </w:t>
      </w:r>
      <w:r w:rsidRPr="00D268C0">
        <w:t>fabricant</w:t>
      </w:r>
      <w:r>
        <w:t xml:space="preserve"> </w:t>
      </w:r>
      <w:r w:rsidRPr="00D268C0">
        <w:t>de</w:t>
      </w:r>
      <w:r>
        <w:t xml:space="preserve"> </w:t>
      </w:r>
      <w:r w:rsidRPr="00D268C0">
        <w:t>remorques</w:t>
      </w:r>
      <w:r>
        <w:t xml:space="preserve"> </w:t>
      </w:r>
      <w:r w:rsidRPr="00D268C0">
        <w:t>pour</w:t>
      </w:r>
      <w:r>
        <w:t xml:space="preserve"> </w:t>
      </w:r>
      <w:r w:rsidRPr="00D268C0">
        <w:t>démontrer</w:t>
      </w:r>
      <w:r>
        <w:t xml:space="preserve"> </w:t>
      </w:r>
      <w:r w:rsidRPr="00D268C0">
        <w:t>la</w:t>
      </w:r>
      <w:r>
        <w:t xml:space="preserve"> </w:t>
      </w:r>
      <w:r w:rsidRPr="00D268C0">
        <w:t>conformité</w:t>
      </w:r>
      <w:r>
        <w:t xml:space="preserve"> </w:t>
      </w:r>
      <w:r w:rsidRPr="00D268C0">
        <w:t>avec</w:t>
      </w:r>
      <w:r>
        <w:t xml:space="preserve"> </w:t>
      </w:r>
      <w:r w:rsidRPr="00D268C0">
        <w:t>les</w:t>
      </w:r>
      <w:r>
        <w:t xml:space="preserve"> </w:t>
      </w:r>
      <w:r w:rsidRPr="00D268C0">
        <w:t>essais</w:t>
      </w:r>
      <w:r>
        <w:t xml:space="preserve"> </w:t>
      </w:r>
      <w:r w:rsidRPr="00D268C0">
        <w:t>en</w:t>
      </w:r>
      <w:r>
        <w:t xml:space="preserve"> </w:t>
      </w:r>
      <w:r w:rsidRPr="00D268C0">
        <w:t>conditions</w:t>
      </w:r>
      <w:r>
        <w:t xml:space="preserve"> </w:t>
      </w:r>
      <w:r w:rsidRPr="00D268C0">
        <w:t>transitoires.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BA" w:rsidRPr="00B64A2D" w:rsidRDefault="009B6DC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D1FBA">
      <w:t>E/ECE/324/Rev.1/Add.78/Rev.3</w:t>
    </w:r>
    <w:r>
      <w:fldChar w:fldCharType="end"/>
    </w:r>
    <w:r w:rsidR="00BD1FBA">
      <w:br/>
    </w:r>
    <w:r>
      <w:fldChar w:fldCharType="begin"/>
    </w:r>
    <w:r>
      <w:instrText xml:space="preserve"> KEYWORDS  \* MERGEFORMAT </w:instrText>
    </w:r>
    <w:r>
      <w:fldChar w:fldCharType="separate"/>
    </w:r>
    <w:r w:rsidR="00BD1FBA">
      <w:t>E/ECE/TRANS/505/Rev.1/Add.78/Rev.3</w:t>
    </w:r>
    <w: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BA" w:rsidRPr="00C76D6C" w:rsidRDefault="009B6DC7" w:rsidP="00C76D6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D1FBA">
      <w:t>E/ECE/324/Rev.1/Add.78/Rev.3</w:t>
    </w:r>
    <w:r>
      <w:fldChar w:fldCharType="end"/>
    </w:r>
    <w:r w:rsidR="00BD1FBA">
      <w:br/>
    </w:r>
    <w:r>
      <w:fldChar w:fldCharType="begin"/>
    </w:r>
    <w:r>
      <w:instrText xml:space="preserve"> KEYWORDS  \* MERGEFORMAT </w:instrText>
    </w:r>
    <w:r>
      <w:fldChar w:fldCharType="separate"/>
    </w:r>
    <w:r w:rsidR="00BD1FBA">
      <w:t>E/ECE/TRANS/505/Rev.1/Add.78/Rev.3</w:t>
    </w:r>
    <w: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BA" w:rsidRPr="00B972DC" w:rsidRDefault="009B6DC7" w:rsidP="00B972D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D1FBA">
      <w:t>E/ECE/324/Rev.1/Add.78/Rev.3</w:t>
    </w:r>
    <w:r>
      <w:fldChar w:fldCharType="end"/>
    </w:r>
    <w:r w:rsidR="00BD1FBA">
      <w:br/>
    </w:r>
    <w:r>
      <w:fldChar w:fldCharType="begin"/>
    </w:r>
    <w:r>
      <w:instrText xml:space="preserve"> KEYWORDS  \* MERGEFORMAT </w:instrText>
    </w:r>
    <w:r>
      <w:fldChar w:fldCharType="separate"/>
    </w:r>
    <w:r w:rsidR="00BD1FBA">
      <w:t>E/ECE/TRANS/505/Rev.1/Add.78/Rev.3</w:t>
    </w:r>
    <w: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BA" w:rsidRPr="00B972DC" w:rsidRDefault="009B6DC7" w:rsidP="00B972D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D1FBA">
      <w:t>E/ECE/324/Rev.1/Add.78/Rev.3</w:t>
    </w:r>
    <w:r>
      <w:fldChar w:fldCharType="end"/>
    </w:r>
    <w:r w:rsidR="00BD1FBA">
      <w:br/>
    </w:r>
    <w:r>
      <w:fldChar w:fldCharType="begin"/>
    </w:r>
    <w:r>
      <w:instrText xml:space="preserve"> KEYWORDS  \* MERGEFORMAT </w:instrText>
    </w:r>
    <w:r>
      <w:fldChar w:fldCharType="separate"/>
    </w:r>
    <w:r w:rsidR="00BD1FBA">
      <w:t>E/ECE/TRANS/505/Rev.1/Add.78/Rev.3</w:t>
    </w:r>
    <w: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BA" w:rsidRPr="002564BC" w:rsidRDefault="009B6DC7" w:rsidP="002564B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D1FBA">
      <w:t>E/ECE/324/Rev.1/Add.78/Rev.3</w:t>
    </w:r>
    <w:r>
      <w:fldChar w:fldCharType="end"/>
    </w:r>
    <w:r w:rsidR="00BD1FBA">
      <w:br/>
    </w:r>
    <w:r>
      <w:fldChar w:fldCharType="begin"/>
    </w:r>
    <w:r>
      <w:instrText xml:space="preserve"> KEYWORDS  \* MERGEFORMAT </w:instrText>
    </w:r>
    <w:r>
      <w:fldChar w:fldCharType="separate"/>
    </w:r>
    <w:r w:rsidR="00BD1FBA">
      <w:t>E/ECE/TRANS/505/Rev.1/Add.78/Rev.3</w:t>
    </w:r>
    <w: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BA" w:rsidRPr="002564BC" w:rsidRDefault="009B6DC7" w:rsidP="002564B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D1FBA">
      <w:t>E/ECE/324/Rev.1/Add.78/Rev.3</w:t>
    </w:r>
    <w:r>
      <w:fldChar w:fldCharType="end"/>
    </w:r>
    <w:r w:rsidR="00BD1FBA">
      <w:br/>
    </w:r>
    <w:r>
      <w:fldChar w:fldCharType="begin"/>
    </w:r>
    <w:r>
      <w:instrText xml:space="preserve"> KEYWORDS  \* MERGEFORMAT </w:instrText>
    </w:r>
    <w:r>
      <w:fldChar w:fldCharType="separate"/>
    </w:r>
    <w:r w:rsidR="00BD1FBA">
      <w:t>E/ECE/TRANS/505/Rev.1/Add.78/Rev.3</w:t>
    </w:r>
    <w:r>
      <w:fldChar w:fldCharType="end"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BA" w:rsidRPr="00AE3647" w:rsidRDefault="009B6DC7" w:rsidP="00AE364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D1FBA">
      <w:t>E/ECE/324/Rev.1/Add.78/Rev.3</w:t>
    </w:r>
    <w:r>
      <w:fldChar w:fldCharType="end"/>
    </w:r>
    <w:r w:rsidR="00BD1FBA">
      <w:br/>
    </w:r>
    <w:r>
      <w:fldChar w:fldCharType="begin"/>
    </w:r>
    <w:r>
      <w:instrText xml:space="preserve"> KEYWORDS  \* MERGEFORMAT </w:instrText>
    </w:r>
    <w:r>
      <w:fldChar w:fldCharType="separate"/>
    </w:r>
    <w:r w:rsidR="00BD1FBA">
      <w:t>E/ECE/TRANS/505/Rev.1/Add.78/Rev.3</w:t>
    </w:r>
    <w:r>
      <w:fldChar w:fldCharType="end"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BA" w:rsidRPr="00AE3647" w:rsidRDefault="009B6DC7" w:rsidP="00AE364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D1FBA">
      <w:t>E/ECE/324/Rev.1/Add.78/Rev.3</w:t>
    </w:r>
    <w:r>
      <w:fldChar w:fldCharType="end"/>
    </w:r>
    <w:r w:rsidR="00BD1FBA">
      <w:br/>
    </w:r>
    <w:r>
      <w:fldChar w:fldCharType="begin"/>
    </w:r>
    <w:r>
      <w:instrText xml:space="preserve"> KEYWORDS  \* MERGEFORMAT </w:instrText>
    </w:r>
    <w:r>
      <w:fldChar w:fldCharType="separate"/>
    </w:r>
    <w:r w:rsidR="00BD1FBA">
      <w:t>E/ECE/TRANS/505/Rev.1/Add.78/Rev.3</w:t>
    </w:r>
    <w:r>
      <w:fldChar w:fldCharType="end"/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BA" w:rsidRPr="00BF5B7D" w:rsidRDefault="009B6DC7" w:rsidP="00BF5B7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D1FBA">
      <w:t>E/ECE/324/Rev.1/Add.78/Rev.3</w:t>
    </w:r>
    <w:r>
      <w:fldChar w:fldCharType="end"/>
    </w:r>
    <w:r w:rsidR="00BD1FBA">
      <w:br/>
    </w:r>
    <w:r>
      <w:fldChar w:fldCharType="begin"/>
    </w:r>
    <w:r>
      <w:instrText xml:space="preserve"> KEYWORDS  \* MERGEFORMAT </w:instrText>
    </w:r>
    <w:r>
      <w:fldChar w:fldCharType="separate"/>
    </w:r>
    <w:r w:rsidR="00BD1FBA">
      <w:t>E/ECE/TRANS/505/Rev.1/Add.78/Rev.3</w:t>
    </w:r>
    <w:r>
      <w:fldChar w:fldCharType="end"/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BA" w:rsidRPr="00BF5B7D" w:rsidRDefault="009B6DC7" w:rsidP="00BF5B7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D1FBA">
      <w:t>E/ECE/324/Rev.1/Add.78/Rev.3</w:t>
    </w:r>
    <w:r>
      <w:fldChar w:fldCharType="end"/>
    </w:r>
    <w:r w:rsidR="00BD1FBA">
      <w:br/>
    </w:r>
    <w:r>
      <w:fldChar w:fldCharType="begin"/>
    </w:r>
    <w:r>
      <w:instrText xml:space="preserve"> KEYWORDS  \* MERGEFORM</w:instrText>
    </w:r>
    <w:r>
      <w:instrText xml:space="preserve">AT </w:instrText>
    </w:r>
    <w:r>
      <w:fldChar w:fldCharType="separate"/>
    </w:r>
    <w:r w:rsidR="00BD1FBA">
      <w:t>E/ECE/TRANS/505/Rev.1/Add.78/Rev.3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BA" w:rsidRPr="00B64A2D" w:rsidRDefault="009B6DC7" w:rsidP="00B64A2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D1FBA">
      <w:t>E/ECE/324/Rev.1/Add.78/Rev.3</w:t>
    </w:r>
    <w:r>
      <w:fldChar w:fldCharType="end"/>
    </w:r>
    <w:r w:rsidR="00BD1FBA">
      <w:br/>
    </w:r>
    <w:r>
      <w:fldChar w:fldCharType="begin"/>
    </w:r>
    <w:r>
      <w:instrText xml:space="preserve"> KEYWORDS  \* MERGEFORMAT </w:instrText>
    </w:r>
    <w:r>
      <w:fldChar w:fldCharType="separate"/>
    </w:r>
    <w:r w:rsidR="00BD1FBA">
      <w:t>E/ECE/TRANS/505/Rev.1/Add.78/Rev.3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BA" w:rsidRPr="005F0772" w:rsidRDefault="009B6DC7" w:rsidP="005F077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D1FBA">
      <w:t>E/ECE/324/Rev.1/Add.78/Rev.3</w:t>
    </w:r>
    <w:r>
      <w:fldChar w:fldCharType="end"/>
    </w:r>
    <w:r w:rsidR="00BD1FBA">
      <w:br/>
    </w:r>
    <w:r>
      <w:fldChar w:fldCharType="begin"/>
    </w:r>
    <w:r>
      <w:instrText xml:space="preserve"> KEYWORDS  \* MERGEFORMAT </w:instrText>
    </w:r>
    <w:r>
      <w:fldChar w:fldCharType="separate"/>
    </w:r>
    <w:r w:rsidR="00BD1FBA">
      <w:t>E/ECE/TRANS/505/Rev.1/Add.78/Rev.3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BA" w:rsidRPr="005F0772" w:rsidRDefault="009B6DC7" w:rsidP="005F077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D1FBA">
      <w:t>E/ECE/324/Rev.1/Add.78/Rev.3</w:t>
    </w:r>
    <w:r>
      <w:fldChar w:fldCharType="end"/>
    </w:r>
    <w:r w:rsidR="00BD1FBA">
      <w:br/>
    </w:r>
    <w:r>
      <w:fldChar w:fldCharType="begin"/>
    </w:r>
    <w:r>
      <w:instrText xml:space="preserve"> KEYWORDS  \* MERGEFORMAT </w:instrText>
    </w:r>
    <w:r>
      <w:fldChar w:fldCharType="separate"/>
    </w:r>
    <w:r w:rsidR="00BD1FBA">
      <w:t>E/ECE/TRANS/505/Rev.1/Add.78/Rev.3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BA" w:rsidRPr="00D858FA" w:rsidRDefault="009B6DC7" w:rsidP="00D858F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D1FBA">
      <w:t>E/ECE/324/Rev.1/Add.78/Rev.3</w:t>
    </w:r>
    <w:r>
      <w:fldChar w:fldCharType="end"/>
    </w:r>
    <w:r w:rsidR="00BD1FBA">
      <w:br/>
    </w:r>
    <w:r>
      <w:fldChar w:fldCharType="begin"/>
    </w:r>
    <w:r>
      <w:instrText xml:space="preserve"> KEYWORDS  \* MERGEFORMAT </w:instrText>
    </w:r>
    <w:r>
      <w:fldChar w:fldCharType="separate"/>
    </w:r>
    <w:r w:rsidR="00BD1FBA">
      <w:t>E/ECE/TRANS/505/Rev.1/Add.78/Rev.3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BA" w:rsidRPr="00D858FA" w:rsidRDefault="009B6DC7" w:rsidP="00D858F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D1FBA">
      <w:t>E/ECE/324/Rev.1/Add.78/Rev.3</w:t>
    </w:r>
    <w:r>
      <w:fldChar w:fldCharType="end"/>
    </w:r>
    <w:r w:rsidR="00BD1FBA">
      <w:br/>
    </w:r>
    <w:r>
      <w:fldChar w:fldCharType="begin"/>
    </w:r>
    <w:r>
      <w:instrText xml:space="preserve"> KEYWORDS  \* MERGEFORMAT </w:instrText>
    </w:r>
    <w:r>
      <w:fldChar w:fldCharType="separate"/>
    </w:r>
    <w:r w:rsidR="00BD1FBA">
      <w:t>E/ECE/TRANS/505/Rev.1/Add.78/Rev.3</w:t>
    </w:r>
    <w: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BA" w:rsidRPr="00B249BA" w:rsidRDefault="009B6DC7" w:rsidP="00B249B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D1FBA">
      <w:t>E/ECE/324/Rev.1/Add.78/Rev.3</w:t>
    </w:r>
    <w:r>
      <w:fldChar w:fldCharType="end"/>
    </w:r>
    <w:r w:rsidR="00BD1FBA">
      <w:br/>
    </w:r>
    <w:r>
      <w:fldChar w:fldCharType="begin"/>
    </w:r>
    <w:r>
      <w:instrText xml:space="preserve"> KEYWORDS  \* MERGEFORMAT </w:instrText>
    </w:r>
    <w:r>
      <w:fldChar w:fldCharType="separate"/>
    </w:r>
    <w:r w:rsidR="00BD1FBA">
      <w:t>E/ECE/TRANS/505/Rev.1/Add.78/Rev.3</w:t>
    </w:r>
    <w: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BA" w:rsidRPr="00B249BA" w:rsidRDefault="009B6DC7" w:rsidP="00B249B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D1FBA">
      <w:t>E/ECE/324/Rev.1/Add.78/Rev.3</w:t>
    </w:r>
    <w:r>
      <w:fldChar w:fldCharType="end"/>
    </w:r>
    <w:r w:rsidR="00BD1FBA">
      <w:br/>
    </w:r>
    <w:r>
      <w:fldChar w:fldCharType="begin"/>
    </w:r>
    <w:r>
      <w:instrText xml:space="preserve"> KEYWORDS  \* MERGEFORMAT </w:instrText>
    </w:r>
    <w:r>
      <w:fldChar w:fldCharType="separate"/>
    </w:r>
    <w:r w:rsidR="00BD1FBA">
      <w:t>E/ECE/TRANS/505/Rev.1/Add.78/Rev.3</w:t>
    </w:r>
    <w: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BA" w:rsidRPr="00C76D6C" w:rsidRDefault="009B6DC7" w:rsidP="00C76D6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D1FBA">
      <w:t>E/ECE/324/Rev.1/Add.78/Rev.3</w:t>
    </w:r>
    <w:r>
      <w:fldChar w:fldCharType="end"/>
    </w:r>
    <w:r w:rsidR="00BD1FBA">
      <w:br/>
    </w:r>
    <w:r>
      <w:fldChar w:fldCharType="begin"/>
    </w:r>
    <w:r>
      <w:instrText xml:space="preserve"> KEYWORDS  \* MERGEFORMAT </w:instrText>
    </w:r>
    <w:r>
      <w:fldChar w:fldCharType="separate"/>
    </w:r>
    <w:r w:rsidR="00BD1FBA">
      <w:t>E/ECE/TRANS/505/Rev.1/Add.78/Rev.3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63804"/>
    <w:multiLevelType w:val="hybridMultilevel"/>
    <w:tmpl w:val="3FD65930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659F0"/>
    <w:multiLevelType w:val="hybridMultilevel"/>
    <w:tmpl w:val="49A6FBA2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525F52A1"/>
    <w:multiLevelType w:val="hybridMultilevel"/>
    <w:tmpl w:val="654C8C62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7AFB38E9"/>
    <w:multiLevelType w:val="hybridMultilevel"/>
    <w:tmpl w:val="E74A8170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5"/>
  </w:num>
  <w:num w:numId="5">
    <w:abstractNumId w:val="13"/>
  </w:num>
  <w:num w:numId="6">
    <w:abstractNumId w:val="10"/>
  </w:num>
  <w:num w:numId="7">
    <w:abstractNumId w:val="14"/>
  </w:num>
  <w:num w:numId="8">
    <w:abstractNumId w:val="12"/>
  </w:num>
  <w:num w:numId="9">
    <w:abstractNumId w:val="11"/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F4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6736"/>
    <w:rsid w:val="00027188"/>
    <w:rsid w:val="000276A3"/>
    <w:rsid w:val="00032060"/>
    <w:rsid w:val="00033C0C"/>
    <w:rsid w:val="00034ED9"/>
    <w:rsid w:val="00036698"/>
    <w:rsid w:val="00040539"/>
    <w:rsid w:val="00040598"/>
    <w:rsid w:val="000433AF"/>
    <w:rsid w:val="000476D9"/>
    <w:rsid w:val="00047F10"/>
    <w:rsid w:val="00052157"/>
    <w:rsid w:val="0005346D"/>
    <w:rsid w:val="00055FE4"/>
    <w:rsid w:val="000641CE"/>
    <w:rsid w:val="00067310"/>
    <w:rsid w:val="00077E35"/>
    <w:rsid w:val="000831BF"/>
    <w:rsid w:val="0008669E"/>
    <w:rsid w:val="00086E31"/>
    <w:rsid w:val="00090599"/>
    <w:rsid w:val="00096228"/>
    <w:rsid w:val="000A1501"/>
    <w:rsid w:val="000A2494"/>
    <w:rsid w:val="000A6B7E"/>
    <w:rsid w:val="000B20D3"/>
    <w:rsid w:val="000B58B2"/>
    <w:rsid w:val="000C6CDB"/>
    <w:rsid w:val="000D43FE"/>
    <w:rsid w:val="000D5C25"/>
    <w:rsid w:val="000E4F06"/>
    <w:rsid w:val="000E5601"/>
    <w:rsid w:val="000E5602"/>
    <w:rsid w:val="000E7298"/>
    <w:rsid w:val="000F41F2"/>
    <w:rsid w:val="0010373B"/>
    <w:rsid w:val="0010726E"/>
    <w:rsid w:val="0011415F"/>
    <w:rsid w:val="00114B63"/>
    <w:rsid w:val="00116CCE"/>
    <w:rsid w:val="00125446"/>
    <w:rsid w:val="001358D9"/>
    <w:rsid w:val="00135D4B"/>
    <w:rsid w:val="00141E26"/>
    <w:rsid w:val="00143EB9"/>
    <w:rsid w:val="00146C63"/>
    <w:rsid w:val="00152C5A"/>
    <w:rsid w:val="0015389C"/>
    <w:rsid w:val="00157FB2"/>
    <w:rsid w:val="00160540"/>
    <w:rsid w:val="00165385"/>
    <w:rsid w:val="00166C68"/>
    <w:rsid w:val="00171974"/>
    <w:rsid w:val="00174814"/>
    <w:rsid w:val="00181A90"/>
    <w:rsid w:val="00190D5D"/>
    <w:rsid w:val="00192EEB"/>
    <w:rsid w:val="00194484"/>
    <w:rsid w:val="001947D9"/>
    <w:rsid w:val="0019577E"/>
    <w:rsid w:val="00196EA8"/>
    <w:rsid w:val="001A2040"/>
    <w:rsid w:val="001A20FB"/>
    <w:rsid w:val="001A252F"/>
    <w:rsid w:val="001A376F"/>
    <w:rsid w:val="001A7A21"/>
    <w:rsid w:val="001B088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56EA"/>
    <w:rsid w:val="001E653B"/>
    <w:rsid w:val="001E6DF0"/>
    <w:rsid w:val="001F3E68"/>
    <w:rsid w:val="001F4931"/>
    <w:rsid w:val="001F4BCB"/>
    <w:rsid w:val="002000CD"/>
    <w:rsid w:val="00200CBA"/>
    <w:rsid w:val="00204256"/>
    <w:rsid w:val="00204B66"/>
    <w:rsid w:val="002059CE"/>
    <w:rsid w:val="00206AD4"/>
    <w:rsid w:val="002159B6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564BC"/>
    <w:rsid w:val="00262A8D"/>
    <w:rsid w:val="002659F1"/>
    <w:rsid w:val="00271E41"/>
    <w:rsid w:val="00284C19"/>
    <w:rsid w:val="00286E23"/>
    <w:rsid w:val="002876A1"/>
    <w:rsid w:val="00287CA6"/>
    <w:rsid w:val="00287E79"/>
    <w:rsid w:val="00290AFA"/>
    <w:rsid w:val="00290E92"/>
    <w:rsid w:val="002928F9"/>
    <w:rsid w:val="00294D5B"/>
    <w:rsid w:val="00295DBD"/>
    <w:rsid w:val="0029791D"/>
    <w:rsid w:val="002A2A2C"/>
    <w:rsid w:val="002A5D07"/>
    <w:rsid w:val="002A7EA0"/>
    <w:rsid w:val="002D25CA"/>
    <w:rsid w:val="002D3DA4"/>
    <w:rsid w:val="002D7088"/>
    <w:rsid w:val="002E2F5C"/>
    <w:rsid w:val="002F0C48"/>
    <w:rsid w:val="003016B7"/>
    <w:rsid w:val="00304EEA"/>
    <w:rsid w:val="0030754C"/>
    <w:rsid w:val="00317E54"/>
    <w:rsid w:val="00322DF1"/>
    <w:rsid w:val="0032426B"/>
    <w:rsid w:val="00324EBF"/>
    <w:rsid w:val="0032556C"/>
    <w:rsid w:val="00330508"/>
    <w:rsid w:val="0033286A"/>
    <w:rsid w:val="00333130"/>
    <w:rsid w:val="00346E32"/>
    <w:rsid w:val="003515AA"/>
    <w:rsid w:val="00352850"/>
    <w:rsid w:val="00364F13"/>
    <w:rsid w:val="0036776C"/>
    <w:rsid w:val="00370223"/>
    <w:rsid w:val="00372A7A"/>
    <w:rsid w:val="00372D1D"/>
    <w:rsid w:val="00374106"/>
    <w:rsid w:val="0037679A"/>
    <w:rsid w:val="003775F6"/>
    <w:rsid w:val="0038047C"/>
    <w:rsid w:val="00390EEF"/>
    <w:rsid w:val="00394410"/>
    <w:rsid w:val="003976D5"/>
    <w:rsid w:val="003B53B6"/>
    <w:rsid w:val="003C1755"/>
    <w:rsid w:val="003C4A24"/>
    <w:rsid w:val="003C72CC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1E9B"/>
    <w:rsid w:val="00413BB0"/>
    <w:rsid w:val="004159D0"/>
    <w:rsid w:val="00417326"/>
    <w:rsid w:val="00421A10"/>
    <w:rsid w:val="00422499"/>
    <w:rsid w:val="00424BBB"/>
    <w:rsid w:val="00430EFC"/>
    <w:rsid w:val="00432A26"/>
    <w:rsid w:val="004342E2"/>
    <w:rsid w:val="00434354"/>
    <w:rsid w:val="00440BC8"/>
    <w:rsid w:val="00442E31"/>
    <w:rsid w:val="004435F4"/>
    <w:rsid w:val="00446B1C"/>
    <w:rsid w:val="00454F8D"/>
    <w:rsid w:val="004567EB"/>
    <w:rsid w:val="00457676"/>
    <w:rsid w:val="00460E72"/>
    <w:rsid w:val="00463D13"/>
    <w:rsid w:val="00464191"/>
    <w:rsid w:val="00467412"/>
    <w:rsid w:val="00467F2C"/>
    <w:rsid w:val="0047182E"/>
    <w:rsid w:val="00476265"/>
    <w:rsid w:val="00480F72"/>
    <w:rsid w:val="004837F6"/>
    <w:rsid w:val="0048687D"/>
    <w:rsid w:val="00490F56"/>
    <w:rsid w:val="00491F39"/>
    <w:rsid w:val="004A34D7"/>
    <w:rsid w:val="004A49A5"/>
    <w:rsid w:val="004A5F51"/>
    <w:rsid w:val="004A66A2"/>
    <w:rsid w:val="004A6CFE"/>
    <w:rsid w:val="004B07A3"/>
    <w:rsid w:val="004B0C37"/>
    <w:rsid w:val="004B261D"/>
    <w:rsid w:val="004B51CD"/>
    <w:rsid w:val="004B576C"/>
    <w:rsid w:val="004B7AAC"/>
    <w:rsid w:val="004C54C0"/>
    <w:rsid w:val="004C56B2"/>
    <w:rsid w:val="004C6F4A"/>
    <w:rsid w:val="004D00B2"/>
    <w:rsid w:val="004D083B"/>
    <w:rsid w:val="004D15A8"/>
    <w:rsid w:val="004E3182"/>
    <w:rsid w:val="004E4963"/>
    <w:rsid w:val="004E6809"/>
    <w:rsid w:val="004E7881"/>
    <w:rsid w:val="004E7F24"/>
    <w:rsid w:val="004F2896"/>
    <w:rsid w:val="004F6943"/>
    <w:rsid w:val="005111B1"/>
    <w:rsid w:val="005138E1"/>
    <w:rsid w:val="0051457E"/>
    <w:rsid w:val="0051714B"/>
    <w:rsid w:val="00520F80"/>
    <w:rsid w:val="005239FF"/>
    <w:rsid w:val="00523DB8"/>
    <w:rsid w:val="005259CE"/>
    <w:rsid w:val="005317B9"/>
    <w:rsid w:val="00533150"/>
    <w:rsid w:val="00543B57"/>
    <w:rsid w:val="00543C47"/>
    <w:rsid w:val="00543D5E"/>
    <w:rsid w:val="00552260"/>
    <w:rsid w:val="00552777"/>
    <w:rsid w:val="00555494"/>
    <w:rsid w:val="0055574A"/>
    <w:rsid w:val="00555CBA"/>
    <w:rsid w:val="00556C1A"/>
    <w:rsid w:val="00563B4A"/>
    <w:rsid w:val="00565B29"/>
    <w:rsid w:val="00571BC1"/>
    <w:rsid w:val="00571F41"/>
    <w:rsid w:val="00573B27"/>
    <w:rsid w:val="00575476"/>
    <w:rsid w:val="00583A20"/>
    <w:rsid w:val="00583B02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0772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416C"/>
    <w:rsid w:val="00654ECA"/>
    <w:rsid w:val="006553F9"/>
    <w:rsid w:val="00661E96"/>
    <w:rsid w:val="00665786"/>
    <w:rsid w:val="00671C93"/>
    <w:rsid w:val="00671F00"/>
    <w:rsid w:val="006729C8"/>
    <w:rsid w:val="00675501"/>
    <w:rsid w:val="006763DC"/>
    <w:rsid w:val="0068562A"/>
    <w:rsid w:val="00693EB2"/>
    <w:rsid w:val="006A6B31"/>
    <w:rsid w:val="006A6C95"/>
    <w:rsid w:val="006A7B29"/>
    <w:rsid w:val="006B0EB2"/>
    <w:rsid w:val="006B0FF8"/>
    <w:rsid w:val="006B259A"/>
    <w:rsid w:val="006B4590"/>
    <w:rsid w:val="006C340C"/>
    <w:rsid w:val="006D02E8"/>
    <w:rsid w:val="006E29E5"/>
    <w:rsid w:val="006E737B"/>
    <w:rsid w:val="006F1D0B"/>
    <w:rsid w:val="006F27A8"/>
    <w:rsid w:val="006F3493"/>
    <w:rsid w:val="006F3544"/>
    <w:rsid w:val="00700A8B"/>
    <w:rsid w:val="0070347C"/>
    <w:rsid w:val="007102D2"/>
    <w:rsid w:val="00711609"/>
    <w:rsid w:val="00714A66"/>
    <w:rsid w:val="007176C1"/>
    <w:rsid w:val="00720BC0"/>
    <w:rsid w:val="0072116B"/>
    <w:rsid w:val="00725063"/>
    <w:rsid w:val="00732813"/>
    <w:rsid w:val="00732E72"/>
    <w:rsid w:val="00741D90"/>
    <w:rsid w:val="00755D4F"/>
    <w:rsid w:val="007607B1"/>
    <w:rsid w:val="00765296"/>
    <w:rsid w:val="00766D28"/>
    <w:rsid w:val="007722BD"/>
    <w:rsid w:val="007723C2"/>
    <w:rsid w:val="00776521"/>
    <w:rsid w:val="00776E1B"/>
    <w:rsid w:val="007815B9"/>
    <w:rsid w:val="00783E82"/>
    <w:rsid w:val="00784E83"/>
    <w:rsid w:val="00785F1F"/>
    <w:rsid w:val="007869B6"/>
    <w:rsid w:val="00790B9D"/>
    <w:rsid w:val="00796316"/>
    <w:rsid w:val="007A1C58"/>
    <w:rsid w:val="007A20D2"/>
    <w:rsid w:val="007A68CE"/>
    <w:rsid w:val="007A79CD"/>
    <w:rsid w:val="007C16EA"/>
    <w:rsid w:val="007D2668"/>
    <w:rsid w:val="007D3119"/>
    <w:rsid w:val="007E212C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6509F"/>
    <w:rsid w:val="00867FCB"/>
    <w:rsid w:val="0087754E"/>
    <w:rsid w:val="00880ECE"/>
    <w:rsid w:val="00881435"/>
    <w:rsid w:val="0088674D"/>
    <w:rsid w:val="00895DE5"/>
    <w:rsid w:val="008963D3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13DE"/>
    <w:rsid w:val="008E4DE2"/>
    <w:rsid w:val="008E6252"/>
    <w:rsid w:val="008E7CE2"/>
    <w:rsid w:val="008E7FAE"/>
    <w:rsid w:val="008F019C"/>
    <w:rsid w:val="008F40AA"/>
    <w:rsid w:val="00911BF7"/>
    <w:rsid w:val="0091594A"/>
    <w:rsid w:val="00916075"/>
    <w:rsid w:val="009230F1"/>
    <w:rsid w:val="00926925"/>
    <w:rsid w:val="00934BA7"/>
    <w:rsid w:val="00935490"/>
    <w:rsid w:val="009418DE"/>
    <w:rsid w:val="009516B7"/>
    <w:rsid w:val="0095387F"/>
    <w:rsid w:val="009545F1"/>
    <w:rsid w:val="00957CE5"/>
    <w:rsid w:val="009624E2"/>
    <w:rsid w:val="009707E4"/>
    <w:rsid w:val="00973B8F"/>
    <w:rsid w:val="00974DD2"/>
    <w:rsid w:val="00977EC8"/>
    <w:rsid w:val="0098585B"/>
    <w:rsid w:val="00987FB3"/>
    <w:rsid w:val="009946EA"/>
    <w:rsid w:val="00996562"/>
    <w:rsid w:val="00997C08"/>
    <w:rsid w:val="009A3048"/>
    <w:rsid w:val="009A6C26"/>
    <w:rsid w:val="009B06DA"/>
    <w:rsid w:val="009B17AD"/>
    <w:rsid w:val="009B2E72"/>
    <w:rsid w:val="009B31CF"/>
    <w:rsid w:val="009B3976"/>
    <w:rsid w:val="009B3F8C"/>
    <w:rsid w:val="009B45E0"/>
    <w:rsid w:val="009B540F"/>
    <w:rsid w:val="009B5CD8"/>
    <w:rsid w:val="009B6DC7"/>
    <w:rsid w:val="009D336D"/>
    <w:rsid w:val="009D3A8C"/>
    <w:rsid w:val="009E1BA9"/>
    <w:rsid w:val="009E2876"/>
    <w:rsid w:val="009E2F0B"/>
    <w:rsid w:val="009E32B6"/>
    <w:rsid w:val="009E7956"/>
    <w:rsid w:val="009F072F"/>
    <w:rsid w:val="009F26C1"/>
    <w:rsid w:val="009F3F95"/>
    <w:rsid w:val="009F6F51"/>
    <w:rsid w:val="00A023FC"/>
    <w:rsid w:val="00A0338D"/>
    <w:rsid w:val="00A0354D"/>
    <w:rsid w:val="00A05DD1"/>
    <w:rsid w:val="00A077E9"/>
    <w:rsid w:val="00A120AF"/>
    <w:rsid w:val="00A148BB"/>
    <w:rsid w:val="00A2492E"/>
    <w:rsid w:val="00A27C92"/>
    <w:rsid w:val="00A31163"/>
    <w:rsid w:val="00A34593"/>
    <w:rsid w:val="00A364DB"/>
    <w:rsid w:val="00A45907"/>
    <w:rsid w:val="00A45E90"/>
    <w:rsid w:val="00A46FEA"/>
    <w:rsid w:val="00A4770F"/>
    <w:rsid w:val="00A47CBD"/>
    <w:rsid w:val="00A50921"/>
    <w:rsid w:val="00A50D6B"/>
    <w:rsid w:val="00A51050"/>
    <w:rsid w:val="00A56945"/>
    <w:rsid w:val="00A57027"/>
    <w:rsid w:val="00A5750C"/>
    <w:rsid w:val="00A72C35"/>
    <w:rsid w:val="00A752BB"/>
    <w:rsid w:val="00A81F93"/>
    <w:rsid w:val="00A91344"/>
    <w:rsid w:val="00A9247E"/>
    <w:rsid w:val="00AA0DCA"/>
    <w:rsid w:val="00AA28FF"/>
    <w:rsid w:val="00AA7796"/>
    <w:rsid w:val="00AB4628"/>
    <w:rsid w:val="00AC67A1"/>
    <w:rsid w:val="00AC7977"/>
    <w:rsid w:val="00AC7E56"/>
    <w:rsid w:val="00AE2617"/>
    <w:rsid w:val="00AE352C"/>
    <w:rsid w:val="00AE3647"/>
    <w:rsid w:val="00AE39A5"/>
    <w:rsid w:val="00AE79AC"/>
    <w:rsid w:val="00AF1CAF"/>
    <w:rsid w:val="00AF5FD8"/>
    <w:rsid w:val="00B002F9"/>
    <w:rsid w:val="00B01AAD"/>
    <w:rsid w:val="00B101DB"/>
    <w:rsid w:val="00B13E4F"/>
    <w:rsid w:val="00B21751"/>
    <w:rsid w:val="00B249BA"/>
    <w:rsid w:val="00B256F0"/>
    <w:rsid w:val="00B31D7D"/>
    <w:rsid w:val="00B32E2D"/>
    <w:rsid w:val="00B330FF"/>
    <w:rsid w:val="00B338A1"/>
    <w:rsid w:val="00B416B8"/>
    <w:rsid w:val="00B42351"/>
    <w:rsid w:val="00B42829"/>
    <w:rsid w:val="00B43741"/>
    <w:rsid w:val="00B45642"/>
    <w:rsid w:val="00B5196D"/>
    <w:rsid w:val="00B52F29"/>
    <w:rsid w:val="00B5388D"/>
    <w:rsid w:val="00B61990"/>
    <w:rsid w:val="00B6249B"/>
    <w:rsid w:val="00B64A2D"/>
    <w:rsid w:val="00B70CCD"/>
    <w:rsid w:val="00B75E66"/>
    <w:rsid w:val="00B766B9"/>
    <w:rsid w:val="00B7682C"/>
    <w:rsid w:val="00B773BF"/>
    <w:rsid w:val="00B77763"/>
    <w:rsid w:val="00B83B57"/>
    <w:rsid w:val="00B93517"/>
    <w:rsid w:val="00B972DC"/>
    <w:rsid w:val="00BC13B0"/>
    <w:rsid w:val="00BC3F20"/>
    <w:rsid w:val="00BC76F0"/>
    <w:rsid w:val="00BD13E6"/>
    <w:rsid w:val="00BD1FBA"/>
    <w:rsid w:val="00BD28B2"/>
    <w:rsid w:val="00BD5A8D"/>
    <w:rsid w:val="00BD7343"/>
    <w:rsid w:val="00BF0556"/>
    <w:rsid w:val="00BF1C7D"/>
    <w:rsid w:val="00BF37EE"/>
    <w:rsid w:val="00BF3FEB"/>
    <w:rsid w:val="00BF5B7D"/>
    <w:rsid w:val="00C024A1"/>
    <w:rsid w:val="00C02C42"/>
    <w:rsid w:val="00C07DBC"/>
    <w:rsid w:val="00C10FB1"/>
    <w:rsid w:val="00C11282"/>
    <w:rsid w:val="00C117F6"/>
    <w:rsid w:val="00C11C8D"/>
    <w:rsid w:val="00C12BE8"/>
    <w:rsid w:val="00C14108"/>
    <w:rsid w:val="00C20735"/>
    <w:rsid w:val="00C261F8"/>
    <w:rsid w:val="00C27662"/>
    <w:rsid w:val="00C32914"/>
    <w:rsid w:val="00C33100"/>
    <w:rsid w:val="00C3451D"/>
    <w:rsid w:val="00C42EDB"/>
    <w:rsid w:val="00C451B9"/>
    <w:rsid w:val="00C4594F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76D6C"/>
    <w:rsid w:val="00C825E5"/>
    <w:rsid w:val="00C95EB8"/>
    <w:rsid w:val="00CA0756"/>
    <w:rsid w:val="00CB02C5"/>
    <w:rsid w:val="00CB0D41"/>
    <w:rsid w:val="00CB37A9"/>
    <w:rsid w:val="00CB39CD"/>
    <w:rsid w:val="00CC2A62"/>
    <w:rsid w:val="00CC63FD"/>
    <w:rsid w:val="00CC7CE6"/>
    <w:rsid w:val="00CD044C"/>
    <w:rsid w:val="00CD1A71"/>
    <w:rsid w:val="00CD1FBB"/>
    <w:rsid w:val="00CD5EC5"/>
    <w:rsid w:val="00CE033D"/>
    <w:rsid w:val="00CE08E5"/>
    <w:rsid w:val="00CE5E2D"/>
    <w:rsid w:val="00CF02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68C0"/>
    <w:rsid w:val="00D26D9C"/>
    <w:rsid w:val="00D27D5E"/>
    <w:rsid w:val="00D32B08"/>
    <w:rsid w:val="00D407D1"/>
    <w:rsid w:val="00D40914"/>
    <w:rsid w:val="00D43E5F"/>
    <w:rsid w:val="00D51CE6"/>
    <w:rsid w:val="00D559A4"/>
    <w:rsid w:val="00D639BD"/>
    <w:rsid w:val="00D643A6"/>
    <w:rsid w:val="00D65777"/>
    <w:rsid w:val="00D66E0D"/>
    <w:rsid w:val="00D672D3"/>
    <w:rsid w:val="00D67D23"/>
    <w:rsid w:val="00D7425A"/>
    <w:rsid w:val="00D74F7E"/>
    <w:rsid w:val="00D7695F"/>
    <w:rsid w:val="00D858FA"/>
    <w:rsid w:val="00D85F49"/>
    <w:rsid w:val="00D9039B"/>
    <w:rsid w:val="00D9072D"/>
    <w:rsid w:val="00D93582"/>
    <w:rsid w:val="00DA0D64"/>
    <w:rsid w:val="00DA41A2"/>
    <w:rsid w:val="00DA43A1"/>
    <w:rsid w:val="00DA5E1D"/>
    <w:rsid w:val="00DB01CD"/>
    <w:rsid w:val="00DB1F4E"/>
    <w:rsid w:val="00DB7C78"/>
    <w:rsid w:val="00DC161C"/>
    <w:rsid w:val="00DC3628"/>
    <w:rsid w:val="00DC4F43"/>
    <w:rsid w:val="00DE083E"/>
    <w:rsid w:val="00DE4822"/>
    <w:rsid w:val="00DE6D90"/>
    <w:rsid w:val="00DF002F"/>
    <w:rsid w:val="00DF2F8E"/>
    <w:rsid w:val="00E0244D"/>
    <w:rsid w:val="00E026DF"/>
    <w:rsid w:val="00E02F48"/>
    <w:rsid w:val="00E03712"/>
    <w:rsid w:val="00E06B3F"/>
    <w:rsid w:val="00E10A73"/>
    <w:rsid w:val="00E12B2E"/>
    <w:rsid w:val="00E14F27"/>
    <w:rsid w:val="00E171D2"/>
    <w:rsid w:val="00E2171F"/>
    <w:rsid w:val="00E25534"/>
    <w:rsid w:val="00E319B6"/>
    <w:rsid w:val="00E32145"/>
    <w:rsid w:val="00E32E15"/>
    <w:rsid w:val="00E32F5A"/>
    <w:rsid w:val="00E331D3"/>
    <w:rsid w:val="00E33761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67EB"/>
    <w:rsid w:val="00E97E2C"/>
    <w:rsid w:val="00EA3B1D"/>
    <w:rsid w:val="00EA71C5"/>
    <w:rsid w:val="00EB0752"/>
    <w:rsid w:val="00EB1034"/>
    <w:rsid w:val="00EB77B9"/>
    <w:rsid w:val="00EB7D07"/>
    <w:rsid w:val="00EC442C"/>
    <w:rsid w:val="00EC66DF"/>
    <w:rsid w:val="00ED2173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26C86"/>
    <w:rsid w:val="00F32ADB"/>
    <w:rsid w:val="00F32C98"/>
    <w:rsid w:val="00F37E12"/>
    <w:rsid w:val="00F424BD"/>
    <w:rsid w:val="00F431FA"/>
    <w:rsid w:val="00F4527A"/>
    <w:rsid w:val="00F45D41"/>
    <w:rsid w:val="00F515AD"/>
    <w:rsid w:val="00F52084"/>
    <w:rsid w:val="00F54705"/>
    <w:rsid w:val="00F57DD7"/>
    <w:rsid w:val="00F636AD"/>
    <w:rsid w:val="00F70BDB"/>
    <w:rsid w:val="00F734D9"/>
    <w:rsid w:val="00F73BE1"/>
    <w:rsid w:val="00F73F83"/>
    <w:rsid w:val="00F74289"/>
    <w:rsid w:val="00F74902"/>
    <w:rsid w:val="00F85A4E"/>
    <w:rsid w:val="00F87466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0933"/>
    <w:rsid w:val="00FD5E64"/>
    <w:rsid w:val="00FD7985"/>
    <w:rsid w:val="00FE6526"/>
    <w:rsid w:val="00FF1DBD"/>
    <w:rsid w:val="00FF1E4B"/>
    <w:rsid w:val="00FF33E4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9CF0A774-1792-4464-A401-76D2D3B8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rsid w:val="0048687D"/>
    <w:rPr>
      <w:color w:val="0000FF"/>
      <w:u w:val="none"/>
    </w:rPr>
  </w:style>
  <w:style w:type="character" w:styleId="FollowedHyperlink">
    <w:name w:val="FollowedHyperlink"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paragraph" w:styleId="BodyText">
    <w:name w:val="Body Text"/>
    <w:basedOn w:val="Normal"/>
    <w:link w:val="BodyTextChar"/>
    <w:semiHidden/>
    <w:rsid w:val="00352850"/>
    <w:pPr>
      <w:suppressAutoHyphens w:val="0"/>
      <w:kinsoku/>
      <w:overflowPunct/>
      <w:autoSpaceDE/>
      <w:autoSpaceDN/>
      <w:adjustRightInd/>
      <w:snapToGrid/>
      <w:spacing w:after="240" w:line="240" w:lineRule="auto"/>
      <w:jc w:val="center"/>
    </w:pPr>
    <w:rPr>
      <w:rFonts w:eastAsia="Times New Roman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352850"/>
    <w:rPr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D643A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643A6"/>
    <w:rPr>
      <w:rFonts w:eastAsiaTheme="minorHAnsi"/>
      <w:sz w:val="16"/>
      <w:szCs w:val="16"/>
      <w:lang w:val="fr-CH"/>
    </w:rPr>
  </w:style>
  <w:style w:type="paragraph" w:styleId="PlainText">
    <w:name w:val="Plain Text"/>
    <w:basedOn w:val="Normal"/>
    <w:link w:val="PlainTextChar"/>
    <w:semiHidden/>
    <w:rsid w:val="00D643A6"/>
    <w:pPr>
      <w:widowControl w:val="0"/>
      <w:suppressAutoHyphens w:val="0"/>
      <w:kinsoku/>
      <w:snapToGrid/>
      <w:spacing w:line="240" w:lineRule="auto"/>
      <w:textAlignment w:val="baseline"/>
    </w:pPr>
    <w:rPr>
      <w:rFonts w:ascii="Courier New" w:eastAsia="Times New Roman" w:hAnsi="Courier New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D643A6"/>
    <w:rPr>
      <w:rFonts w:ascii="Courier New" w:hAnsi="Courier New"/>
      <w:lang w:val="en-GB"/>
    </w:rPr>
  </w:style>
  <w:style w:type="paragraph" w:styleId="BodyTextIndent">
    <w:name w:val="Body Text Indent"/>
    <w:basedOn w:val="Normal"/>
    <w:link w:val="BodyTextIndentChar"/>
    <w:semiHidden/>
    <w:rsid w:val="00D643A6"/>
    <w:pPr>
      <w:suppressAutoHyphens w:val="0"/>
      <w:kinsoku/>
      <w:overflowPunct/>
      <w:autoSpaceDE/>
      <w:autoSpaceDN/>
      <w:adjustRightInd/>
      <w:snapToGrid/>
      <w:spacing w:after="240" w:line="240" w:lineRule="auto"/>
      <w:ind w:left="1134" w:hanging="1134"/>
      <w:jc w:val="both"/>
    </w:pPr>
    <w:rPr>
      <w:rFonts w:eastAsia="Times New Roman"/>
      <w:lang w:val="fr-FR" w:eastAsia="fr-FR"/>
    </w:rPr>
  </w:style>
  <w:style w:type="character" w:customStyle="1" w:styleId="BodyTextIndentChar">
    <w:name w:val="Body Text Indent Char"/>
    <w:basedOn w:val="DefaultParagraphFont"/>
    <w:link w:val="BodyTextIndent"/>
    <w:semiHidden/>
    <w:rsid w:val="00D643A6"/>
    <w:rPr>
      <w:lang w:val="fr-FR" w:eastAsia="fr-FR"/>
    </w:rPr>
  </w:style>
  <w:style w:type="paragraph" w:styleId="BodyTextIndent2">
    <w:name w:val="Body Text Indent 2"/>
    <w:basedOn w:val="Normal"/>
    <w:link w:val="BodyTextIndent2Char"/>
    <w:semiHidden/>
    <w:rsid w:val="00D643A6"/>
    <w:pPr>
      <w:suppressAutoHyphens w:val="0"/>
      <w:kinsoku/>
      <w:overflowPunct/>
      <w:autoSpaceDE/>
      <w:autoSpaceDN/>
      <w:adjustRightInd/>
      <w:snapToGrid/>
      <w:spacing w:after="240" w:line="240" w:lineRule="auto"/>
      <w:ind w:left="1134"/>
      <w:jc w:val="both"/>
    </w:pPr>
    <w:rPr>
      <w:rFonts w:eastAsia="Times New Roman"/>
      <w:lang w:val="fr-FR" w:eastAsia="fr-F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643A6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header" Target="header8.xml"/><Relationship Id="rId39" Type="http://schemas.openxmlformats.org/officeDocument/2006/relationships/footer" Target="footer1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header" Target="header12.xml"/><Relationship Id="rId42" Type="http://schemas.openxmlformats.org/officeDocument/2006/relationships/header" Target="header16.xml"/><Relationship Id="rId47" Type="http://schemas.openxmlformats.org/officeDocument/2006/relationships/footer" Target="footer18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38" Type="http://schemas.openxmlformats.org/officeDocument/2006/relationships/header" Target="header14.xml"/><Relationship Id="rId46" Type="http://schemas.openxmlformats.org/officeDocument/2006/relationships/header" Target="header18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6.png"/><Relationship Id="rId29" Type="http://schemas.openxmlformats.org/officeDocument/2006/relationships/header" Target="header9.xml"/><Relationship Id="rId41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3.xml"/><Relationship Id="rId40" Type="http://schemas.openxmlformats.org/officeDocument/2006/relationships/footer" Target="footer15.xml"/><Relationship Id="rId45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49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10.xml"/><Relationship Id="rId44" Type="http://schemas.openxmlformats.org/officeDocument/2006/relationships/footer" Target="footer1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header" Target="header10.xml"/><Relationship Id="rId35" Type="http://schemas.openxmlformats.org/officeDocument/2006/relationships/footer" Target="footer12.xml"/><Relationship Id="rId43" Type="http://schemas.openxmlformats.org/officeDocument/2006/relationships/footer" Target="footer16.xml"/><Relationship Id="rId48" Type="http://schemas.openxmlformats.org/officeDocument/2006/relationships/footer" Target="footer19.xml"/><Relationship Id="rId8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wp29resolution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FFDF5-FC11-486B-A701-E73A9CA8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16518</Words>
  <Characters>94155</Characters>
  <Application>Microsoft Office Word</Application>
  <DocSecurity>0</DocSecurity>
  <Lines>784</Lines>
  <Paragraphs>220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7</vt:i4>
      </vt:variant>
    </vt:vector>
  </HeadingPairs>
  <TitlesOfParts>
    <vt:vector size="9" baseType="lpstr">
      <vt:lpstr>E/ECE/324/Rev.1/Add.78/Rev.3</vt:lpstr>
      <vt:lpstr>E/ECE/324/Rev.1/Add.78/Rev.3</vt:lpstr>
      <vt:lpstr>Tableau 1</vt:lpstr>
      <vt:lpstr>Tableau 2 Prescriptions concernant l’effort à la commande de direction</vt:lpstr>
      <vt:lpstr>Modèle A (Voir le paragraphe 4.4 du présent Règlement)</vt:lpstr>
      <vt:lpstr>Modèle B (Voir le paragraphe 4.5 du présent Règlement)</vt:lpstr>
      <vt:lpstr>Tableau 3</vt:lpstr>
      <vt:lpstr>Tableau 4 Efficacité du frein de secours et efficacité résiduelle</vt:lpstr>
      <vt:lpstr>Tableau 5</vt:lpstr>
    </vt:vector>
  </TitlesOfParts>
  <Company>CSD</Company>
  <LinksUpToDate>false</LinksUpToDate>
  <CharactersWithSpaces>110453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E/ECE/324/Rev.1/Add.78/Rev.3</dc:title>
  <dc:creator>Nicolas MORIN</dc:creator>
  <cp:keywords>E/ECE/TRANS/505/Rev.1/Add.78/Rev.3</cp:keywords>
  <cp:lastModifiedBy>Caillot</cp:lastModifiedBy>
  <cp:revision>2</cp:revision>
  <cp:lastPrinted>2018-03-13T13:24:00Z</cp:lastPrinted>
  <dcterms:created xsi:type="dcterms:W3CDTF">2018-04-19T14:19:00Z</dcterms:created>
  <dcterms:modified xsi:type="dcterms:W3CDTF">2018-04-19T14:19:00Z</dcterms:modified>
</cp:coreProperties>
</file>