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DC12C7" w:rsidRPr="00407242" w:rsidTr="00A474D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DC12C7" w:rsidRDefault="00DC12C7" w:rsidP="006444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DC12C7" w:rsidRPr="006444E8" w:rsidRDefault="00DC12C7" w:rsidP="006444E8">
            <w:pPr>
              <w:jc w:val="right"/>
              <w:rPr>
                <w:lang w:val="en-US"/>
              </w:rPr>
            </w:pPr>
            <w:r w:rsidRPr="006444E8">
              <w:rPr>
                <w:sz w:val="40"/>
                <w:lang w:val="en-US"/>
              </w:rPr>
              <w:t>E</w:t>
            </w:r>
            <w:r w:rsidRPr="006444E8">
              <w:rPr>
                <w:lang w:val="en-US"/>
              </w:rPr>
              <w:t>/ECE/324/Rev.1/Add.74/Rev.2/Amend.3</w:t>
            </w:r>
            <w:r w:rsidRPr="006444E8">
              <w:rPr>
                <w:rFonts w:cs="Times New Roman"/>
                <w:lang w:val="en-US"/>
              </w:rPr>
              <w:t>−</w:t>
            </w:r>
            <w:r w:rsidRPr="006444E8">
              <w:rPr>
                <w:sz w:val="40"/>
                <w:lang w:val="en-US"/>
              </w:rPr>
              <w:t>E</w:t>
            </w:r>
            <w:r w:rsidRPr="006444E8">
              <w:rPr>
                <w:lang w:val="en-US"/>
              </w:rPr>
              <w:t>/ECE/TRANS/505/Rev.1/Add.74/Rev.2/Amend.3</w:t>
            </w:r>
          </w:p>
        </w:tc>
      </w:tr>
      <w:tr w:rsidR="002D5AAC" w:rsidRPr="00DC12C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07242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07242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6444E8" w:rsidRDefault="006444E8" w:rsidP="00DC12C7">
            <w:pPr>
              <w:spacing w:before="960" w:after="100" w:afterAutospacing="1"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6444E8" w:rsidRPr="008D53B6" w:rsidRDefault="006444E8" w:rsidP="006444E8">
            <w:pPr>
              <w:spacing w:line="240" w:lineRule="exact"/>
              <w:rPr>
                <w:lang w:val="en-US"/>
              </w:rPr>
            </w:pPr>
          </w:p>
        </w:tc>
      </w:tr>
    </w:tbl>
    <w:p w:rsidR="006444E8" w:rsidRPr="001C3156" w:rsidRDefault="006444E8" w:rsidP="006444E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6444E8" w:rsidRPr="001C3156" w:rsidRDefault="006444E8" w:rsidP="006444E8">
      <w:pPr>
        <w:pStyle w:val="H1GR"/>
      </w:pPr>
      <w:r>
        <w:tab/>
      </w:r>
      <w:r w:rsidRPr="001C3156">
        <w:tab/>
        <w:t>О принятии единообразных технических предписаний для</w:t>
      </w:r>
      <w:r w:rsidR="007D3C8C">
        <w:rPr>
          <w:lang w:val="en-US"/>
        </w:rPr>
        <w:t> </w:t>
      </w:r>
      <w:r w:rsidRPr="001C3156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7D3C8C" w:rsidRPr="007D3C8C">
        <w:br/>
      </w:r>
      <w:r w:rsidRPr="001C3156">
        <w:t>и об условиях взаимного признания официальных утверждений, выдаваемых на основе этих предписаний</w:t>
      </w:r>
      <w:r w:rsidRPr="001C3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  <w:vertAlign w:val="baseline"/>
        </w:rPr>
        <w:t xml:space="preserve"> </w:t>
      </w:r>
    </w:p>
    <w:p w:rsidR="006444E8" w:rsidRPr="007E1458" w:rsidRDefault="006444E8" w:rsidP="006444E8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6444E8" w:rsidRPr="002F4142" w:rsidRDefault="006444E8" w:rsidP="006444E8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6444E8" w:rsidRPr="00B40045" w:rsidRDefault="006444E8" w:rsidP="006444E8">
      <w:pPr>
        <w:pStyle w:val="H1GR"/>
      </w:pPr>
      <w:r>
        <w:tab/>
      </w:r>
      <w:r>
        <w:tab/>
        <w:t>Добавление 74: Правила № 75</w:t>
      </w:r>
    </w:p>
    <w:p w:rsidR="006444E8" w:rsidRPr="00A4052C" w:rsidRDefault="006444E8" w:rsidP="006444E8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>
        <w:rPr>
          <w:bCs/>
          <w:szCs w:val="24"/>
        </w:rPr>
        <w:t>2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>
        <w:rPr>
          <w:bCs/>
          <w:szCs w:val="24"/>
        </w:rPr>
        <w:t>3</w:t>
      </w:r>
    </w:p>
    <w:p w:rsidR="006444E8" w:rsidRPr="001C3156" w:rsidRDefault="006444E8" w:rsidP="006444E8">
      <w:pPr>
        <w:pStyle w:val="SingleTxtGR"/>
      </w:pPr>
      <w:r w:rsidRPr="001C3156">
        <w:t xml:space="preserve">Дополнение </w:t>
      </w:r>
      <w:r w:rsidRPr="00A4052C">
        <w:t>1</w:t>
      </w:r>
      <w:r>
        <w:t>6</w:t>
      </w:r>
      <w:r w:rsidRPr="001C3156">
        <w:t xml:space="preserve"> к </w:t>
      </w:r>
      <w:r>
        <w:t>первоначальному тексту Правил</w:t>
      </w:r>
      <w:r w:rsidRPr="001C3156">
        <w:t xml:space="preserve"> – Дата вступления в силу: 9</w:t>
      </w:r>
      <w:r w:rsidR="0094066D">
        <w:rPr>
          <w:lang w:val="en-US"/>
        </w:rPr>
        <w:t> </w:t>
      </w:r>
      <w:r w:rsidRPr="001C3156">
        <w:t>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6444E8" w:rsidRPr="00B40045" w:rsidRDefault="006444E8" w:rsidP="006444E8">
      <w:pPr>
        <w:pStyle w:val="H1GR"/>
      </w:pPr>
      <w:r w:rsidRPr="0072507D">
        <w:tab/>
      </w:r>
      <w:r w:rsidRPr="0072507D">
        <w:tab/>
      </w:r>
      <w:r w:rsidRPr="004B08B5">
        <w:t xml:space="preserve">Единообразные предписания, касающиеся официального утверждения пневматических шин для </w:t>
      </w:r>
      <w:r>
        <w:t>транспортных средств категории L</w:t>
      </w:r>
    </w:p>
    <w:p w:rsidR="006444E8" w:rsidRDefault="006444E8" w:rsidP="006444E8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="0094066D" w:rsidRPr="0094066D">
        <w:rPr>
          <w:lang w:eastAsia="en-GB"/>
        </w:rPr>
        <w:br/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>55</w:t>
      </w:r>
      <w:r w:rsidRPr="00E81284">
        <w:rPr>
          <w:lang w:eastAsia="en-GB"/>
        </w:rPr>
        <w:t>.</w:t>
      </w:r>
    </w:p>
    <w:p w:rsidR="006444E8" w:rsidRPr="006F57FA" w:rsidRDefault="006444E8" w:rsidP="006444E8">
      <w:pPr>
        <w:pStyle w:val="SingleTxtGR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6444E8" w:rsidRDefault="006444E8" w:rsidP="006444E8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64206350" wp14:editId="498EE0C8">
            <wp:extent cx="799017" cy="642174"/>
            <wp:effectExtent l="0" t="0" r="1270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4E8" w:rsidRDefault="006444E8" w:rsidP="006444E8">
      <w:pPr>
        <w:pStyle w:val="SingleTxtGR"/>
        <w:jc w:val="center"/>
        <w:rPr>
          <w:lang w:eastAsia="en-GB"/>
        </w:rPr>
      </w:pPr>
      <w:r w:rsidRPr="007E1458">
        <w:rPr>
          <w:b/>
        </w:rPr>
        <w:t>ОРГАНИЗАЦИЯ ОБЪЕДИНЕННЫХ НАЦИЙ</w:t>
      </w:r>
    </w:p>
    <w:p w:rsidR="006444E8" w:rsidRPr="00A90FAA" w:rsidRDefault="006444E8" w:rsidP="00DC12C7">
      <w:pPr>
        <w:pStyle w:val="SingleTxtGR"/>
        <w:pageBreakBefore/>
      </w:pPr>
      <w:r w:rsidRPr="00A90FAA">
        <w:rPr>
          <w:i/>
        </w:rPr>
        <w:lastRenderedPageBreak/>
        <w:t xml:space="preserve">Пункт 6.1.1.1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6444E8" w:rsidRPr="00A90FAA" w:rsidRDefault="006444E8" w:rsidP="006444E8">
      <w:pPr>
        <w:pStyle w:val="SingleTxtGR"/>
      </w:pPr>
      <w:r w:rsidRPr="00A90FAA">
        <w:t>«6.1.1.1</w:t>
      </w:r>
      <w:r w:rsidRPr="00A90FAA">
        <w:tab/>
        <w:t>Ширину профиля рассчитывают по следующей формуле:</w:t>
      </w:r>
    </w:p>
    <w:p w:rsidR="006444E8" w:rsidRPr="00A90FAA" w:rsidRDefault="006444E8" w:rsidP="006444E8">
      <w:pPr>
        <w:pStyle w:val="SingleTxtGR"/>
      </w:pPr>
      <w:r w:rsidRPr="00A90FAA">
        <w:tab/>
      </w:r>
      <w:r w:rsidRPr="00A90FAA">
        <w:tab/>
      </w:r>
      <w:r w:rsidRPr="007F6F8F">
        <w:tab/>
      </w:r>
      <w:r w:rsidRPr="007F6F8F">
        <w:tab/>
      </w:r>
      <w:r w:rsidRPr="007F6F8F">
        <w:tab/>
      </w:r>
      <w:r w:rsidRPr="00A90FAA">
        <w:rPr>
          <w:lang w:val="en-GB"/>
        </w:rPr>
        <w:t>S</w:t>
      </w:r>
      <w:r w:rsidRPr="00A90FAA">
        <w:t xml:space="preserve"> = </w:t>
      </w:r>
      <w:r w:rsidRPr="00A90FAA">
        <w:rPr>
          <w:lang w:val="en-GB"/>
        </w:rPr>
        <w:t>S</w:t>
      </w:r>
      <w:r w:rsidRPr="00A90FAA">
        <w:rPr>
          <w:vertAlign w:val="subscript"/>
        </w:rPr>
        <w:t>1</w:t>
      </w:r>
      <w:r w:rsidRPr="00A90FAA">
        <w:t xml:space="preserve"> + </w:t>
      </w:r>
      <w:r w:rsidRPr="00A90FAA">
        <w:rPr>
          <w:lang w:val="en-GB"/>
        </w:rPr>
        <w:t>K</w:t>
      </w:r>
      <w:r w:rsidRPr="00A90FAA">
        <w:t xml:space="preserve"> (</w:t>
      </w:r>
      <w:r w:rsidRPr="00A90FAA">
        <w:rPr>
          <w:lang w:val="en-GB"/>
        </w:rPr>
        <w:t>A</w:t>
      </w:r>
      <w:r w:rsidRPr="00A90FAA">
        <w:t>-</w:t>
      </w:r>
      <w:r w:rsidRPr="00A90FAA">
        <w:rPr>
          <w:lang w:val="en-GB"/>
        </w:rPr>
        <w:t>A</w:t>
      </w:r>
      <w:r w:rsidRPr="00A90FAA">
        <w:rPr>
          <w:vertAlign w:val="subscript"/>
        </w:rPr>
        <w:t>1</w:t>
      </w:r>
      <w:r w:rsidRPr="00A90FAA">
        <w:t>),</w:t>
      </w:r>
    </w:p>
    <w:p w:rsidR="006444E8" w:rsidRPr="00A90FAA" w:rsidRDefault="006444E8" w:rsidP="006444E8">
      <w:pPr>
        <w:pStyle w:val="SingleTxtGR"/>
      </w:pPr>
      <w:r w:rsidRPr="00A90FAA">
        <w:tab/>
      </w:r>
      <w:r w:rsidRPr="00A90FAA">
        <w:tab/>
        <w:t>где: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S</w:t>
      </w:r>
      <w:r w:rsidRPr="00A90FAA">
        <w:tab/>
        <w:t>−</w:t>
      </w:r>
      <w:r w:rsidRPr="00A90FAA">
        <w:tab/>
        <w:t xml:space="preserve">«ширина профиля», </w:t>
      </w:r>
      <w:r w:rsidRPr="00A90FAA">
        <w:rPr>
          <w:bCs/>
        </w:rPr>
        <w:t>округленная до целого миллиметра</w:t>
      </w:r>
      <w:r w:rsidRPr="00A90FAA">
        <w:t xml:space="preserve"> и измеренная на измерительном ободе;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S</w:t>
      </w:r>
      <w:r w:rsidRPr="00A90FAA">
        <w:rPr>
          <w:vertAlign w:val="subscript"/>
        </w:rPr>
        <w:t>1</w:t>
      </w:r>
      <w:r w:rsidRPr="00A90FAA">
        <w:tab/>
        <w:t>−</w:t>
      </w:r>
      <w:r w:rsidRPr="00A90FAA">
        <w:tab/>
        <w:t>«номинальная ширина профиля» (в мм), указанная на боковине шины в ее обозначении в соответствии с предписаниями;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A</w:t>
      </w:r>
      <w:r w:rsidRPr="00A90FAA">
        <w:tab/>
        <w:t>−</w:t>
      </w:r>
      <w:r w:rsidRPr="00A90FAA">
        <w:tab/>
        <w:t>ширина (выраженная в мм) измерительного обода, указанная изготовителем в техническом описании;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268"/>
      </w:pPr>
      <w:r w:rsidRPr="00A90FAA">
        <w:rPr>
          <w:lang w:val="en-GB"/>
        </w:rPr>
        <w:t>A</w:t>
      </w:r>
      <w:r w:rsidRPr="00A90FAA">
        <w:rPr>
          <w:vertAlign w:val="subscript"/>
        </w:rPr>
        <w:t>1</w:t>
      </w:r>
      <w:r w:rsidRPr="00A90FAA">
        <w:tab/>
        <w:t>−</w:t>
      </w:r>
      <w:r w:rsidRPr="00A90FAA">
        <w:tab/>
        <w:t>ширина (выраженная в мм) теоретического обода.</w:t>
      </w:r>
    </w:p>
    <w:p w:rsidR="006444E8" w:rsidRPr="00A90FAA" w:rsidRDefault="006444E8" w:rsidP="006444E8">
      <w:pPr>
        <w:pStyle w:val="SingleTxtGR"/>
        <w:ind w:left="2835" w:hanging="567"/>
      </w:pPr>
      <w:r>
        <w:tab/>
      </w:r>
      <w:r w:rsidRPr="00A90FAA">
        <w:rPr>
          <w:lang w:val="en-GB"/>
        </w:rPr>
        <w:t>A</w:t>
      </w:r>
      <w:r w:rsidRPr="00A90FAA">
        <w:rPr>
          <w:vertAlign w:val="subscript"/>
        </w:rPr>
        <w:t>1</w:t>
      </w:r>
      <w:r w:rsidRPr="00A90FAA">
        <w:t xml:space="preserve"> принимают равной </w:t>
      </w:r>
      <w:r w:rsidRPr="00A90FAA">
        <w:rPr>
          <w:lang w:val="en-GB"/>
        </w:rPr>
        <w:t>S</w:t>
      </w:r>
      <w:r w:rsidRPr="00A90FAA">
        <w:rPr>
          <w:vertAlign w:val="subscript"/>
        </w:rPr>
        <w:t>1</w:t>
      </w:r>
      <w:r w:rsidRPr="00A90FAA">
        <w:t>, умноженной на коэффициент Х, указанный изготовителем;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268"/>
      </w:pPr>
      <w:r w:rsidRPr="00A90FAA">
        <w:rPr>
          <w:lang w:val="en-GB"/>
        </w:rPr>
        <w:t>K</w:t>
      </w:r>
      <w:r w:rsidRPr="00A90FAA">
        <w:tab/>
        <w:t>−</w:t>
      </w:r>
      <w:r w:rsidRPr="00A90FAA">
        <w:tab/>
        <w:t>принимают равным</w:t>
      </w:r>
      <w:r w:rsidRPr="00A90FAA">
        <w:rPr>
          <w:lang w:val="en-GB"/>
        </w:rPr>
        <w:t> </w:t>
      </w:r>
      <w:r w:rsidRPr="00A90FAA">
        <w:t>0,4».</w:t>
      </w:r>
    </w:p>
    <w:p w:rsidR="006444E8" w:rsidRPr="00A90FAA" w:rsidRDefault="006444E8" w:rsidP="006444E8">
      <w:pPr>
        <w:pStyle w:val="SingleTxtGR"/>
      </w:pPr>
      <w:r w:rsidRPr="00A90FAA">
        <w:rPr>
          <w:i/>
        </w:rPr>
        <w:t xml:space="preserve">Пункт 6.1.2.1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6444E8" w:rsidRPr="00A90FAA" w:rsidRDefault="006444E8" w:rsidP="006444E8">
      <w:pPr>
        <w:pStyle w:val="SingleTxtGR"/>
      </w:pPr>
      <w:r w:rsidRPr="00A90FAA">
        <w:t>«6.1.2.1</w:t>
      </w:r>
      <w:r w:rsidRPr="00A90FAA">
        <w:tab/>
        <w:t>Наружный диаметр шины рассчитывают по следующей формуле:</w:t>
      </w:r>
    </w:p>
    <w:p w:rsidR="006444E8" w:rsidRPr="00A90FAA" w:rsidRDefault="006444E8" w:rsidP="006444E8">
      <w:pPr>
        <w:pStyle w:val="SingleTxtGR"/>
      </w:pPr>
      <w:r w:rsidRPr="00A90FAA">
        <w:tab/>
      </w:r>
      <w:r w:rsidRPr="00A90FAA">
        <w:tab/>
      </w:r>
      <w:r w:rsidRPr="007F6F8F">
        <w:tab/>
      </w:r>
      <w:r w:rsidRPr="007F6F8F">
        <w:tab/>
      </w:r>
      <w:r w:rsidRPr="007F6F8F">
        <w:tab/>
      </w:r>
      <w:r w:rsidRPr="00A90FAA">
        <w:rPr>
          <w:lang w:val="en-GB"/>
        </w:rPr>
        <w:t>D</w:t>
      </w:r>
      <w:r w:rsidRPr="00A90FAA">
        <w:t xml:space="preserve"> = </w:t>
      </w:r>
      <w:r w:rsidRPr="00A90FAA">
        <w:rPr>
          <w:lang w:val="en-GB"/>
        </w:rPr>
        <w:t>d</w:t>
      </w:r>
      <w:r w:rsidRPr="00A90FAA">
        <w:t xml:space="preserve"> + 2</w:t>
      </w:r>
      <w:r w:rsidRPr="00A90FAA">
        <w:rPr>
          <w:lang w:val="en-GB"/>
        </w:rPr>
        <w:t>H</w:t>
      </w:r>
      <w:r w:rsidRPr="00A90FAA">
        <w:t>,</w:t>
      </w:r>
    </w:p>
    <w:p w:rsidR="006444E8" w:rsidRPr="00A90FAA" w:rsidRDefault="006444E8" w:rsidP="006444E8">
      <w:pPr>
        <w:pStyle w:val="SingleTxtGR"/>
      </w:pPr>
      <w:r w:rsidRPr="00A90FAA">
        <w:tab/>
      </w:r>
      <w:r w:rsidRPr="00A90FAA">
        <w:tab/>
        <w:t>где: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268"/>
      </w:pPr>
      <w:r w:rsidRPr="00A90FAA">
        <w:t>D</w:t>
      </w:r>
      <w:r w:rsidRPr="00A90FAA">
        <w:tab/>
        <w:t>−</w:t>
      </w:r>
      <w:r w:rsidRPr="00A90FAA">
        <w:tab/>
        <w:t>наружный диаметр в мм;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835" w:hanging="567"/>
      </w:pPr>
      <w:r w:rsidRPr="00A90FAA">
        <w:rPr>
          <w:lang w:val="en-GB"/>
        </w:rPr>
        <w:t>d</w:t>
      </w:r>
      <w:r w:rsidRPr="00A90FAA">
        <w:tab/>
        <w:t>−</w:t>
      </w:r>
      <w:r w:rsidRPr="00A90FAA">
        <w:tab/>
      </w:r>
      <w:r w:rsidRPr="00A90FAA">
        <w:rPr>
          <w:bCs/>
        </w:rPr>
        <w:t>номинальный диаметр обода</w:t>
      </w:r>
      <w:r w:rsidRPr="00A90FAA">
        <w:t>, указанн</w:t>
      </w:r>
      <w:r w:rsidRPr="00A90FAA">
        <w:rPr>
          <w:bCs/>
        </w:rPr>
        <w:t>ый</w:t>
      </w:r>
      <w:r w:rsidRPr="00A90FAA">
        <w:t xml:space="preserve"> в пункте 2.16.3 выше и выраженный в мм;</w:t>
      </w:r>
    </w:p>
    <w:p w:rsidR="006444E8" w:rsidRPr="00A90FAA" w:rsidRDefault="006444E8" w:rsidP="006444E8">
      <w:pPr>
        <w:pStyle w:val="SingleTxtGR"/>
        <w:tabs>
          <w:tab w:val="left" w:pos="2552"/>
        </w:tabs>
        <w:ind w:left="2835" w:hanging="567"/>
      </w:pPr>
      <w:r w:rsidRPr="00A90FAA">
        <w:t>H</w:t>
      </w:r>
      <w:r w:rsidRPr="00A90FAA">
        <w:tab/>
        <w:t>−</w:t>
      </w:r>
      <w:r w:rsidRPr="00A90FAA">
        <w:tab/>
        <w:t xml:space="preserve">номинальная высота </w:t>
      </w:r>
      <w:r>
        <w:t>профиля</w:t>
      </w:r>
      <w:r w:rsidRPr="00A90FAA">
        <w:t xml:space="preserve">, округленная до целого миллиметра и равная </w:t>
      </w:r>
    </w:p>
    <w:p w:rsidR="006444E8" w:rsidRPr="00A90FAA" w:rsidRDefault="006444E8" w:rsidP="006444E8">
      <w:pPr>
        <w:pStyle w:val="SingleTxtGR"/>
        <w:tabs>
          <w:tab w:val="left" w:pos="3119"/>
        </w:tabs>
        <w:ind w:left="2835"/>
      </w:pPr>
      <w:r w:rsidRPr="00A90FAA">
        <w:t xml:space="preserve">H </w:t>
      </w:r>
      <w:r w:rsidRPr="00A90FAA">
        <w:tab/>
        <w:t xml:space="preserve">= </w:t>
      </w:r>
      <w:r w:rsidRPr="00A90FAA">
        <w:tab/>
        <w:t>S</w:t>
      </w:r>
      <w:r w:rsidRPr="00A90FAA">
        <w:rPr>
          <w:vertAlign w:val="subscript"/>
        </w:rPr>
        <w:t>1</w:t>
      </w:r>
      <w:r w:rsidRPr="00A90FAA">
        <w:t xml:space="preserve"> x 0,01 Ra, где</w:t>
      </w:r>
    </w:p>
    <w:p w:rsidR="006444E8" w:rsidRPr="00A90FAA" w:rsidRDefault="006444E8" w:rsidP="006444E8">
      <w:pPr>
        <w:pStyle w:val="SingleTxtGR"/>
        <w:tabs>
          <w:tab w:val="left" w:pos="3119"/>
        </w:tabs>
        <w:ind w:left="2835"/>
      </w:pPr>
      <w:r w:rsidRPr="00A90FAA">
        <w:t>S</w:t>
      </w:r>
      <w:r w:rsidRPr="00A90FAA">
        <w:rPr>
          <w:vertAlign w:val="subscript"/>
        </w:rPr>
        <w:t>1</w:t>
      </w:r>
      <w:r w:rsidRPr="00A90FAA">
        <w:tab/>
        <w:t>−</w:t>
      </w:r>
      <w:r w:rsidRPr="00A90FAA">
        <w:tab/>
        <w:t>номинальная ширина профиля в мм;</w:t>
      </w:r>
    </w:p>
    <w:p w:rsidR="006444E8" w:rsidRPr="00A90FAA" w:rsidRDefault="006444E8" w:rsidP="006444E8">
      <w:pPr>
        <w:pStyle w:val="SingleTxtGR"/>
        <w:tabs>
          <w:tab w:val="left" w:pos="3119"/>
        </w:tabs>
        <w:ind w:left="3402" w:hanging="567"/>
      </w:pPr>
      <w:r w:rsidRPr="00A90FAA">
        <w:t>Ra</w:t>
      </w:r>
      <w:r w:rsidRPr="00A90FAA">
        <w:tab/>
        <w:t>−</w:t>
      </w:r>
      <w:r w:rsidRPr="00A90FAA">
        <w:tab/>
        <w:t>номинальное отношение высоты профиля к его ширине;</w:t>
      </w:r>
    </w:p>
    <w:p w:rsidR="006444E8" w:rsidRPr="00A90FAA" w:rsidRDefault="006444E8" w:rsidP="006444E8">
      <w:pPr>
        <w:pStyle w:val="SingleTxtGR"/>
        <w:ind w:left="2268"/>
      </w:pPr>
      <w:r w:rsidRPr="00A90FAA">
        <w:t>как они указаны на боковине шины в обозначении ее размеров в соответствии с предписаниями пункта 3.4 выше».</w:t>
      </w:r>
    </w:p>
    <w:p w:rsidR="006444E8" w:rsidRPr="00BA57B1" w:rsidRDefault="006444E8" w:rsidP="006444E8">
      <w:pPr>
        <w:pStyle w:val="SingleTxtGR"/>
        <w:rPr>
          <w:i/>
        </w:rPr>
      </w:pPr>
      <w:r w:rsidRPr="00A90FAA">
        <w:t xml:space="preserve">В тексте на английском языке </w:t>
      </w:r>
      <w:r w:rsidRPr="00A90FAA">
        <w:rPr>
          <w:i/>
          <w:iCs/>
        </w:rPr>
        <w:t>пункт</w:t>
      </w:r>
      <w:r w:rsidRPr="00A90FAA">
        <w:t xml:space="preserve"> </w:t>
      </w:r>
      <w:r w:rsidRPr="00A90FAA">
        <w:rPr>
          <w:i/>
        </w:rPr>
        <w:t>6.1.4</w:t>
      </w:r>
      <w:r>
        <w:rPr>
          <w:i/>
        </w:rPr>
        <w:t xml:space="preserve"> </w:t>
      </w:r>
      <w:r>
        <w:rPr>
          <w:iCs/>
        </w:rPr>
        <w:t>читать следующим образом</w:t>
      </w:r>
      <w:r w:rsidRPr="00A90FAA">
        <w:t>:</w:t>
      </w:r>
    </w:p>
    <w:p w:rsidR="006444E8" w:rsidRPr="00A90FAA" w:rsidRDefault="006444E8" w:rsidP="006444E8">
      <w:pPr>
        <w:pStyle w:val="SingleTxtGR"/>
      </w:pPr>
      <w:r w:rsidRPr="00A90FAA">
        <w:t>«6.1.4</w:t>
      </w:r>
      <w:r w:rsidRPr="00A90FAA">
        <w:tab/>
      </w:r>
      <w:r w:rsidRPr="007F6F8F">
        <w:tab/>
      </w:r>
      <w:r w:rsidRPr="00A90FAA">
        <w:rPr>
          <w:lang w:val="en-GB"/>
        </w:rPr>
        <w:t>Tyre</w:t>
      </w:r>
      <w:r w:rsidRPr="00A90FAA">
        <w:t xml:space="preserve"> </w:t>
      </w:r>
      <w:r w:rsidRPr="00A90FAA">
        <w:rPr>
          <w:lang w:val="en-GB"/>
        </w:rPr>
        <w:t>section</w:t>
      </w:r>
      <w:r w:rsidRPr="00A90FAA">
        <w:t xml:space="preserve"> </w:t>
      </w:r>
      <w:r w:rsidRPr="00A90FAA">
        <w:rPr>
          <w:lang w:val="en-GB"/>
        </w:rPr>
        <w:t>width</w:t>
      </w:r>
      <w:r w:rsidRPr="00A90FAA">
        <w:t xml:space="preserve"> </w:t>
      </w:r>
      <w:r w:rsidRPr="00A90FAA">
        <w:rPr>
          <w:lang w:val="en-GB"/>
        </w:rPr>
        <w:t>specification</w:t>
      </w:r>
      <w:r w:rsidRPr="00A90FAA">
        <w:t>».</w:t>
      </w:r>
    </w:p>
    <w:p w:rsidR="006444E8" w:rsidRPr="00A90FAA" w:rsidRDefault="006444E8" w:rsidP="0094066D">
      <w:pPr>
        <w:pStyle w:val="SingleTxtGR"/>
      </w:pPr>
      <w:r w:rsidRPr="00A90FAA">
        <w:rPr>
          <w:i/>
        </w:rPr>
        <w:t xml:space="preserve">Пункт 6.1.4.2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6444E8" w:rsidRPr="00A90FAA" w:rsidRDefault="006444E8" w:rsidP="006444E8">
      <w:pPr>
        <w:pStyle w:val="SingleTxtGR"/>
        <w:ind w:left="2268" w:hanging="1134"/>
      </w:pPr>
      <w:r w:rsidRPr="00A90FAA">
        <w:t>«6.1.4.2</w:t>
      </w:r>
      <w:r w:rsidRPr="00A90FAA">
        <w:tab/>
        <w:t>Он</w:t>
      </w:r>
      <w:r w:rsidR="00AB79C2">
        <w:t>а</w:t>
      </w:r>
      <w:r w:rsidRPr="00A90FAA">
        <w:t xml:space="preserve"> может превышать это значение, но не должн</w:t>
      </w:r>
      <w:r w:rsidR="00AB79C2">
        <w:t>а</w:t>
      </w:r>
      <w:r w:rsidRPr="00A90FAA">
        <w:t xml:space="preserve"> превышать значения, указанного в приложении 5; для размеров, не указанных в приложении 5, она может превышать это значение на следующее число процентов</w:t>
      </w:r>
      <w:r w:rsidRPr="00A90FAA">
        <w:rPr>
          <w:bCs/>
        </w:rPr>
        <w:t xml:space="preserve">, причем допуски округляют до целого </w:t>
      </w:r>
      <w:r w:rsidRPr="00F42326">
        <w:t>миллиметра</w:t>
      </w:r>
      <w:r w:rsidRPr="00A90FAA">
        <w:t>:».</w:t>
      </w:r>
    </w:p>
    <w:p w:rsidR="006444E8" w:rsidRPr="00A90FAA" w:rsidRDefault="006444E8" w:rsidP="006444E8">
      <w:pPr>
        <w:pStyle w:val="SingleTxtGR"/>
      </w:pPr>
      <w:r w:rsidRPr="00A90FAA">
        <w:rPr>
          <w:i/>
        </w:rPr>
        <w:t xml:space="preserve">Пункт 6.1.5 </w:t>
      </w:r>
      <w:r w:rsidRPr="00A90FAA">
        <w:rPr>
          <w:iCs/>
        </w:rPr>
        <w:t>изменить следующим образом</w:t>
      </w:r>
      <w:r w:rsidRPr="00A90FAA">
        <w:t>:</w:t>
      </w:r>
    </w:p>
    <w:p w:rsidR="006444E8" w:rsidRPr="00A90FAA" w:rsidRDefault="006444E8" w:rsidP="006444E8">
      <w:pPr>
        <w:pStyle w:val="SingleTxtGR"/>
      </w:pPr>
      <w:r w:rsidRPr="00A90FAA">
        <w:t>«6.1.5</w:t>
      </w:r>
      <w:r w:rsidRPr="00A90FAA">
        <w:tab/>
      </w:r>
      <w:r>
        <w:tab/>
        <w:t>Технические требования</w:t>
      </w:r>
      <w:r w:rsidRPr="00A90FAA">
        <w:t>, касающиеся наружного диаметра шин</w:t>
      </w:r>
    </w:p>
    <w:p w:rsidR="006444E8" w:rsidRPr="00A90FAA" w:rsidRDefault="006444E8" w:rsidP="006444E8">
      <w:pPr>
        <w:pStyle w:val="SingleTxtGR"/>
        <w:ind w:left="2268" w:hanging="1134"/>
      </w:pPr>
      <w:r w:rsidRPr="00A90FAA">
        <w:t>6.1.5.1</w:t>
      </w:r>
      <w:r w:rsidRPr="00A90FAA">
        <w:tab/>
        <w:t xml:space="preserve">Наружный диаметр шины не должен выходить за пределы значений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мин.</w:t>
      </w:r>
      <w:r w:rsidRPr="00A90FAA">
        <w:t xml:space="preserve"> и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макс.</w:t>
      </w:r>
      <w:r w:rsidRPr="00A90FAA">
        <w:t>, указанных в приложении 5.</w:t>
      </w:r>
    </w:p>
    <w:p w:rsidR="006444E8" w:rsidRPr="00A90FAA" w:rsidRDefault="006444E8" w:rsidP="0094066D">
      <w:pPr>
        <w:pStyle w:val="SingleTxtGR"/>
        <w:pageBreakBefore/>
        <w:ind w:left="2268" w:hanging="1134"/>
      </w:pPr>
      <w:r w:rsidRPr="00A90FAA">
        <w:lastRenderedPageBreak/>
        <w:t>6.1.5.2</w:t>
      </w:r>
      <w:r w:rsidRPr="00A90FAA">
        <w:tab/>
        <w:t xml:space="preserve">Для размеров, не указанных в приложении 5, наружный диаметр шины не должен выходить за пределы значений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мин.</w:t>
      </w:r>
      <w:r w:rsidRPr="00A90FAA">
        <w:t xml:space="preserve"> и </w:t>
      </w:r>
      <w:r w:rsidRPr="00A90FAA">
        <w:rPr>
          <w:lang w:val="en-GB"/>
        </w:rPr>
        <w:t>D</w:t>
      </w:r>
      <w:r w:rsidRPr="00A90FAA">
        <w:rPr>
          <w:vertAlign w:val="subscript"/>
        </w:rPr>
        <w:t>макс.</w:t>
      </w:r>
      <w:r w:rsidRPr="00A90FAA">
        <w:t>, полученных по следующим формулам:</w:t>
      </w:r>
    </w:p>
    <w:p w:rsidR="006444E8" w:rsidRPr="00A90FAA" w:rsidRDefault="006444E8" w:rsidP="006444E8">
      <w:pPr>
        <w:pStyle w:val="SingleTxtGR"/>
        <w:ind w:left="2268"/>
        <w:jc w:val="left"/>
        <w:rPr>
          <w:lang w:val="pt-BR"/>
        </w:rPr>
      </w:pPr>
      <w:r w:rsidRPr="007F6F8F">
        <w:tab/>
      </w:r>
      <w:r w:rsidRPr="007F6F8F">
        <w:tab/>
      </w:r>
      <w:r w:rsidRPr="007F6F8F">
        <w:tab/>
      </w:r>
      <w:r w:rsidRPr="00A90FAA">
        <w:rPr>
          <w:lang w:val="en-GB"/>
        </w:rPr>
        <w:t>D</w:t>
      </w:r>
      <w:r w:rsidRPr="00A90FAA">
        <w:rPr>
          <w:vertAlign w:val="subscript"/>
        </w:rPr>
        <w:t>мин</w:t>
      </w:r>
      <w:r w:rsidRPr="007F6F8F">
        <w:rPr>
          <w:vertAlign w:val="subscript"/>
        </w:rPr>
        <w:t>.</w:t>
      </w:r>
      <w:r w:rsidRPr="00A90FAA">
        <w:rPr>
          <w:lang w:val="pt-BR"/>
        </w:rPr>
        <w:t xml:space="preserve"> = d + 2 • H</w:t>
      </w:r>
      <w:r w:rsidRPr="00A90FAA">
        <w:rPr>
          <w:vertAlign w:val="subscript"/>
        </w:rPr>
        <w:t>мин</w:t>
      </w:r>
      <w:r w:rsidRPr="007F6F8F">
        <w:rPr>
          <w:vertAlign w:val="subscript"/>
        </w:rPr>
        <w:t>.</w:t>
      </w:r>
      <w:r>
        <w:rPr>
          <w:vertAlign w:val="subscript"/>
        </w:rPr>
        <w:t>,</w:t>
      </w:r>
    </w:p>
    <w:p w:rsidR="006444E8" w:rsidRPr="00A90FAA" w:rsidRDefault="006444E8" w:rsidP="006444E8">
      <w:pPr>
        <w:pStyle w:val="SingleTxtGR"/>
        <w:ind w:left="2268"/>
        <w:jc w:val="left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A90FAA">
        <w:rPr>
          <w:lang w:val="pt-BR"/>
        </w:rPr>
        <w:t>D</w:t>
      </w:r>
      <w:r w:rsidRPr="00A90FAA">
        <w:rPr>
          <w:vertAlign w:val="subscript"/>
        </w:rPr>
        <w:t>макс</w:t>
      </w:r>
      <w:r w:rsidRPr="00A90FAA">
        <w:rPr>
          <w:vertAlign w:val="subscript"/>
          <w:lang w:val="pt-BR"/>
        </w:rPr>
        <w:t>.</w:t>
      </w:r>
      <w:r w:rsidRPr="00A90FAA">
        <w:rPr>
          <w:lang w:val="pt-BR"/>
        </w:rPr>
        <w:t xml:space="preserve"> = d + 2 • H</w:t>
      </w:r>
      <w:r w:rsidRPr="00A90FAA">
        <w:rPr>
          <w:vertAlign w:val="subscript"/>
        </w:rPr>
        <w:t>макс</w:t>
      </w:r>
      <w:r w:rsidRPr="00A90FAA">
        <w:rPr>
          <w:vertAlign w:val="subscript"/>
          <w:lang w:val="pt-BR"/>
        </w:rPr>
        <w:t>.</w:t>
      </w:r>
      <w:r w:rsidRPr="00A90FAA">
        <w:rPr>
          <w:lang w:val="pt-BR"/>
        </w:rPr>
        <w:t>,</w:t>
      </w:r>
    </w:p>
    <w:p w:rsidR="006444E8" w:rsidRPr="00A90FAA" w:rsidRDefault="006444E8" w:rsidP="006444E8">
      <w:pPr>
        <w:pStyle w:val="SingleTxtGR"/>
        <w:ind w:left="2268"/>
      </w:pPr>
      <w:r w:rsidRPr="00A90FAA">
        <w:t>где:</w:t>
      </w:r>
    </w:p>
    <w:p w:rsidR="006444E8" w:rsidRPr="00A90FAA" w:rsidRDefault="006444E8" w:rsidP="006444E8">
      <w:pPr>
        <w:pStyle w:val="SingleTxtGR"/>
        <w:ind w:left="2268"/>
      </w:pPr>
      <w:r w:rsidRPr="00A90FAA">
        <w:rPr>
          <w:lang w:val="en-GB"/>
        </w:rPr>
        <w:t>H</w:t>
      </w:r>
      <w:r w:rsidRPr="00A90FAA">
        <w:rPr>
          <w:vertAlign w:val="subscript"/>
        </w:rPr>
        <w:t>мин.</w:t>
      </w:r>
      <w:r w:rsidRPr="00A90FAA">
        <w:t xml:space="preserve"> = </w:t>
      </w:r>
      <w:r w:rsidRPr="00A90FAA">
        <w:rPr>
          <w:lang w:val="en-GB"/>
        </w:rPr>
        <w:t>H</w:t>
      </w:r>
      <w:r w:rsidRPr="00A90FAA">
        <w:t xml:space="preserve"> • </w:t>
      </w:r>
      <w:r w:rsidRPr="00A90FAA">
        <w:rPr>
          <w:lang w:val="en-GB"/>
        </w:rPr>
        <w:t>a</w:t>
      </w:r>
      <w:r>
        <w:t>,</w:t>
      </w:r>
      <w:r w:rsidRPr="00A90FAA">
        <w:tab/>
      </w:r>
      <w:r w:rsidRPr="00A90FAA">
        <w:tab/>
      </w:r>
      <w:r w:rsidRPr="00A90FAA">
        <w:rPr>
          <w:bCs/>
        </w:rPr>
        <w:t>округленное до целого миллиметра</w:t>
      </w:r>
      <w:r>
        <w:rPr>
          <w:bCs/>
        </w:rPr>
        <w:t>,</w:t>
      </w:r>
    </w:p>
    <w:p w:rsidR="006444E8" w:rsidRPr="00A90FAA" w:rsidRDefault="006444E8" w:rsidP="006444E8">
      <w:pPr>
        <w:pStyle w:val="SingleTxtGR"/>
        <w:ind w:left="2268"/>
      </w:pPr>
      <w:r w:rsidRPr="00A90FAA">
        <w:rPr>
          <w:lang w:val="en-GB"/>
        </w:rPr>
        <w:t>H</w:t>
      </w:r>
      <w:r w:rsidRPr="00A90FAA">
        <w:rPr>
          <w:vertAlign w:val="subscript"/>
        </w:rPr>
        <w:t>макс.</w:t>
      </w:r>
      <w:r w:rsidRPr="00A90FAA">
        <w:t xml:space="preserve"> = </w:t>
      </w:r>
      <w:r w:rsidRPr="00A90FAA">
        <w:rPr>
          <w:lang w:val="en-GB"/>
        </w:rPr>
        <w:t>H</w:t>
      </w:r>
      <w:r w:rsidRPr="00A90FAA">
        <w:t xml:space="preserve"> • </w:t>
      </w:r>
      <w:r w:rsidRPr="00A90FAA">
        <w:rPr>
          <w:lang w:val="en-GB"/>
        </w:rPr>
        <w:t>b</w:t>
      </w:r>
      <w:r>
        <w:t>,</w:t>
      </w:r>
      <w:r w:rsidRPr="00A90FAA">
        <w:tab/>
      </w:r>
      <w:r w:rsidRPr="00A90FAA">
        <w:tab/>
      </w:r>
      <w:r w:rsidRPr="00A90FAA">
        <w:rPr>
          <w:bCs/>
        </w:rPr>
        <w:t>округленное до целого миллиметра</w:t>
      </w:r>
      <w:r>
        <w:rPr>
          <w:bCs/>
        </w:rPr>
        <w:t>,</w:t>
      </w:r>
    </w:p>
    <w:p w:rsidR="006444E8" w:rsidRPr="00A90FAA" w:rsidRDefault="006444E8" w:rsidP="006444E8">
      <w:pPr>
        <w:pStyle w:val="SingleTxtGR"/>
        <w:ind w:left="2268"/>
        <w:rPr>
          <w:bCs/>
        </w:rPr>
      </w:pPr>
      <w:r w:rsidRPr="00A90FAA">
        <w:t>и</w:t>
      </w:r>
    </w:p>
    <w:p w:rsidR="00E12C5F" w:rsidRPr="00AB79C2" w:rsidRDefault="006444E8" w:rsidP="0094066D">
      <w:pPr>
        <w:pStyle w:val="SingleTxtGR"/>
        <w:ind w:left="2268"/>
      </w:pPr>
      <w:r w:rsidRPr="00A90FAA">
        <w:rPr>
          <w:lang w:val="en-GB"/>
        </w:rPr>
        <w:t>H</w:t>
      </w:r>
      <w:r w:rsidRPr="00A90FAA">
        <w:t xml:space="preserve"> и </w:t>
      </w:r>
      <w:r w:rsidRPr="00A90FAA">
        <w:rPr>
          <w:lang w:val="en-GB"/>
        </w:rPr>
        <w:t>d</w:t>
      </w:r>
      <w:r w:rsidRPr="00A90FAA">
        <w:t xml:space="preserve"> соответствуют значениям, определенным в пункте 6.1.2.1, а</w:t>
      </w:r>
      <w:r w:rsidR="00AB79C2">
        <w:t> </w:t>
      </w:r>
      <w:r w:rsidRPr="00A90FAA">
        <w:t xml:space="preserve">значения </w:t>
      </w:r>
      <w:r w:rsidRPr="00A90FAA">
        <w:rPr>
          <w:lang w:val="en-GB"/>
        </w:rPr>
        <w:t>a</w:t>
      </w:r>
      <w:r w:rsidRPr="00A90FAA">
        <w:t xml:space="preserve"> и </w:t>
      </w:r>
      <w:r w:rsidRPr="00A90FAA">
        <w:rPr>
          <w:lang w:val="en-GB"/>
        </w:rPr>
        <w:t>b</w:t>
      </w:r>
      <w:r w:rsidRPr="00A90FAA">
        <w:t xml:space="preserve"> − в пунктах 6.1.5.</w:t>
      </w:r>
      <w:r>
        <w:t>2.1 и 6.1.5.2.2 соответственно</w:t>
      </w:r>
      <w:r w:rsidRPr="00A90FAA">
        <w:t>».</w:t>
      </w:r>
    </w:p>
    <w:p w:rsidR="0094066D" w:rsidRPr="00AB79C2" w:rsidRDefault="0094066D" w:rsidP="0094066D">
      <w:pPr>
        <w:pStyle w:val="SingleTxtGR"/>
        <w:spacing w:before="240" w:after="0"/>
        <w:jc w:val="center"/>
        <w:rPr>
          <w:u w:val="single"/>
        </w:rPr>
      </w:pPr>
      <w:r w:rsidRPr="00AB79C2">
        <w:rPr>
          <w:u w:val="single"/>
        </w:rPr>
        <w:tab/>
      </w:r>
      <w:r w:rsidRPr="00AB79C2">
        <w:rPr>
          <w:u w:val="single"/>
        </w:rPr>
        <w:tab/>
      </w:r>
      <w:r w:rsidRPr="00AB79C2">
        <w:rPr>
          <w:u w:val="single"/>
        </w:rPr>
        <w:tab/>
      </w:r>
    </w:p>
    <w:sectPr w:rsidR="0094066D" w:rsidRPr="00AB79C2" w:rsidSect="00AD013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E6" w:rsidRPr="00A312BC" w:rsidRDefault="00CA77E6" w:rsidP="00A312BC"/>
  </w:endnote>
  <w:endnote w:type="continuationSeparator" w:id="0">
    <w:p w:rsidR="00CA77E6" w:rsidRPr="00A312BC" w:rsidRDefault="00CA77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E8" w:rsidRPr="006444E8" w:rsidRDefault="006444E8">
    <w:pPr>
      <w:pStyle w:val="Footer"/>
    </w:pPr>
    <w:r w:rsidRPr="006444E8">
      <w:rPr>
        <w:b/>
        <w:sz w:val="18"/>
      </w:rPr>
      <w:fldChar w:fldCharType="begin"/>
    </w:r>
    <w:r w:rsidRPr="006444E8">
      <w:rPr>
        <w:b/>
        <w:sz w:val="18"/>
      </w:rPr>
      <w:instrText xml:space="preserve"> PAGE  \* MERGEFORMAT </w:instrText>
    </w:r>
    <w:r w:rsidRPr="006444E8">
      <w:rPr>
        <w:b/>
        <w:sz w:val="18"/>
      </w:rPr>
      <w:fldChar w:fldCharType="separate"/>
    </w:r>
    <w:r w:rsidR="00F1575F">
      <w:rPr>
        <w:b/>
        <w:noProof/>
        <w:sz w:val="18"/>
      </w:rPr>
      <w:t>2</w:t>
    </w:r>
    <w:r w:rsidRPr="006444E8">
      <w:rPr>
        <w:b/>
        <w:sz w:val="18"/>
      </w:rPr>
      <w:fldChar w:fldCharType="end"/>
    </w:r>
    <w:r>
      <w:rPr>
        <w:b/>
        <w:sz w:val="18"/>
      </w:rPr>
      <w:tab/>
    </w:r>
    <w:r>
      <w:t>GE.17-01964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E8" w:rsidRPr="00AD0135" w:rsidRDefault="00AD0135" w:rsidP="00AD0135">
    <w:pPr>
      <w:pStyle w:val="Footer"/>
    </w:pPr>
    <w:r>
      <w:t>GE.17-01964</w:t>
    </w:r>
    <w:r>
      <w:rPr>
        <w:b/>
        <w:sz w:val="18"/>
      </w:rPr>
      <w:tab/>
    </w:r>
    <w:r w:rsidRPr="006444E8">
      <w:rPr>
        <w:b/>
        <w:sz w:val="18"/>
      </w:rPr>
      <w:fldChar w:fldCharType="begin"/>
    </w:r>
    <w:r w:rsidRPr="006444E8">
      <w:rPr>
        <w:b/>
        <w:sz w:val="18"/>
      </w:rPr>
      <w:instrText xml:space="preserve"> PAGE  \* MERGEFORMAT </w:instrText>
    </w:r>
    <w:r w:rsidRPr="006444E8">
      <w:rPr>
        <w:b/>
        <w:sz w:val="18"/>
      </w:rPr>
      <w:fldChar w:fldCharType="separate"/>
    </w:r>
    <w:r w:rsidR="00F1575F">
      <w:rPr>
        <w:b/>
        <w:noProof/>
        <w:sz w:val="18"/>
      </w:rPr>
      <w:t>3</w:t>
    </w:r>
    <w:r w:rsidRPr="006444E8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6551D" w:rsidRDefault="00AD0135" w:rsidP="00407242">
    <w:pPr>
      <w:spacing w:before="120"/>
      <w:rPr>
        <w:rFonts w:ascii="C39T30Lfz" w:hAnsi="C39T30Lfz"/>
        <w:spacing w:val="0"/>
        <w:w w:val="100"/>
        <w:sz w:val="56"/>
      </w:rPr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5F50909" wp14:editId="046883C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r>
      <w:rPr>
        <w:lang w:val="en-US"/>
      </w:rPr>
      <w:t>01964</w:t>
    </w:r>
    <w:r>
      <w:t xml:space="preserve">  (R)  140317  140317</w:t>
    </w:r>
    <w:r w:rsidR="00A6551D">
      <w:rPr>
        <w:rFonts w:ascii="C39T30Lfz" w:hAnsi="C39T30Lfz"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389507AB" wp14:editId="48540DCD">
          <wp:simplePos x="0" y="0"/>
          <wp:positionH relativeFrom="column">
            <wp:posOffset>5457825</wp:posOffset>
          </wp:positionH>
          <wp:positionV relativeFrom="paragraph">
            <wp:posOffset>28575</wp:posOffset>
          </wp:positionV>
          <wp:extent cx="638175" cy="638175"/>
          <wp:effectExtent l="0" t="0" r="9525" b="9525"/>
          <wp:wrapNone/>
          <wp:docPr id="5" name="Рисунок 1" descr="http://undocs.org/m2/QRCode.ashx?DS=E/ECE/324/Rev.1/Add.74/Rev.2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74/Rev.2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51D">
      <w:br/>
    </w:r>
    <w:r w:rsidR="00A6551D" w:rsidRPr="00A6551D">
      <w:rPr>
        <w:rFonts w:ascii="C39T30Lfz" w:hAnsi="C39T30Lfz"/>
        <w:spacing w:val="0"/>
        <w:w w:val="100"/>
        <w:sz w:val="56"/>
      </w:rPr>
      <w:t></w:t>
    </w:r>
    <w:r w:rsidR="00A6551D" w:rsidRPr="00A6551D">
      <w:rPr>
        <w:rFonts w:ascii="C39T30Lfz" w:hAnsi="C39T30Lfz"/>
        <w:spacing w:val="0"/>
        <w:w w:val="100"/>
        <w:sz w:val="56"/>
      </w:rPr>
      <w:t></w:t>
    </w:r>
    <w:r w:rsidR="00A6551D" w:rsidRPr="00A6551D">
      <w:rPr>
        <w:rFonts w:ascii="C39T30Lfz" w:hAnsi="C39T30Lfz"/>
        <w:spacing w:val="0"/>
        <w:w w:val="100"/>
        <w:sz w:val="56"/>
      </w:rPr>
      <w:t></w:t>
    </w:r>
    <w:r w:rsidR="00A6551D" w:rsidRPr="00A6551D">
      <w:rPr>
        <w:rFonts w:ascii="C39T30Lfz" w:hAnsi="C39T30Lfz"/>
        <w:spacing w:val="0"/>
        <w:w w:val="100"/>
        <w:sz w:val="56"/>
      </w:rPr>
      <w:t></w:t>
    </w:r>
    <w:r w:rsidR="00A6551D" w:rsidRPr="00A6551D">
      <w:rPr>
        <w:rFonts w:ascii="C39T30Lfz" w:hAnsi="C39T30Lfz"/>
        <w:spacing w:val="0"/>
        <w:w w:val="100"/>
        <w:sz w:val="56"/>
      </w:rPr>
      <w:t></w:t>
    </w:r>
    <w:r w:rsidR="00A6551D" w:rsidRPr="00A6551D">
      <w:rPr>
        <w:rFonts w:ascii="C39T30Lfz" w:hAnsi="C39T30Lfz"/>
        <w:spacing w:val="0"/>
        <w:w w:val="100"/>
        <w:sz w:val="56"/>
      </w:rPr>
      <w:t></w:t>
    </w:r>
    <w:r w:rsidR="00A6551D" w:rsidRPr="00A6551D">
      <w:rPr>
        <w:rFonts w:ascii="C39T30Lfz" w:hAnsi="C39T30Lfz"/>
        <w:spacing w:val="0"/>
        <w:w w:val="100"/>
        <w:sz w:val="56"/>
      </w:rPr>
      <w:t></w:t>
    </w:r>
    <w:r w:rsidR="00A6551D" w:rsidRPr="00A6551D">
      <w:rPr>
        <w:rFonts w:ascii="C39T30Lfz" w:hAnsi="C39T30Lfz"/>
        <w:spacing w:val="0"/>
        <w:w w:val="100"/>
        <w:sz w:val="56"/>
      </w:rPr>
      <w:t></w:t>
    </w:r>
    <w:r w:rsidR="00DF71B9" w:rsidRPr="00A6551D">
      <w:rPr>
        <w:rFonts w:ascii="C39T30Lfz" w:hAnsi="C39T30Lfz"/>
        <w:b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5BA253C7" wp14:editId="7D74DF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51D" w:rsidRPr="00A6551D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E6" w:rsidRPr="001075E9" w:rsidRDefault="00CA77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77E6" w:rsidRDefault="00CA77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444E8" w:rsidRPr="007E1458" w:rsidRDefault="006444E8" w:rsidP="006444E8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E8" w:rsidRPr="006444E8" w:rsidRDefault="00F157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6AFD">
      <w:t>E/ECE/324/Rev.1/Add.74/Rev.2/Amend.3</w:t>
    </w:r>
    <w:r>
      <w:fldChar w:fldCharType="end"/>
    </w:r>
    <w:r w:rsidR="006444E8">
      <w:br/>
    </w:r>
    <w:r>
      <w:fldChar w:fldCharType="begin"/>
    </w:r>
    <w:r>
      <w:instrText xml:space="preserve"> KEYWORDS  \* MERGEFORMAT </w:instrText>
    </w:r>
    <w:r>
      <w:fldChar w:fldCharType="separate"/>
    </w:r>
    <w:r w:rsidR="003C6AFD">
      <w:t>E/ECE/TRANS/505/Rev.1/Add.74/Rev.2/Amend.3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4E8" w:rsidRPr="006444E8" w:rsidRDefault="00F1575F" w:rsidP="006444E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6AFD">
      <w:t>E/ECE/324/Rev.1/Add.74/Rev.2/Amend.3</w:t>
    </w:r>
    <w:r>
      <w:fldChar w:fldCharType="end"/>
    </w:r>
    <w:r w:rsidR="006444E8">
      <w:br/>
    </w:r>
    <w:r>
      <w:fldChar w:fldCharType="begin"/>
    </w:r>
    <w:r>
      <w:instrText xml:space="preserve"> KEYWORDS  \* MERGEFORMAT </w:instrText>
    </w:r>
    <w:r>
      <w:fldChar w:fldCharType="separate"/>
    </w:r>
    <w:r w:rsidR="003C6AFD">
      <w:t>E/ECE/TRANS/505/Rev.1/Add.74/Rev.2/Amend.3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0EE1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1FEA"/>
    <w:rsid w:val="00387CD4"/>
    <w:rsid w:val="003958D0"/>
    <w:rsid w:val="003A092C"/>
    <w:rsid w:val="003A0D43"/>
    <w:rsid w:val="003A48CE"/>
    <w:rsid w:val="003B00E5"/>
    <w:rsid w:val="003C6AFD"/>
    <w:rsid w:val="00407242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7C67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44E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CBA"/>
    <w:rsid w:val="00757357"/>
    <w:rsid w:val="00792497"/>
    <w:rsid w:val="007D3C8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66D"/>
    <w:rsid w:val="00951972"/>
    <w:rsid w:val="009608F3"/>
    <w:rsid w:val="009A24AC"/>
    <w:rsid w:val="009C6FE6"/>
    <w:rsid w:val="00A14DA8"/>
    <w:rsid w:val="00A312BC"/>
    <w:rsid w:val="00A6551D"/>
    <w:rsid w:val="00A84021"/>
    <w:rsid w:val="00A84D35"/>
    <w:rsid w:val="00A917B3"/>
    <w:rsid w:val="00AB4B51"/>
    <w:rsid w:val="00AB79C2"/>
    <w:rsid w:val="00AD013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77E6"/>
    <w:rsid w:val="00CB151C"/>
    <w:rsid w:val="00CE5A1A"/>
    <w:rsid w:val="00CF55F6"/>
    <w:rsid w:val="00D33D63"/>
    <w:rsid w:val="00D5253A"/>
    <w:rsid w:val="00D90028"/>
    <w:rsid w:val="00D90138"/>
    <w:rsid w:val="00DC12C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575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B6D948-DEA1-4734-9A18-1EE7D03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6444E8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AB84-3C36-4C4A-B92D-925DE333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E/ECE/324/Rev.1/Add.74/Rev.2/Amend.3</vt:lpstr>
      <vt:lpstr>E/ECE/324/Rev.1/Add.74/Rev.2/Amend.3</vt:lpstr>
      <vt:lpstr>A/</vt:lpstr>
    </vt:vector>
  </TitlesOfParts>
  <Company>DCM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E/ECE/324/Rev.1/Add.74/Rev.2/Amend.3</dc:title>
  <dc:creator>Sharkina</dc:creator>
  <cp:keywords>E/ECE/TRANS/505/Rev.1/Add.74/Rev.2/Amend.3</cp:keywords>
  <cp:lastModifiedBy>Caillot</cp:lastModifiedBy>
  <cp:revision>2</cp:revision>
  <cp:lastPrinted>2017-03-14T15:12:00Z</cp:lastPrinted>
  <dcterms:created xsi:type="dcterms:W3CDTF">2017-03-20T15:46:00Z</dcterms:created>
  <dcterms:modified xsi:type="dcterms:W3CDTF">2017-03-20T15:46:00Z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