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51AFF464" w:rsidR="0064636E" w:rsidRPr="00D47EEA" w:rsidRDefault="0064636E" w:rsidP="0091531C">
            <w:pPr>
              <w:jc w:val="right"/>
            </w:pPr>
            <w:r w:rsidRPr="00014D07">
              <w:rPr>
                <w:sz w:val="40"/>
              </w:rPr>
              <w:t>E</w:t>
            </w:r>
            <w:r>
              <w:t>/ECE/324</w:t>
            </w:r>
            <w:r w:rsidR="00616B23">
              <w:t>/</w:t>
            </w:r>
            <w:r w:rsidR="00D508A0" w:rsidRPr="00D508A0">
              <w:t>Rev.1/</w:t>
            </w:r>
            <w:r w:rsidR="00DF4CC2" w:rsidRPr="00DF4CC2">
              <w:t>Add.</w:t>
            </w:r>
            <w:r w:rsidR="00E449D2">
              <w:t>48</w:t>
            </w:r>
            <w:r w:rsidR="00DF4CC2" w:rsidRPr="00DF4CC2">
              <w:t>/Rev.</w:t>
            </w:r>
            <w:r w:rsidR="0091531C">
              <w:t>6</w:t>
            </w:r>
            <w:r w:rsidR="00DF4CC2" w:rsidRPr="00DF4CC2">
              <w:t>/Amend.</w:t>
            </w:r>
            <w:r w:rsidR="0091531C">
              <w:t>4</w:t>
            </w:r>
            <w:r>
              <w:t>−</w:t>
            </w:r>
            <w:r w:rsidRPr="00014D07">
              <w:rPr>
                <w:sz w:val="40"/>
              </w:rPr>
              <w:t>E</w:t>
            </w:r>
            <w:r>
              <w:t>/ECE/TRANS/505</w:t>
            </w:r>
            <w:r w:rsidR="00841EB5">
              <w:t>/</w:t>
            </w:r>
            <w:r w:rsidR="00D508A0" w:rsidRPr="00D508A0">
              <w:t>Rev.1/</w:t>
            </w:r>
            <w:r w:rsidR="00DF4CC2" w:rsidRPr="00DF4CC2">
              <w:t>Add.4</w:t>
            </w:r>
            <w:r w:rsidR="00E449D2">
              <w:t>8</w:t>
            </w:r>
            <w:r w:rsidR="00DF4CC2" w:rsidRPr="00DF4CC2">
              <w:t>/Rev.</w:t>
            </w:r>
            <w:r w:rsidR="0091531C">
              <w:t>6</w:t>
            </w:r>
            <w:r w:rsidR="00DF4CC2" w:rsidRPr="00DF4CC2">
              <w:t>/Amend.</w:t>
            </w:r>
            <w:r w:rsidR="0091531C">
              <w:t>4</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156C9C1C" w:rsidR="00D623A7" w:rsidRDefault="00D623A7" w:rsidP="003C3936">
            <w:pPr>
              <w:spacing w:before="120"/>
            </w:pPr>
          </w:p>
          <w:p w14:paraId="6E103C19" w14:textId="18EF955E" w:rsidR="00C84414" w:rsidRPr="00413FC2" w:rsidRDefault="00E97D4C" w:rsidP="00413F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240" w:lineRule="auto"/>
              <w:rPr>
                <w:sz w:val="22"/>
                <w:szCs w:val="22"/>
                <w:lang w:val="fr" w:eastAsia="en-GB"/>
              </w:rPr>
            </w:pPr>
            <w:r>
              <w:rPr>
                <w:lang w:eastAsia="en-GB"/>
              </w:rPr>
              <w:t>22</w:t>
            </w:r>
            <w:r w:rsidR="00413FC2">
              <w:rPr>
                <w:lang w:eastAsia="en-GB"/>
              </w:rPr>
              <w:t xml:space="preserve"> February 2017</w:t>
            </w:r>
          </w:p>
          <w:p w14:paraId="3AAF3BDD" w14:textId="22994C48" w:rsidR="00413FC2" w:rsidRDefault="00413FC2" w:rsidP="00413F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240" w:lineRule="auto"/>
            </w:pP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01E494E6"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w:t>
      </w:r>
      <w:proofErr w:type="gramStart"/>
      <w:r w:rsidRPr="006A6FBE">
        <w:t>Parts which</w:t>
      </w:r>
      <w:proofErr w:type="gramEnd"/>
      <w:r w:rsidRPr="006A6FBE">
        <w:t xml:space="preserve">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3930E1C5" w14:textId="77777777" w:rsidR="00C711C7" w:rsidRPr="00392A12" w:rsidRDefault="00C711C7" w:rsidP="00C711C7">
      <w:pPr>
        <w:pStyle w:val="SingleTxtG"/>
        <w:spacing w:before="120"/>
      </w:pPr>
      <w:r w:rsidRPr="00392A12">
        <w:t>(Revision 2, including the amendments which entered into force on 16 October 1995)</w:t>
      </w:r>
    </w:p>
    <w:p w14:paraId="23520E79" w14:textId="77777777" w:rsidR="0064636E" w:rsidRDefault="00C711C7" w:rsidP="00B32121">
      <w:pPr>
        <w:pStyle w:val="H1G"/>
        <w:spacing w:before="120"/>
        <w:ind w:left="0" w:right="0" w:firstLine="0"/>
        <w:jc w:val="center"/>
      </w:pPr>
      <w:r>
        <w:t>_________</w:t>
      </w:r>
    </w:p>
    <w:p w14:paraId="1E020283" w14:textId="52D67C7A" w:rsidR="0064636E" w:rsidRDefault="0064636E" w:rsidP="00A41529">
      <w:pPr>
        <w:pStyle w:val="H1G"/>
        <w:spacing w:before="240" w:after="120"/>
      </w:pPr>
      <w:r>
        <w:tab/>
      </w:r>
      <w:r>
        <w:tab/>
        <w:t xml:space="preserve">Addendum </w:t>
      </w:r>
      <w:r w:rsidR="00DF4CC2">
        <w:t>4</w:t>
      </w:r>
      <w:r w:rsidR="008C6693">
        <w:t>8</w:t>
      </w:r>
      <w:r>
        <w:t xml:space="preserve"> – Regulation No.</w:t>
      </w:r>
      <w:r w:rsidR="00271A7F">
        <w:t xml:space="preserve"> </w:t>
      </w:r>
      <w:r w:rsidR="00DD0532">
        <w:t>4</w:t>
      </w:r>
      <w:r w:rsidR="008C6693">
        <w:t>9</w:t>
      </w:r>
    </w:p>
    <w:p w14:paraId="4E272B2A" w14:textId="08FFEBF9" w:rsidR="0064636E" w:rsidRPr="00014D07" w:rsidRDefault="0064636E" w:rsidP="00A41529">
      <w:pPr>
        <w:pStyle w:val="H1G"/>
        <w:spacing w:before="240"/>
      </w:pPr>
      <w:r>
        <w:tab/>
      </w:r>
      <w:r>
        <w:tab/>
      </w:r>
      <w:r w:rsidRPr="00014D07">
        <w:t xml:space="preserve">Revision </w:t>
      </w:r>
      <w:r w:rsidR="0091531C">
        <w:t>6</w:t>
      </w:r>
      <w:r w:rsidR="00DE5D62">
        <w:t xml:space="preserve"> </w:t>
      </w:r>
      <w:r w:rsidRPr="00014D07">
        <w:t xml:space="preserve">- </w:t>
      </w:r>
      <w:r w:rsidR="00D623A7">
        <w:t>Amendment</w:t>
      </w:r>
      <w:r w:rsidRPr="00014D07">
        <w:t xml:space="preserve"> </w:t>
      </w:r>
      <w:r w:rsidR="0091531C">
        <w:t>4</w:t>
      </w:r>
    </w:p>
    <w:p w14:paraId="4FAFC05A" w14:textId="4270D2FF" w:rsidR="0064636E" w:rsidRPr="00272880" w:rsidRDefault="00AA271E" w:rsidP="0064636E">
      <w:pPr>
        <w:pStyle w:val="SingleTxtG"/>
        <w:spacing w:after="360"/>
        <w:rPr>
          <w:spacing w:val="-2"/>
        </w:rPr>
      </w:pPr>
      <w:r>
        <w:rPr>
          <w:spacing w:val="-2"/>
        </w:rPr>
        <w:t xml:space="preserve">Supplement </w:t>
      </w:r>
      <w:proofErr w:type="gramStart"/>
      <w:r w:rsidR="0091531C">
        <w:rPr>
          <w:spacing w:val="-2"/>
        </w:rPr>
        <w:t>4</w:t>
      </w:r>
      <w:proofErr w:type="gramEnd"/>
      <w:r>
        <w:rPr>
          <w:spacing w:val="-2"/>
        </w:rPr>
        <w:t xml:space="preserve"> to the 0</w:t>
      </w:r>
      <w:r w:rsidR="0091531C">
        <w:rPr>
          <w:spacing w:val="-2"/>
        </w:rPr>
        <w:t>6</w:t>
      </w:r>
      <w:r w:rsidR="00D623A7">
        <w:rPr>
          <w:spacing w:val="-2"/>
        </w:rPr>
        <w:t xml:space="preserve"> series of amendments</w:t>
      </w:r>
      <w:r w:rsidR="0064636E" w:rsidRPr="00272880">
        <w:rPr>
          <w:spacing w:val="-2"/>
        </w:rPr>
        <w:t xml:space="preserve"> – Date of entry into force: </w:t>
      </w:r>
      <w:r w:rsidR="00413FC2" w:rsidRPr="00413FC2">
        <w:t>9 February 2017</w:t>
      </w:r>
    </w:p>
    <w:p w14:paraId="24730B39" w14:textId="26544FE6" w:rsidR="0064636E" w:rsidRDefault="0064636E" w:rsidP="00DD0532">
      <w:pPr>
        <w:pStyle w:val="H1G"/>
        <w:spacing w:before="120" w:after="120" w:line="240" w:lineRule="exact"/>
        <w:rPr>
          <w:lang w:val="en-US"/>
        </w:rPr>
      </w:pPr>
      <w:r>
        <w:rPr>
          <w:lang w:val="en-US"/>
        </w:rPr>
        <w:tab/>
      </w:r>
      <w:r>
        <w:rPr>
          <w:lang w:val="en-US"/>
        </w:rPr>
        <w:tab/>
      </w:r>
      <w:r w:rsidR="00E449D2" w:rsidRPr="00E449D2">
        <w:rPr>
          <w:lang w:val="en-US"/>
        </w:rPr>
        <w:t xml:space="preserve">Uniform provisions concerning the measures to </w:t>
      </w:r>
      <w:proofErr w:type="gramStart"/>
      <w:r w:rsidR="00E449D2" w:rsidRPr="00E449D2">
        <w:rPr>
          <w:lang w:val="en-US"/>
        </w:rPr>
        <w:t>be taken</w:t>
      </w:r>
      <w:proofErr w:type="gramEnd"/>
      <w:r w:rsidR="00E449D2" w:rsidRPr="00E449D2">
        <w:rPr>
          <w:lang w:val="en-US"/>
        </w:rPr>
        <w:t xml:space="preserve"> against the emission of gaseous and particulate pollutants from compression-ignition engines and positive ignition engines for use in vehicles</w:t>
      </w:r>
    </w:p>
    <w:p w14:paraId="6C824AF8" w14:textId="396A612E" w:rsidR="00B32121" w:rsidRDefault="00B32121" w:rsidP="00A41529">
      <w:pPr>
        <w:pStyle w:val="SingleTxtG"/>
        <w:spacing w:after="40"/>
        <w:rPr>
          <w:lang w:eastAsia="en-GB"/>
        </w:rPr>
      </w:pPr>
      <w:r w:rsidRPr="00B32121">
        <w:rPr>
          <w:spacing w:val="-4"/>
          <w:lang w:eastAsia="en-GB"/>
        </w:rPr>
        <w:t xml:space="preserve">This document </w:t>
      </w:r>
      <w:proofErr w:type="gramStart"/>
      <w:r w:rsidRPr="00B32121">
        <w:rPr>
          <w:spacing w:val="-4"/>
          <w:lang w:eastAsia="en-GB"/>
        </w:rPr>
        <w:t>is meant</w:t>
      </w:r>
      <w:proofErr w:type="gramEnd"/>
      <w:r w:rsidRPr="00B32121">
        <w:rPr>
          <w:spacing w:val="-4"/>
          <w:lang w:eastAsia="en-GB"/>
        </w:rPr>
        <w:t xml:space="preserve"> purely as documentation tool. The authentic and legal binding text </w:t>
      </w:r>
      <w:proofErr w:type="gramStart"/>
      <w:r w:rsidRPr="00B32121">
        <w:rPr>
          <w:spacing w:val="-4"/>
          <w:lang w:eastAsia="en-GB"/>
        </w:rPr>
        <w:t>is:</w:t>
      </w:r>
      <w:proofErr w:type="gramEnd"/>
      <w:r>
        <w:rPr>
          <w:lang w:eastAsia="en-GB"/>
        </w:rPr>
        <w:t xml:space="preserve"> </w:t>
      </w:r>
      <w:r w:rsidR="00DE5D62">
        <w:rPr>
          <w:spacing w:val="-6"/>
          <w:lang w:eastAsia="en-GB"/>
        </w:rPr>
        <w:t>ECE/TRANS/WP.29/2016</w:t>
      </w:r>
      <w:r>
        <w:rPr>
          <w:spacing w:val="-6"/>
          <w:lang w:eastAsia="en-GB"/>
        </w:rPr>
        <w:t>/</w:t>
      </w:r>
      <w:r w:rsidR="00E449D2">
        <w:rPr>
          <w:spacing w:val="-6"/>
          <w:lang w:eastAsia="en-GB"/>
        </w:rPr>
        <w:t>4</w:t>
      </w:r>
      <w:r w:rsidR="0091531C">
        <w:rPr>
          <w:spacing w:val="-6"/>
          <w:lang w:eastAsia="en-GB"/>
        </w:rPr>
        <w:t>1</w:t>
      </w:r>
      <w:r w:rsidR="00DE5D62">
        <w:rPr>
          <w:spacing w:val="-6"/>
          <w:lang w:eastAsia="en-GB"/>
        </w:rPr>
        <w:t>.</w:t>
      </w:r>
    </w:p>
    <w:p w14:paraId="62CDCABF" w14:textId="1D6C54A6" w:rsidR="000D3A4F" w:rsidRPr="000D3A4F" w:rsidRDefault="00DE5D62"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73ABB5DA">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484BB43A" w14:textId="3500121E" w:rsidR="00C711C7" w:rsidRPr="00132249" w:rsidRDefault="000D3A4F" w:rsidP="00132249">
      <w:pPr>
        <w:suppressAutoHyphens w:val="0"/>
        <w:spacing w:line="240" w:lineRule="auto"/>
        <w:jc w:val="center"/>
        <w:rPr>
          <w:b/>
          <w:sz w:val="24"/>
        </w:rPr>
      </w:pPr>
      <w:r w:rsidRPr="000D3A4F">
        <w:rPr>
          <w:b/>
          <w:sz w:val="24"/>
        </w:rPr>
        <w:t>UNITED NATIONS</w:t>
      </w:r>
    </w:p>
    <w:p w14:paraId="2ED8A3ED" w14:textId="77777777" w:rsidR="00413FC2" w:rsidRDefault="00D5540C" w:rsidP="0091531C">
      <w:pPr>
        <w:tabs>
          <w:tab w:val="left" w:pos="2160"/>
        </w:tabs>
        <w:spacing w:after="120"/>
        <w:ind w:left="1134" w:right="1134"/>
        <w:jc w:val="both"/>
        <w:rPr>
          <w:i/>
        </w:rPr>
      </w:pPr>
      <w:r>
        <w:br w:type="page"/>
      </w:r>
      <w:r w:rsidR="0091531C" w:rsidRPr="005C5A37">
        <w:rPr>
          <w:i/>
        </w:rPr>
        <w:lastRenderedPageBreak/>
        <w:t xml:space="preserve">Annex </w:t>
      </w:r>
      <w:proofErr w:type="gramStart"/>
      <w:r w:rsidR="0091531C" w:rsidRPr="005C5A37">
        <w:rPr>
          <w:i/>
        </w:rPr>
        <w:t>4</w:t>
      </w:r>
      <w:proofErr w:type="gramEnd"/>
      <w:r w:rsidR="0091531C" w:rsidRPr="005C5A37">
        <w:rPr>
          <w:i/>
        </w:rPr>
        <w:t xml:space="preserve">, </w:t>
      </w:r>
    </w:p>
    <w:p w14:paraId="5C335EA3" w14:textId="33AE6AAF" w:rsidR="0091531C" w:rsidRPr="005C5A37" w:rsidRDefault="00413FC2" w:rsidP="0091531C">
      <w:pPr>
        <w:tabs>
          <w:tab w:val="left" w:pos="2160"/>
        </w:tabs>
        <w:spacing w:after="120"/>
        <w:ind w:left="1134" w:right="1134"/>
        <w:jc w:val="both"/>
      </w:pPr>
      <w:proofErr w:type="gramStart"/>
      <w:r>
        <w:rPr>
          <w:i/>
        </w:rPr>
        <w:t>P</w:t>
      </w:r>
      <w:r w:rsidR="0091531C" w:rsidRPr="005C5A37">
        <w:rPr>
          <w:i/>
        </w:rPr>
        <w:t>aragraph</w:t>
      </w:r>
      <w:r w:rsidR="0091531C">
        <w:rPr>
          <w:i/>
        </w:rPr>
        <w:t>s 9.2.1.</w:t>
      </w:r>
      <w:proofErr w:type="gramEnd"/>
      <w:r w:rsidR="0091531C">
        <w:rPr>
          <w:i/>
        </w:rPr>
        <w:t xml:space="preserve"> </w:t>
      </w:r>
      <w:proofErr w:type="gramStart"/>
      <w:r w:rsidR="0091531C">
        <w:rPr>
          <w:i/>
        </w:rPr>
        <w:t>and</w:t>
      </w:r>
      <w:proofErr w:type="gramEnd"/>
      <w:r w:rsidR="0091531C">
        <w:rPr>
          <w:i/>
        </w:rPr>
        <w:t xml:space="preserve"> 9.2.1.1.</w:t>
      </w:r>
      <w:r w:rsidR="0091531C" w:rsidRPr="005C5A37">
        <w:rPr>
          <w:i/>
        </w:rPr>
        <w:t>,</w:t>
      </w:r>
      <w:r w:rsidR="0091531C" w:rsidRPr="005C5A37">
        <w:t xml:space="preserve"> amend to read:</w:t>
      </w:r>
    </w:p>
    <w:p w14:paraId="39C28376" w14:textId="77777777" w:rsidR="0091531C" w:rsidRPr="005C5A37" w:rsidRDefault="0091531C" w:rsidP="0091531C">
      <w:pPr>
        <w:spacing w:after="120"/>
        <w:ind w:left="2268" w:right="1134" w:hanging="1134"/>
        <w:jc w:val="both"/>
      </w:pPr>
      <w:r w:rsidRPr="005C5A37">
        <w:t>"9.2.1.</w:t>
      </w:r>
      <w:r w:rsidRPr="005C5A37">
        <w:tab/>
        <w:t xml:space="preserve">Linearity verification </w:t>
      </w:r>
    </w:p>
    <w:p w14:paraId="763A088D" w14:textId="77777777" w:rsidR="0091531C" w:rsidRPr="005C5A37" w:rsidRDefault="0091531C" w:rsidP="0091531C">
      <w:pPr>
        <w:spacing w:after="120"/>
        <w:ind w:left="2268" w:right="1134" w:hanging="1134"/>
        <w:jc w:val="both"/>
      </w:pPr>
      <w:r w:rsidRPr="005C5A37">
        <w:t>9.2.1.1</w:t>
      </w:r>
      <w:r>
        <w:t>.</w:t>
      </w:r>
      <w:r w:rsidRPr="005C5A37">
        <w:tab/>
        <w:t>Introduction</w:t>
      </w:r>
    </w:p>
    <w:p w14:paraId="2B66FC64" w14:textId="77777777" w:rsidR="0091531C" w:rsidRDefault="0091531C" w:rsidP="0091531C">
      <w:pPr>
        <w:spacing w:after="120"/>
        <w:ind w:left="2268" w:right="1134"/>
        <w:jc w:val="both"/>
      </w:pPr>
      <w:proofErr w:type="gramStart"/>
      <w:r w:rsidRPr="005C5A37">
        <w:t>A linearity</w:t>
      </w:r>
      <w:proofErr w:type="gramEnd"/>
      <w:r w:rsidRPr="005C5A37">
        <w:t xml:space="preserve"> verification shall be performed for each measurement system listed in Table 7. At least 10 reference values, or as specified otherwise, shall be introduced to the measurement system. </w:t>
      </w:r>
      <w:r w:rsidRPr="00553853">
        <w:t xml:space="preserve">For stand-alone pressure and temperature linearity verifications, at least three reference values </w:t>
      </w:r>
      <w:proofErr w:type="gramStart"/>
      <w:r w:rsidRPr="00553853">
        <w:t>shall be selected</w:t>
      </w:r>
      <w:proofErr w:type="gramEnd"/>
      <w:r w:rsidRPr="00553853">
        <w:t>.</w:t>
      </w:r>
      <w:r w:rsidRPr="005C5A37">
        <w:t xml:space="preserve"> </w:t>
      </w:r>
      <w:r w:rsidRPr="00553853">
        <w:t>T</w:t>
      </w:r>
      <w:r w:rsidRPr="005C5A37">
        <w:t xml:space="preserve">he measured values </w:t>
      </w:r>
      <w:proofErr w:type="gramStart"/>
      <w:r w:rsidRPr="005C5A37">
        <w:t>shall be compared</w:t>
      </w:r>
      <w:proofErr w:type="gramEnd"/>
      <w:r w:rsidRPr="005C5A37">
        <w:t xml:space="preserve"> to the reference values by using a least squares linear regression in accordance with</w:t>
      </w:r>
      <w:r>
        <w:t xml:space="preserve"> equation 11 in paragraph 7.8.7.</w:t>
      </w:r>
      <w:r w:rsidRPr="005C5A37">
        <w:t xml:space="preserve"> The maximum limits in Table 7 refer to the maximum values expected during testing."</w:t>
      </w:r>
    </w:p>
    <w:p w14:paraId="3CA8F390" w14:textId="77777777" w:rsidR="00413FC2" w:rsidRDefault="0091531C" w:rsidP="0091531C">
      <w:pPr>
        <w:pStyle w:val="para"/>
        <w:ind w:left="1134" w:firstLine="0"/>
        <w:rPr>
          <w:i/>
          <w:lang w:val="en-US"/>
        </w:rPr>
      </w:pPr>
      <w:r w:rsidRPr="0082573D">
        <w:rPr>
          <w:i/>
          <w:lang w:val="en-US"/>
        </w:rPr>
        <w:t xml:space="preserve">Annex 9A, </w:t>
      </w:r>
    </w:p>
    <w:p w14:paraId="28ED42D9" w14:textId="453F7D5C" w:rsidR="0091531C" w:rsidRPr="0082573D" w:rsidRDefault="00413FC2" w:rsidP="0091531C">
      <w:pPr>
        <w:pStyle w:val="para"/>
        <w:ind w:left="1134" w:firstLine="0"/>
        <w:rPr>
          <w:i/>
          <w:lang w:val="en-US"/>
        </w:rPr>
      </w:pPr>
      <w:proofErr w:type="gramStart"/>
      <w:r>
        <w:rPr>
          <w:i/>
          <w:lang w:val="en-US"/>
        </w:rPr>
        <w:t>P</w:t>
      </w:r>
      <w:r w:rsidR="0091531C" w:rsidRPr="0082573D">
        <w:rPr>
          <w:i/>
          <w:lang w:val="en-US"/>
        </w:rPr>
        <w:t>aragraph 2.3.1.</w:t>
      </w:r>
      <w:proofErr w:type="gramEnd"/>
      <w:r w:rsidR="0091531C" w:rsidRPr="0082573D">
        <w:rPr>
          <w:i/>
          <w:lang w:val="en-US"/>
        </w:rPr>
        <w:t>,</w:t>
      </w:r>
      <w:r w:rsidR="0091531C" w:rsidRPr="0082573D">
        <w:rPr>
          <w:lang w:val="en-US"/>
        </w:rPr>
        <w:t xml:space="preserve"> </w:t>
      </w:r>
      <w:proofErr w:type="gramStart"/>
      <w:r w:rsidR="0091531C" w:rsidRPr="0082573D">
        <w:rPr>
          <w:lang w:val="en-US"/>
        </w:rPr>
        <w:t>amend to read</w:t>
      </w:r>
      <w:proofErr w:type="gramEnd"/>
      <w:r w:rsidR="0091531C" w:rsidRPr="0082573D">
        <w:rPr>
          <w:lang w:val="en-US"/>
        </w:rPr>
        <w:t>:</w:t>
      </w:r>
    </w:p>
    <w:p w14:paraId="312A535A" w14:textId="77777777" w:rsidR="0091531C" w:rsidRPr="00923A95" w:rsidRDefault="0091531C" w:rsidP="0091531C">
      <w:pPr>
        <w:spacing w:after="120"/>
        <w:ind w:left="2268" w:right="1134" w:hanging="1134"/>
        <w:jc w:val="both"/>
      </w:pPr>
      <w:r>
        <w:t>"2.3.1.</w:t>
      </w:r>
      <w:r>
        <w:tab/>
        <w:t>Malfunctioning injectors</w:t>
      </w:r>
    </w:p>
    <w:p w14:paraId="3FCC7957" w14:textId="77777777" w:rsidR="0091531C" w:rsidRPr="00520895" w:rsidRDefault="0091531C" w:rsidP="0091531C">
      <w:pPr>
        <w:pStyle w:val="SingleTxtG"/>
        <w:spacing w:before="120"/>
        <w:ind w:left="2268"/>
        <w:rPr>
          <w:b/>
        </w:rPr>
      </w:pPr>
      <w:r w:rsidRPr="00A27FDD">
        <w:t xml:space="preserve">As an alternative to the monitor specified in line (d) of the table in item 7 of Appendix 3 to </w:t>
      </w:r>
      <w:proofErr w:type="gramStart"/>
      <w:r w:rsidRPr="00A27FDD">
        <w:t>Annex</w:t>
      </w:r>
      <w:proofErr w:type="gramEnd"/>
      <w:r w:rsidRPr="00A27FDD">
        <w:t xml:space="preserve"> 9B to this Regulation, the manufacturer may opt for compliance with the provisions specified in paragraphs 2.3.1.1. </w:t>
      </w:r>
      <w:proofErr w:type="gramStart"/>
      <w:r w:rsidRPr="00A27FDD">
        <w:t>to</w:t>
      </w:r>
      <w:proofErr w:type="gramEnd"/>
      <w:r w:rsidRPr="00A27FDD">
        <w:t xml:space="preserve"> 2.3.1.2.1. </w:t>
      </w:r>
      <w:proofErr w:type="gramStart"/>
      <w:r w:rsidRPr="00A27FDD">
        <w:t>of</w:t>
      </w:r>
      <w:proofErr w:type="gramEnd"/>
      <w:r w:rsidRPr="00A27FDD">
        <w:t xml:space="preserve"> this </w:t>
      </w:r>
      <w:r>
        <w:t>a</w:t>
      </w:r>
      <w:r w:rsidRPr="00A27FDD">
        <w:t>nnex.</w:t>
      </w:r>
      <w:r w:rsidRPr="00B6462C">
        <w:t>"</w:t>
      </w:r>
    </w:p>
    <w:p w14:paraId="70CF7ED2" w14:textId="77777777" w:rsidR="00413FC2" w:rsidRDefault="0091531C" w:rsidP="0091531C">
      <w:pPr>
        <w:pStyle w:val="para"/>
        <w:tabs>
          <w:tab w:val="left" w:pos="2160"/>
        </w:tabs>
        <w:ind w:left="2160" w:hanging="1026"/>
        <w:rPr>
          <w:i/>
          <w:lang w:val="en-US"/>
        </w:rPr>
      </w:pPr>
      <w:r w:rsidRPr="0082573D">
        <w:rPr>
          <w:i/>
          <w:lang w:val="en-US"/>
        </w:rPr>
        <w:t xml:space="preserve">Annex 9B, </w:t>
      </w:r>
    </w:p>
    <w:p w14:paraId="2257C9B0" w14:textId="7E1E7084" w:rsidR="0091531C" w:rsidRPr="0082573D" w:rsidRDefault="0091531C" w:rsidP="0091531C">
      <w:pPr>
        <w:pStyle w:val="para"/>
        <w:tabs>
          <w:tab w:val="left" w:pos="2160"/>
        </w:tabs>
        <w:ind w:left="2160" w:hanging="1026"/>
        <w:rPr>
          <w:i/>
          <w:lang w:val="en-US"/>
        </w:rPr>
      </w:pPr>
      <w:r w:rsidRPr="0082573D">
        <w:rPr>
          <w:i/>
          <w:lang w:val="en-US"/>
        </w:rPr>
        <w:t>Appendix 3, Item 7,</w:t>
      </w:r>
      <w:r w:rsidRPr="0082573D">
        <w:rPr>
          <w:lang w:val="en-US"/>
        </w:rPr>
        <w:t xml:space="preserve"> amend to read:</w:t>
      </w:r>
    </w:p>
    <w:p w14:paraId="1CE11891" w14:textId="77777777" w:rsidR="0091531C" w:rsidRPr="0082573D" w:rsidRDefault="0091531C" w:rsidP="0091531C">
      <w:pPr>
        <w:pStyle w:val="para"/>
        <w:ind w:left="1134" w:firstLine="0"/>
        <w:rPr>
          <w:lang w:val="en-US"/>
        </w:rPr>
      </w:pPr>
      <w:r w:rsidRPr="0082573D">
        <w:rPr>
          <w:lang w:val="en-US"/>
        </w:rPr>
        <w:t>"Fuel System monitoring</w:t>
      </w:r>
    </w:p>
    <w:p w14:paraId="02782BED" w14:textId="77777777" w:rsidR="0091531C" w:rsidRPr="0082573D" w:rsidRDefault="0091531C" w:rsidP="0091531C">
      <w:pPr>
        <w:pStyle w:val="para"/>
        <w:ind w:left="1134" w:firstLine="0"/>
        <w:rPr>
          <w:lang w:val="en-US"/>
        </w:rPr>
      </w:pPr>
      <w:r w:rsidRPr="0082573D">
        <w:rPr>
          <w:lang w:val="en-US"/>
        </w:rPr>
        <w:t xml:space="preserve">The OBD system shall monitor the following elements of the fuel system on engines </w:t>
      </w:r>
      <w:proofErr w:type="gramStart"/>
      <w:r w:rsidRPr="0082573D">
        <w:rPr>
          <w:lang w:val="en-US"/>
        </w:rPr>
        <w:t>so-equipped</w:t>
      </w:r>
      <w:proofErr w:type="gramEnd"/>
      <w:r w:rsidRPr="0082573D">
        <w:rPr>
          <w:lang w:val="en-US"/>
        </w:rPr>
        <w:t xml:space="preserve"> for proper operation:</w:t>
      </w:r>
    </w:p>
    <w:tbl>
      <w:tblPr>
        <w:tblW w:w="73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1134"/>
        <w:gridCol w:w="992"/>
      </w:tblGrid>
      <w:tr w:rsidR="0091531C" w:rsidRPr="00923A95" w14:paraId="7DF8653E" w14:textId="77777777" w:rsidTr="001A51EF">
        <w:trPr>
          <w:tblHeader/>
        </w:trPr>
        <w:tc>
          <w:tcPr>
            <w:tcW w:w="5245" w:type="dxa"/>
            <w:tcBorders>
              <w:top w:val="nil"/>
              <w:left w:val="nil"/>
              <w:bottom w:val="single" w:sz="12" w:space="0" w:color="auto"/>
            </w:tcBorders>
            <w:vAlign w:val="center"/>
          </w:tcPr>
          <w:p w14:paraId="5739CDE1" w14:textId="77777777" w:rsidR="0091531C" w:rsidRPr="0082573D" w:rsidRDefault="0091531C" w:rsidP="001A51EF">
            <w:pPr>
              <w:pStyle w:val="para"/>
              <w:spacing w:before="80" w:after="80" w:line="200" w:lineRule="atLeast"/>
              <w:rPr>
                <w:i/>
                <w:sz w:val="16"/>
                <w:szCs w:val="16"/>
                <w:lang w:val="en-US"/>
              </w:rPr>
            </w:pPr>
          </w:p>
        </w:tc>
        <w:tc>
          <w:tcPr>
            <w:tcW w:w="1134" w:type="dxa"/>
            <w:tcBorders>
              <w:bottom w:val="single" w:sz="12" w:space="0" w:color="auto"/>
            </w:tcBorders>
            <w:vAlign w:val="center"/>
          </w:tcPr>
          <w:p w14:paraId="5F9C2614" w14:textId="77777777" w:rsidR="0091531C" w:rsidRPr="00923A95" w:rsidRDefault="0091531C" w:rsidP="001A51EF">
            <w:pPr>
              <w:pStyle w:val="para"/>
              <w:ind w:left="601" w:right="121" w:hanging="567"/>
              <w:jc w:val="center"/>
              <w:rPr>
                <w:i/>
                <w:sz w:val="16"/>
                <w:szCs w:val="16"/>
              </w:rPr>
            </w:pPr>
            <w:r w:rsidRPr="00923A95">
              <w:rPr>
                <w:i/>
                <w:sz w:val="16"/>
                <w:szCs w:val="16"/>
              </w:rPr>
              <w:t>Diesel</w:t>
            </w:r>
          </w:p>
        </w:tc>
        <w:tc>
          <w:tcPr>
            <w:tcW w:w="992" w:type="dxa"/>
            <w:tcBorders>
              <w:bottom w:val="single" w:sz="12" w:space="0" w:color="auto"/>
            </w:tcBorders>
            <w:vAlign w:val="center"/>
          </w:tcPr>
          <w:p w14:paraId="046DA8FB" w14:textId="77777777" w:rsidR="0091531C" w:rsidRPr="00923A95" w:rsidRDefault="0091531C" w:rsidP="001A51EF">
            <w:pPr>
              <w:pStyle w:val="para"/>
              <w:ind w:left="601" w:right="121" w:hanging="567"/>
              <w:jc w:val="center"/>
              <w:rPr>
                <w:i/>
                <w:sz w:val="16"/>
                <w:szCs w:val="16"/>
              </w:rPr>
            </w:pPr>
            <w:r w:rsidRPr="00923A95">
              <w:rPr>
                <w:i/>
                <w:sz w:val="16"/>
                <w:szCs w:val="16"/>
              </w:rPr>
              <w:t>Gas</w:t>
            </w:r>
          </w:p>
        </w:tc>
      </w:tr>
      <w:tr w:rsidR="0091531C" w:rsidRPr="00923A95" w14:paraId="5B7AD971" w14:textId="77777777" w:rsidTr="001A51EF">
        <w:tc>
          <w:tcPr>
            <w:tcW w:w="5245" w:type="dxa"/>
            <w:tcBorders>
              <w:top w:val="single" w:sz="12" w:space="0" w:color="auto"/>
            </w:tcBorders>
            <w:vAlign w:val="center"/>
          </w:tcPr>
          <w:p w14:paraId="3D510757" w14:textId="77777777" w:rsidR="0091531C" w:rsidRPr="0082573D" w:rsidRDefault="0091531C" w:rsidP="001A51EF">
            <w:pPr>
              <w:pStyle w:val="para"/>
              <w:spacing w:before="80" w:after="80" w:line="200" w:lineRule="atLeast"/>
              <w:ind w:left="591" w:right="115" w:hanging="562"/>
              <w:rPr>
                <w:lang w:val="en-US"/>
              </w:rPr>
            </w:pPr>
            <w:r w:rsidRPr="0082573D">
              <w:rPr>
                <w:lang w:val="en-US"/>
              </w:rPr>
              <w:t>(a)</w:t>
            </w:r>
            <w:r w:rsidRPr="0082573D">
              <w:rPr>
                <w:lang w:val="en-US"/>
              </w:rPr>
              <w:tab/>
              <w:t>Fuel system pressure control: fuel system ability to achieve the commanded fuel pressure in closed loop control - performance monitoring.</w:t>
            </w:r>
          </w:p>
        </w:tc>
        <w:tc>
          <w:tcPr>
            <w:tcW w:w="1134" w:type="dxa"/>
            <w:tcBorders>
              <w:top w:val="single" w:sz="12" w:space="0" w:color="auto"/>
            </w:tcBorders>
            <w:vAlign w:val="center"/>
          </w:tcPr>
          <w:p w14:paraId="68936C58" w14:textId="77777777" w:rsidR="0091531C" w:rsidRPr="00923A95" w:rsidRDefault="0091531C" w:rsidP="001A51EF">
            <w:pPr>
              <w:pStyle w:val="para"/>
              <w:ind w:left="601" w:right="121" w:hanging="567"/>
              <w:jc w:val="center"/>
            </w:pPr>
            <w:r w:rsidRPr="00923A95">
              <w:t>X</w:t>
            </w:r>
          </w:p>
        </w:tc>
        <w:tc>
          <w:tcPr>
            <w:tcW w:w="992" w:type="dxa"/>
            <w:tcBorders>
              <w:top w:val="single" w:sz="12" w:space="0" w:color="auto"/>
            </w:tcBorders>
            <w:vAlign w:val="center"/>
          </w:tcPr>
          <w:p w14:paraId="7AB060B4" w14:textId="77777777" w:rsidR="0091531C" w:rsidRPr="00923A95" w:rsidRDefault="0091531C" w:rsidP="001A51EF">
            <w:pPr>
              <w:pStyle w:val="para"/>
              <w:ind w:left="601" w:right="121" w:hanging="567"/>
              <w:jc w:val="center"/>
            </w:pPr>
          </w:p>
        </w:tc>
      </w:tr>
      <w:tr w:rsidR="0091531C" w:rsidRPr="00923A95" w14:paraId="7236BD41" w14:textId="77777777" w:rsidTr="001A51EF">
        <w:tc>
          <w:tcPr>
            <w:tcW w:w="5245" w:type="dxa"/>
            <w:vAlign w:val="center"/>
          </w:tcPr>
          <w:p w14:paraId="12F4AE3A" w14:textId="77777777" w:rsidR="0091531C" w:rsidRPr="0082573D" w:rsidRDefault="0091531C" w:rsidP="001A51EF">
            <w:pPr>
              <w:pStyle w:val="para"/>
              <w:spacing w:before="80" w:after="80" w:line="200" w:lineRule="atLeast"/>
              <w:ind w:left="591" w:right="115" w:hanging="562"/>
              <w:rPr>
                <w:lang w:val="en-US"/>
              </w:rPr>
            </w:pPr>
            <w:r w:rsidRPr="0082573D">
              <w:rPr>
                <w:lang w:val="en-US"/>
              </w:rPr>
              <w:t>(b)</w:t>
            </w:r>
            <w:r w:rsidRPr="0082573D">
              <w:rPr>
                <w:lang w:val="en-US"/>
              </w:rPr>
              <w:tab/>
              <w:t>Fuel system pressure control: fuel system ability to achieve the commanded fuel pressure in closed loop control in the case where the system is so constructed that the pressure can be controlled independently of other parameters - performance monitoring.</w:t>
            </w:r>
          </w:p>
        </w:tc>
        <w:tc>
          <w:tcPr>
            <w:tcW w:w="1134" w:type="dxa"/>
            <w:vAlign w:val="center"/>
          </w:tcPr>
          <w:p w14:paraId="4FCCA94E" w14:textId="77777777" w:rsidR="0091531C" w:rsidRPr="00923A95" w:rsidRDefault="0091531C" w:rsidP="001A51EF">
            <w:pPr>
              <w:pStyle w:val="para"/>
              <w:ind w:left="601" w:right="121" w:hanging="567"/>
              <w:jc w:val="center"/>
            </w:pPr>
            <w:r w:rsidRPr="00923A95">
              <w:t>X</w:t>
            </w:r>
          </w:p>
        </w:tc>
        <w:tc>
          <w:tcPr>
            <w:tcW w:w="992" w:type="dxa"/>
            <w:vAlign w:val="center"/>
          </w:tcPr>
          <w:p w14:paraId="7988050D" w14:textId="77777777" w:rsidR="0091531C" w:rsidRPr="00923A95" w:rsidRDefault="0091531C" w:rsidP="001A51EF">
            <w:pPr>
              <w:pStyle w:val="para"/>
              <w:ind w:left="601" w:right="121" w:hanging="567"/>
              <w:jc w:val="center"/>
            </w:pPr>
          </w:p>
        </w:tc>
      </w:tr>
      <w:tr w:rsidR="0091531C" w:rsidRPr="00923A95" w14:paraId="3AF2C8A4" w14:textId="77777777" w:rsidTr="001A51EF">
        <w:tc>
          <w:tcPr>
            <w:tcW w:w="5245" w:type="dxa"/>
            <w:vAlign w:val="center"/>
          </w:tcPr>
          <w:p w14:paraId="3907586E" w14:textId="77777777" w:rsidR="0091531C" w:rsidRPr="0082573D" w:rsidRDefault="0091531C" w:rsidP="001A51EF">
            <w:pPr>
              <w:pStyle w:val="para"/>
              <w:spacing w:before="80" w:after="80" w:line="200" w:lineRule="atLeast"/>
              <w:ind w:left="591" w:right="115" w:hanging="562"/>
              <w:rPr>
                <w:lang w:val="en-US"/>
              </w:rPr>
            </w:pPr>
            <w:r w:rsidRPr="0082573D">
              <w:rPr>
                <w:lang w:val="en-US"/>
              </w:rPr>
              <w:t>(c)</w:t>
            </w:r>
            <w:r w:rsidRPr="0082573D">
              <w:rPr>
                <w:lang w:val="en-US"/>
              </w:rPr>
              <w:tab/>
              <w:t>Fuel injection timing: fuel system ability to achieve the commanded fuel timing for at least one of the injection events when the engine is equipped with the appropriate sensors - performance monitoring.</w:t>
            </w:r>
          </w:p>
        </w:tc>
        <w:tc>
          <w:tcPr>
            <w:tcW w:w="1134" w:type="dxa"/>
            <w:vAlign w:val="center"/>
          </w:tcPr>
          <w:p w14:paraId="69D84A80" w14:textId="77777777" w:rsidR="0091531C" w:rsidRPr="00923A95" w:rsidRDefault="0091531C" w:rsidP="001A51EF">
            <w:pPr>
              <w:pStyle w:val="para"/>
              <w:ind w:left="601" w:right="121" w:hanging="567"/>
              <w:jc w:val="center"/>
            </w:pPr>
            <w:r w:rsidRPr="00923A95">
              <w:t>X</w:t>
            </w:r>
          </w:p>
        </w:tc>
        <w:tc>
          <w:tcPr>
            <w:tcW w:w="992" w:type="dxa"/>
            <w:vAlign w:val="center"/>
          </w:tcPr>
          <w:p w14:paraId="29AF08D6" w14:textId="77777777" w:rsidR="0091531C" w:rsidRPr="00923A95" w:rsidRDefault="0091531C" w:rsidP="001A51EF">
            <w:pPr>
              <w:pStyle w:val="para"/>
              <w:ind w:left="601" w:right="121" w:hanging="567"/>
              <w:jc w:val="center"/>
            </w:pPr>
          </w:p>
        </w:tc>
      </w:tr>
      <w:tr w:rsidR="0091531C" w:rsidRPr="00923A95" w14:paraId="61192A78" w14:textId="77777777" w:rsidTr="001A51EF">
        <w:tc>
          <w:tcPr>
            <w:tcW w:w="5245" w:type="dxa"/>
            <w:tcBorders>
              <w:bottom w:val="single" w:sz="4" w:space="0" w:color="auto"/>
            </w:tcBorders>
            <w:vAlign w:val="center"/>
          </w:tcPr>
          <w:p w14:paraId="0F081FB0" w14:textId="77777777" w:rsidR="0091531C" w:rsidRPr="0082573D" w:rsidRDefault="0091531C" w:rsidP="001A51EF">
            <w:pPr>
              <w:pStyle w:val="para"/>
              <w:spacing w:before="80" w:after="80" w:line="200" w:lineRule="atLeast"/>
              <w:ind w:left="591" w:right="115" w:hanging="562"/>
              <w:rPr>
                <w:lang w:val="en-US"/>
              </w:rPr>
            </w:pPr>
            <w:r w:rsidRPr="0082573D">
              <w:rPr>
                <w:lang w:val="en-US"/>
              </w:rPr>
              <w:t>(d)</w:t>
            </w:r>
            <w:r w:rsidRPr="0082573D">
              <w:rPr>
                <w:lang w:val="en-US"/>
              </w:rPr>
              <w:tab/>
            </w:r>
            <w:r w:rsidRPr="0042284A">
              <w:rPr>
                <w:lang w:val="en-US"/>
              </w:rPr>
              <w:t xml:space="preserve">Fuel injection quantity: fuel system ability to achieve the commanded fuel quantity by detecting errors from desired fuel quantity in at least one of the injection events when the engine is equipped with the appropriate sensors </w:t>
            </w:r>
            <w:r w:rsidRPr="0042284A">
              <w:rPr>
                <w:color w:val="000000"/>
                <w:lang w:val="en-US"/>
              </w:rPr>
              <w:t>(e.g. in pre- main- or post-injection)</w:t>
            </w:r>
            <w:r w:rsidRPr="0042284A">
              <w:rPr>
                <w:lang w:val="en-US"/>
              </w:rPr>
              <w:t xml:space="preserve"> – emission threshold monitoring.</w:t>
            </w:r>
          </w:p>
        </w:tc>
        <w:tc>
          <w:tcPr>
            <w:tcW w:w="1134" w:type="dxa"/>
            <w:tcBorders>
              <w:bottom w:val="single" w:sz="4" w:space="0" w:color="auto"/>
            </w:tcBorders>
            <w:vAlign w:val="center"/>
          </w:tcPr>
          <w:p w14:paraId="45B449D3" w14:textId="77777777" w:rsidR="0091531C" w:rsidRPr="00923A95" w:rsidRDefault="0091531C" w:rsidP="001A51EF">
            <w:pPr>
              <w:pStyle w:val="para"/>
              <w:ind w:left="601" w:right="121" w:hanging="567"/>
              <w:jc w:val="center"/>
            </w:pPr>
            <w:r>
              <w:t>X</w:t>
            </w:r>
          </w:p>
        </w:tc>
        <w:tc>
          <w:tcPr>
            <w:tcW w:w="992" w:type="dxa"/>
            <w:tcBorders>
              <w:bottom w:val="single" w:sz="4" w:space="0" w:color="auto"/>
            </w:tcBorders>
            <w:vAlign w:val="center"/>
          </w:tcPr>
          <w:p w14:paraId="308107E8" w14:textId="77777777" w:rsidR="0091531C" w:rsidRPr="00923A95" w:rsidRDefault="0091531C" w:rsidP="001A51EF">
            <w:pPr>
              <w:pStyle w:val="para"/>
              <w:ind w:left="601" w:right="121" w:hanging="567"/>
              <w:jc w:val="center"/>
            </w:pPr>
          </w:p>
        </w:tc>
      </w:tr>
      <w:tr w:rsidR="0091531C" w:rsidRPr="00923A95" w14:paraId="18197EA7" w14:textId="77777777" w:rsidTr="001A51EF">
        <w:tc>
          <w:tcPr>
            <w:tcW w:w="5245" w:type="dxa"/>
            <w:tcBorders>
              <w:bottom w:val="single" w:sz="12" w:space="0" w:color="auto"/>
            </w:tcBorders>
            <w:vAlign w:val="center"/>
          </w:tcPr>
          <w:p w14:paraId="1D7F199C" w14:textId="77777777" w:rsidR="0091531C" w:rsidRPr="0042284A" w:rsidRDefault="0091531C" w:rsidP="001A51EF">
            <w:pPr>
              <w:pStyle w:val="para"/>
              <w:spacing w:before="80" w:after="80" w:line="200" w:lineRule="atLeast"/>
              <w:ind w:left="591" w:right="115" w:hanging="562"/>
              <w:rPr>
                <w:lang w:val="en-US"/>
              </w:rPr>
            </w:pPr>
            <w:proofErr w:type="gramStart"/>
            <w:r w:rsidRPr="0042284A">
              <w:rPr>
                <w:lang w:val="en-US"/>
              </w:rPr>
              <w:lastRenderedPageBreak/>
              <w:t>(e)</w:t>
            </w:r>
            <w:r w:rsidRPr="0042284A">
              <w:rPr>
                <w:lang w:val="en-US"/>
              </w:rPr>
              <w:tab/>
              <w:t>Fuel injection system: ability to maintain the desired air-fuel ratio (incl. but not limited to self-adaptation features) – performance monitoring.</w:t>
            </w:r>
            <w:proofErr w:type="gramEnd"/>
          </w:p>
        </w:tc>
        <w:tc>
          <w:tcPr>
            <w:tcW w:w="1134" w:type="dxa"/>
            <w:tcBorders>
              <w:bottom w:val="single" w:sz="12" w:space="0" w:color="auto"/>
            </w:tcBorders>
            <w:vAlign w:val="center"/>
          </w:tcPr>
          <w:p w14:paraId="30062B3F" w14:textId="77777777" w:rsidR="0091531C" w:rsidRPr="0082573D" w:rsidRDefault="0091531C" w:rsidP="001A51EF">
            <w:pPr>
              <w:pStyle w:val="para"/>
              <w:ind w:left="601" w:right="121" w:hanging="567"/>
              <w:jc w:val="center"/>
              <w:rPr>
                <w:lang w:val="en-US"/>
              </w:rPr>
            </w:pPr>
          </w:p>
        </w:tc>
        <w:tc>
          <w:tcPr>
            <w:tcW w:w="992" w:type="dxa"/>
            <w:tcBorders>
              <w:bottom w:val="single" w:sz="12" w:space="0" w:color="auto"/>
            </w:tcBorders>
            <w:vAlign w:val="center"/>
          </w:tcPr>
          <w:p w14:paraId="77B5E4DA" w14:textId="77777777" w:rsidR="0091531C" w:rsidRPr="00923A95" w:rsidRDefault="0091531C" w:rsidP="001A51EF">
            <w:pPr>
              <w:pStyle w:val="para"/>
              <w:ind w:left="601" w:right="121" w:hanging="567"/>
              <w:jc w:val="center"/>
            </w:pPr>
            <w:r w:rsidRPr="00923A95">
              <w:t>X</w:t>
            </w:r>
          </w:p>
        </w:tc>
      </w:tr>
    </w:tbl>
    <w:p w14:paraId="251C7F19" w14:textId="77777777" w:rsidR="0091531C" w:rsidRPr="005C5A37" w:rsidRDefault="0091531C" w:rsidP="0091531C">
      <w:pPr>
        <w:ind w:left="2268" w:right="1134"/>
        <w:jc w:val="right"/>
      </w:pPr>
      <w:r w:rsidRPr="005C5A37">
        <w:t>"</w:t>
      </w:r>
    </w:p>
    <w:p w14:paraId="39C34289" w14:textId="77777777" w:rsidR="00413FC2" w:rsidRDefault="0091531C" w:rsidP="0091531C">
      <w:pPr>
        <w:pStyle w:val="NormalWeb"/>
        <w:kinsoku w:val="0"/>
        <w:overflowPunct w:val="0"/>
        <w:spacing w:after="120"/>
        <w:ind w:left="1134" w:right="1134"/>
        <w:textAlignment w:val="baseline"/>
        <w:rPr>
          <w:i/>
          <w:iCs/>
          <w:sz w:val="20"/>
          <w:szCs w:val="20"/>
          <w:lang w:val="en-US"/>
        </w:rPr>
      </w:pPr>
      <w:r>
        <w:rPr>
          <w:i/>
          <w:iCs/>
          <w:sz w:val="20"/>
          <w:szCs w:val="20"/>
          <w:lang w:val="en-US"/>
        </w:rPr>
        <w:t xml:space="preserve">Annex 10, </w:t>
      </w:r>
    </w:p>
    <w:p w14:paraId="51449EEC" w14:textId="2FB91EB2" w:rsidR="0091531C" w:rsidRDefault="00413FC2" w:rsidP="0091531C">
      <w:pPr>
        <w:pStyle w:val="NormalWeb"/>
        <w:kinsoku w:val="0"/>
        <w:overflowPunct w:val="0"/>
        <w:spacing w:after="120"/>
        <w:ind w:left="1134" w:right="1134"/>
        <w:textAlignment w:val="baseline"/>
        <w:rPr>
          <w:bCs/>
        </w:rPr>
      </w:pPr>
      <w:r>
        <w:rPr>
          <w:i/>
          <w:iCs/>
          <w:sz w:val="20"/>
          <w:szCs w:val="20"/>
          <w:lang w:val="en-US"/>
        </w:rPr>
        <w:t>P</w:t>
      </w:r>
      <w:r w:rsidR="0091531C">
        <w:rPr>
          <w:i/>
          <w:iCs/>
          <w:sz w:val="20"/>
          <w:szCs w:val="20"/>
          <w:lang w:val="en-US"/>
        </w:rPr>
        <w:t xml:space="preserve">aragraph </w:t>
      </w:r>
      <w:proofErr w:type="gramStart"/>
      <w:r w:rsidR="0091531C">
        <w:rPr>
          <w:i/>
          <w:iCs/>
          <w:sz w:val="20"/>
          <w:szCs w:val="20"/>
          <w:lang w:val="en-US"/>
        </w:rPr>
        <w:t>11.,</w:t>
      </w:r>
      <w:proofErr w:type="gramEnd"/>
      <w:r w:rsidR="0091531C">
        <w:rPr>
          <w:i/>
          <w:iCs/>
          <w:sz w:val="20"/>
          <w:szCs w:val="20"/>
          <w:lang w:val="en-US"/>
        </w:rPr>
        <w:t xml:space="preserve"> </w:t>
      </w:r>
      <w:r w:rsidR="0091531C">
        <w:rPr>
          <w:iCs/>
          <w:sz w:val="20"/>
          <w:szCs w:val="20"/>
          <w:lang w:val="en-US"/>
        </w:rPr>
        <w:t>amend to read:</w:t>
      </w:r>
    </w:p>
    <w:p w14:paraId="5091B074" w14:textId="77777777" w:rsidR="0091531C" w:rsidRPr="005B2508" w:rsidRDefault="0091531C" w:rsidP="0091531C">
      <w:pPr>
        <w:pStyle w:val="para"/>
        <w:rPr>
          <w:lang w:val="en-US"/>
        </w:rPr>
      </w:pPr>
      <w:bookmarkStart w:id="3" w:name="_Toc168287157"/>
      <w:bookmarkStart w:id="4" w:name="_Toc211310312"/>
      <w:r w:rsidRPr="005B2508">
        <w:rPr>
          <w:lang w:val="en-US"/>
        </w:rPr>
        <w:t>"11.</w:t>
      </w:r>
      <w:r w:rsidRPr="005B2508">
        <w:rPr>
          <w:lang w:val="en-US"/>
        </w:rPr>
        <w:tab/>
      </w:r>
      <w:r w:rsidRPr="005B2508">
        <w:rPr>
          <w:lang w:val="en-US"/>
        </w:rPr>
        <w:tab/>
        <w:t>Documentation</w:t>
      </w:r>
    </w:p>
    <w:p w14:paraId="002B417D" w14:textId="77777777" w:rsidR="0091531C" w:rsidRPr="005B2508" w:rsidRDefault="0091531C" w:rsidP="0091531C">
      <w:pPr>
        <w:pStyle w:val="para"/>
        <w:ind w:firstLine="0"/>
        <w:rPr>
          <w:lang w:val="en-US"/>
        </w:rPr>
      </w:pPr>
      <w:r w:rsidRPr="005B2508">
        <w:rPr>
          <w:lang w:val="en-US"/>
        </w:rPr>
        <w:t xml:space="preserve">The Type Approval Authority </w:t>
      </w:r>
      <w:r w:rsidRPr="004248F1">
        <w:rPr>
          <w:lang w:val="en-US"/>
        </w:rPr>
        <w:t>shall</w:t>
      </w:r>
      <w:r w:rsidRPr="005B2508">
        <w:rPr>
          <w:lang w:val="en-US"/>
        </w:rPr>
        <w:t xml:space="preserve"> require that the manufacturer </w:t>
      </w:r>
      <w:proofErr w:type="gramStart"/>
      <w:r w:rsidRPr="005B2508">
        <w:rPr>
          <w:lang w:val="en-US"/>
        </w:rPr>
        <w:t>provides</w:t>
      </w:r>
      <w:proofErr w:type="gramEnd"/>
      <w:r w:rsidRPr="005B2508">
        <w:rPr>
          <w:lang w:val="en-US"/>
        </w:rPr>
        <w:t xml:space="preserve"> a documentation package. This should describe any element of design and emission control strategy of the engine system and the means by which it controls its output variables, whether that control is direct or indirect.</w:t>
      </w:r>
    </w:p>
    <w:p w14:paraId="167C08BE" w14:textId="77777777" w:rsidR="0091531C" w:rsidRDefault="0091531C" w:rsidP="0091531C">
      <w:pPr>
        <w:pStyle w:val="Applicationdirecte"/>
        <w:spacing w:before="0"/>
        <w:ind w:left="2268" w:right="1134" w:hanging="1134"/>
      </w:pPr>
      <w:r>
        <w:rPr>
          <w:sz w:val="20"/>
        </w:rPr>
        <w:tab/>
        <w:t xml:space="preserve">The information </w:t>
      </w:r>
      <w:r w:rsidRPr="004248F1">
        <w:rPr>
          <w:sz w:val="20"/>
        </w:rPr>
        <w:t>shall</w:t>
      </w:r>
      <w:r>
        <w:rPr>
          <w:b/>
          <w:sz w:val="20"/>
        </w:rPr>
        <w:t xml:space="preserve"> </w:t>
      </w:r>
      <w:r>
        <w:rPr>
          <w:sz w:val="20"/>
        </w:rPr>
        <w:t xml:space="preserve">include a full description of the emission control strategy. In addition, this </w:t>
      </w:r>
      <w:r w:rsidRPr="004248F1">
        <w:rPr>
          <w:sz w:val="20"/>
        </w:rPr>
        <w:t>shall</w:t>
      </w:r>
      <w:r>
        <w:rPr>
          <w:sz w:val="20"/>
        </w:rPr>
        <w:t xml:space="preserve"> include information on the operation of all AES and BES, including a description of the parameters that </w:t>
      </w:r>
      <w:proofErr w:type="gramStart"/>
      <w:r>
        <w:rPr>
          <w:sz w:val="20"/>
        </w:rPr>
        <w:t>are modified</w:t>
      </w:r>
      <w:proofErr w:type="gramEnd"/>
      <w:r>
        <w:rPr>
          <w:sz w:val="20"/>
        </w:rPr>
        <w:t xml:space="preserve"> by any AES and the boundary conditions under which the AES operate, and indication of which AES and BES are likely to be active under the conditions of the test procedures in this annex.</w:t>
      </w:r>
      <w:bookmarkEnd w:id="3"/>
    </w:p>
    <w:p w14:paraId="2F681A92" w14:textId="77777777" w:rsidR="0091531C" w:rsidRPr="005B2508" w:rsidRDefault="0091531C" w:rsidP="0091531C">
      <w:pPr>
        <w:pStyle w:val="para"/>
        <w:ind w:firstLine="0"/>
        <w:rPr>
          <w:lang w:val="en-US"/>
        </w:rPr>
      </w:pPr>
      <w:r w:rsidRPr="00D55BC1">
        <w:rPr>
          <w:lang w:val="en-US"/>
        </w:rPr>
        <w:t>This information shall be made available in the "extended documentation package" according to the documentation requirements specified in paragraph 5.1.4.</w:t>
      </w:r>
      <w:r w:rsidRPr="005B2508">
        <w:rPr>
          <w:lang w:val="en-US"/>
        </w:rPr>
        <w:t>"</w:t>
      </w:r>
      <w:bookmarkEnd w:id="4"/>
    </w:p>
    <w:p w14:paraId="47D02810" w14:textId="77777777" w:rsidR="0091531C" w:rsidRPr="00FD4196" w:rsidRDefault="0091531C" w:rsidP="0091531C">
      <w:pPr>
        <w:pStyle w:val="SingleTxtG"/>
        <w:spacing w:before="240" w:after="0"/>
        <w:jc w:val="center"/>
        <w:rPr>
          <w:u w:val="single"/>
        </w:rPr>
      </w:pPr>
      <w:r w:rsidRPr="00FD4196">
        <w:rPr>
          <w:u w:val="single"/>
        </w:rPr>
        <w:tab/>
      </w:r>
      <w:r w:rsidRPr="00FD4196">
        <w:rPr>
          <w:u w:val="single"/>
        </w:rPr>
        <w:tab/>
      </w:r>
      <w:r w:rsidRPr="00FD4196">
        <w:rPr>
          <w:u w:val="single"/>
        </w:rPr>
        <w:tab/>
      </w:r>
    </w:p>
    <w:p w14:paraId="64A0C940" w14:textId="581F86C5" w:rsidR="00DD0532" w:rsidRPr="00AF2205" w:rsidRDefault="00DD0532" w:rsidP="0091531C">
      <w:pPr>
        <w:tabs>
          <w:tab w:val="left" w:pos="2160"/>
        </w:tabs>
        <w:spacing w:after="120"/>
        <w:ind w:right="1134"/>
        <w:jc w:val="both"/>
        <w:rPr>
          <w:u w:val="single"/>
        </w:rPr>
      </w:pPr>
    </w:p>
    <w:sectPr w:rsidR="00DD0532" w:rsidRPr="00AF2205" w:rsidSect="008311A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F0473" w14:textId="3D8D8255"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654732">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9877D" w14:textId="782954D5"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654732">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F962F" w14:textId="5CC02719" w:rsidR="00814FDE" w:rsidRDefault="00814FDE" w:rsidP="00814FDE">
    <w:pPr>
      <w:pStyle w:val="Footer"/>
    </w:pPr>
    <w:r>
      <w:rPr>
        <w:rFonts w:ascii="C39T30Lfz" w:hAnsi="C39T30Lfz"/>
        <w:noProof/>
        <w:sz w:val="56"/>
        <w:lang w:eastAsia="en-GB"/>
      </w:rPr>
      <w:drawing>
        <wp:anchor distT="0" distB="0" distL="114300" distR="114300" simplePos="0" relativeHeight="251660288" behindDoc="0" locked="0" layoutInCell="1" allowOverlap="1" wp14:anchorId="5A415C9E" wp14:editId="02763B6D">
          <wp:simplePos x="0" y="0"/>
          <wp:positionH relativeFrom="column">
            <wp:posOffset>5497357</wp:posOffset>
          </wp:positionH>
          <wp:positionV relativeFrom="paragraph">
            <wp:posOffset>-3175</wp:posOffset>
          </wp:positionV>
          <wp:extent cx="638175" cy="638175"/>
          <wp:effectExtent l="0" t="0" r="9525" b="9525"/>
          <wp:wrapNone/>
          <wp:docPr id="2" name="Picture 1" descr="http://undocs.org/m2/QRCode.ashx?DS=E/ECE/324/Rev.1/Add.48/Rev.6/Amend.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ECE/324/Rev.1/Add.48/Rev.6/Amend.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DF9FAC" w14:textId="2A462AEC" w:rsidR="00814FDE" w:rsidRDefault="00814FDE" w:rsidP="00814FDE">
    <w:pPr>
      <w:pStyle w:val="Footer"/>
      <w:ind w:right="1134"/>
      <w:rPr>
        <w:sz w:val="20"/>
      </w:rP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6E8E533D" wp14:editId="60E9669D">
          <wp:simplePos x="0" y="0"/>
          <wp:positionH relativeFrom="margin">
            <wp:posOffset>4415155</wp:posOffset>
          </wp:positionH>
          <wp:positionV relativeFrom="margin">
            <wp:posOffset>8131810</wp:posOffset>
          </wp:positionV>
          <wp:extent cx="974725" cy="26733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sz w:val="20"/>
      </w:rPr>
      <w:t>GE.17-01812(E)</w:t>
    </w:r>
  </w:p>
  <w:p w14:paraId="442D5C43" w14:textId="7F9D9DEA" w:rsidR="00814FDE" w:rsidRPr="00814FDE" w:rsidRDefault="00814FDE" w:rsidP="00814FD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EAEC1D9" w14:textId="77777777" w:rsidR="00B701B3" w:rsidRPr="00E53330"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10B60" w14:textId="43CB23FF" w:rsidR="00B701B3" w:rsidRDefault="00B701B3">
    <w:pPr>
      <w:pStyle w:val="Header"/>
    </w:pPr>
    <w:r w:rsidRPr="00D623A7">
      <w:t>E/ECE/324</w:t>
    </w:r>
    <w:r w:rsidRPr="00841EB5">
      <w:t>/</w:t>
    </w:r>
    <w:r w:rsidR="00FB03A9" w:rsidRPr="00FB03A9">
      <w:t>Rev.1/</w:t>
    </w:r>
    <w:r w:rsidR="00DE0D87" w:rsidRPr="00DF4CC2">
      <w:t>Add.4</w:t>
    </w:r>
    <w:r w:rsidR="00E449D2">
      <w:t>8</w:t>
    </w:r>
    <w:r w:rsidR="00DE0D87" w:rsidRPr="00DF4CC2">
      <w:t>/Rev.</w:t>
    </w:r>
    <w:r w:rsidR="0091531C">
      <w:t>6</w:t>
    </w:r>
    <w:r w:rsidR="00DE0D87" w:rsidRPr="00DF4CC2">
      <w:t>/Amend.</w:t>
    </w:r>
    <w:r w:rsidR="0091531C">
      <w:t>4</w:t>
    </w:r>
    <w:r>
      <w:br/>
    </w:r>
    <w:r w:rsidRPr="00D623A7">
      <w:t>E/ECE/TRANS/505</w:t>
    </w:r>
    <w:r w:rsidRPr="00841EB5">
      <w:t>/</w:t>
    </w:r>
    <w:r w:rsidR="00FB03A9" w:rsidRPr="00FB03A9">
      <w:t>Rev.1/</w:t>
    </w:r>
    <w:r w:rsidR="00DE0D87" w:rsidRPr="00DF4CC2">
      <w:t>Add.4</w:t>
    </w:r>
    <w:r w:rsidR="00E449D2">
      <w:t>8</w:t>
    </w:r>
    <w:r w:rsidR="00DE0D87" w:rsidRPr="00DF4CC2">
      <w:t>/Rev.</w:t>
    </w:r>
    <w:r w:rsidR="0091531C">
      <w:t>6</w:t>
    </w:r>
    <w:r w:rsidR="00DE0D87" w:rsidRPr="00DF4CC2">
      <w:t>/Amend.</w:t>
    </w:r>
    <w:r w:rsidR="0091531C">
      <w:t>4</w:t>
    </w:r>
  </w:p>
  <w:p w14:paraId="30CE593D" w14:textId="77777777" w:rsidR="00BF4A36" w:rsidRPr="00BF4A36" w:rsidRDefault="00BF4A36" w:rsidP="00BF4A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F837B" w14:textId="7F8B7545" w:rsidR="00B701B3" w:rsidRDefault="00B701B3" w:rsidP="00776D12">
    <w:pPr>
      <w:pStyle w:val="Header"/>
      <w:jc w:val="right"/>
    </w:pPr>
    <w:r w:rsidRPr="00D623A7">
      <w:t>E/ECE/324/</w:t>
    </w:r>
    <w:r w:rsidR="00D508A0" w:rsidRPr="00D508A0">
      <w:t>Rev.1/</w:t>
    </w:r>
    <w:r w:rsidR="0091531C" w:rsidRPr="0091531C">
      <w:t>Add.48/Rev.6/Amend.4</w:t>
    </w:r>
    <w:r>
      <w:br/>
    </w:r>
    <w:r w:rsidRPr="00D623A7">
      <w:t>E/ECE/TRANS/505/</w:t>
    </w:r>
    <w:r w:rsidR="00D508A0" w:rsidRPr="00D508A0">
      <w:t>Rev.1/</w:t>
    </w:r>
    <w:r w:rsidR="0091531C" w:rsidRPr="00DF4CC2">
      <w:t>Add.4</w:t>
    </w:r>
    <w:r w:rsidR="0091531C">
      <w:t>8</w:t>
    </w:r>
    <w:r w:rsidR="0091531C" w:rsidRPr="00DF4CC2">
      <w:t>/Rev.</w:t>
    </w:r>
    <w:r w:rsidR="0091531C">
      <w:t>6</w:t>
    </w:r>
    <w:r w:rsidR="0091531C" w:rsidRPr="00DF4CC2">
      <w:t>/Amend.</w:t>
    </w:r>
    <w:r w:rsidR="0091531C">
      <w:t>4</w:t>
    </w:r>
  </w:p>
  <w:p w14:paraId="4823CE24" w14:textId="77777777" w:rsidR="00BF4A36" w:rsidRPr="00BF4A36" w:rsidRDefault="00BF4A36" w:rsidP="00BF4A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30"/>
    <w:rsid w:val="00050F6B"/>
    <w:rsid w:val="00072C8C"/>
    <w:rsid w:val="00086287"/>
    <w:rsid w:val="000931C0"/>
    <w:rsid w:val="000B175B"/>
    <w:rsid w:val="000B3A0F"/>
    <w:rsid w:val="000D3A4F"/>
    <w:rsid w:val="000E0415"/>
    <w:rsid w:val="001220B8"/>
    <w:rsid w:val="00132249"/>
    <w:rsid w:val="00134B40"/>
    <w:rsid w:val="001352D9"/>
    <w:rsid w:val="00165E82"/>
    <w:rsid w:val="001A66A2"/>
    <w:rsid w:val="001B4B04"/>
    <w:rsid w:val="001C6663"/>
    <w:rsid w:val="001C7895"/>
    <w:rsid w:val="001D26DF"/>
    <w:rsid w:val="001F1EB9"/>
    <w:rsid w:val="00211E0B"/>
    <w:rsid w:val="002405A7"/>
    <w:rsid w:val="0026507F"/>
    <w:rsid w:val="00271A7F"/>
    <w:rsid w:val="002A1E3A"/>
    <w:rsid w:val="003107FA"/>
    <w:rsid w:val="00312E48"/>
    <w:rsid w:val="003229D8"/>
    <w:rsid w:val="0033745A"/>
    <w:rsid w:val="003852F5"/>
    <w:rsid w:val="0039277A"/>
    <w:rsid w:val="003972E0"/>
    <w:rsid w:val="003C2CC4"/>
    <w:rsid w:val="003C3936"/>
    <w:rsid w:val="003D4B23"/>
    <w:rsid w:val="003F1ED3"/>
    <w:rsid w:val="00413FC2"/>
    <w:rsid w:val="004325CB"/>
    <w:rsid w:val="00440758"/>
    <w:rsid w:val="00445C26"/>
    <w:rsid w:val="00446DE4"/>
    <w:rsid w:val="004A41CA"/>
    <w:rsid w:val="004E3FEB"/>
    <w:rsid w:val="00503228"/>
    <w:rsid w:val="00505384"/>
    <w:rsid w:val="005420F2"/>
    <w:rsid w:val="0054561B"/>
    <w:rsid w:val="00582B38"/>
    <w:rsid w:val="005B3DB3"/>
    <w:rsid w:val="005E1409"/>
    <w:rsid w:val="00611FC4"/>
    <w:rsid w:val="00616B23"/>
    <w:rsid w:val="006176FB"/>
    <w:rsid w:val="00627ED0"/>
    <w:rsid w:val="00640B26"/>
    <w:rsid w:val="0064636E"/>
    <w:rsid w:val="00654732"/>
    <w:rsid w:val="00665595"/>
    <w:rsid w:val="0069341E"/>
    <w:rsid w:val="00694209"/>
    <w:rsid w:val="006A67EF"/>
    <w:rsid w:val="006A7392"/>
    <w:rsid w:val="006E564B"/>
    <w:rsid w:val="00713BD8"/>
    <w:rsid w:val="0072632A"/>
    <w:rsid w:val="00743CD6"/>
    <w:rsid w:val="00750602"/>
    <w:rsid w:val="00773830"/>
    <w:rsid w:val="00776D12"/>
    <w:rsid w:val="007B6BA5"/>
    <w:rsid w:val="007C3390"/>
    <w:rsid w:val="007C4F4B"/>
    <w:rsid w:val="007F0B83"/>
    <w:rsid w:val="007F6611"/>
    <w:rsid w:val="00814FDE"/>
    <w:rsid w:val="008175E9"/>
    <w:rsid w:val="008242D7"/>
    <w:rsid w:val="00827E05"/>
    <w:rsid w:val="008311A3"/>
    <w:rsid w:val="00841EB5"/>
    <w:rsid w:val="008518D5"/>
    <w:rsid w:val="00871FD5"/>
    <w:rsid w:val="008979B1"/>
    <w:rsid w:val="008A6B25"/>
    <w:rsid w:val="008A6C4F"/>
    <w:rsid w:val="008C3804"/>
    <w:rsid w:val="008C6693"/>
    <w:rsid w:val="008C6C29"/>
    <w:rsid w:val="008E0E46"/>
    <w:rsid w:val="00907AD2"/>
    <w:rsid w:val="0091531C"/>
    <w:rsid w:val="00963CBA"/>
    <w:rsid w:val="00974A8D"/>
    <w:rsid w:val="00991261"/>
    <w:rsid w:val="009F3A17"/>
    <w:rsid w:val="009F4994"/>
    <w:rsid w:val="00A1427D"/>
    <w:rsid w:val="00A41529"/>
    <w:rsid w:val="00A569D6"/>
    <w:rsid w:val="00A72F22"/>
    <w:rsid w:val="00A748A6"/>
    <w:rsid w:val="00A85956"/>
    <w:rsid w:val="00A879A4"/>
    <w:rsid w:val="00AA271E"/>
    <w:rsid w:val="00B30179"/>
    <w:rsid w:val="00B32121"/>
    <w:rsid w:val="00B33EC0"/>
    <w:rsid w:val="00B701B3"/>
    <w:rsid w:val="00B73257"/>
    <w:rsid w:val="00B81E12"/>
    <w:rsid w:val="00BC2683"/>
    <w:rsid w:val="00BC358D"/>
    <w:rsid w:val="00BC74E9"/>
    <w:rsid w:val="00BD2146"/>
    <w:rsid w:val="00BD538F"/>
    <w:rsid w:val="00BE4F74"/>
    <w:rsid w:val="00BE618E"/>
    <w:rsid w:val="00BF4A36"/>
    <w:rsid w:val="00C17699"/>
    <w:rsid w:val="00C41A28"/>
    <w:rsid w:val="00C463DD"/>
    <w:rsid w:val="00C711C7"/>
    <w:rsid w:val="00C71A58"/>
    <w:rsid w:val="00C745C3"/>
    <w:rsid w:val="00C84414"/>
    <w:rsid w:val="00CA1FD0"/>
    <w:rsid w:val="00CD7E5B"/>
    <w:rsid w:val="00CE4A8F"/>
    <w:rsid w:val="00CE5E33"/>
    <w:rsid w:val="00D0176C"/>
    <w:rsid w:val="00D2031B"/>
    <w:rsid w:val="00D25FE2"/>
    <w:rsid w:val="00D317BB"/>
    <w:rsid w:val="00D43252"/>
    <w:rsid w:val="00D508A0"/>
    <w:rsid w:val="00D5540C"/>
    <w:rsid w:val="00D623A7"/>
    <w:rsid w:val="00D6614F"/>
    <w:rsid w:val="00D978C6"/>
    <w:rsid w:val="00DA4B4F"/>
    <w:rsid w:val="00DA67AD"/>
    <w:rsid w:val="00DB5D0F"/>
    <w:rsid w:val="00DC3F07"/>
    <w:rsid w:val="00DD0532"/>
    <w:rsid w:val="00DE0D87"/>
    <w:rsid w:val="00DE5D62"/>
    <w:rsid w:val="00DF12F7"/>
    <w:rsid w:val="00DF3A2D"/>
    <w:rsid w:val="00DF4CC2"/>
    <w:rsid w:val="00E02C81"/>
    <w:rsid w:val="00E130AB"/>
    <w:rsid w:val="00E22011"/>
    <w:rsid w:val="00E449D2"/>
    <w:rsid w:val="00E506F0"/>
    <w:rsid w:val="00E53330"/>
    <w:rsid w:val="00E7260F"/>
    <w:rsid w:val="00E8553E"/>
    <w:rsid w:val="00E87921"/>
    <w:rsid w:val="00E96630"/>
    <w:rsid w:val="00E97D4C"/>
    <w:rsid w:val="00EA0ED6"/>
    <w:rsid w:val="00EA264E"/>
    <w:rsid w:val="00EA52B7"/>
    <w:rsid w:val="00EC43C6"/>
    <w:rsid w:val="00ED7A2A"/>
    <w:rsid w:val="00EF1D7F"/>
    <w:rsid w:val="00F53EDA"/>
    <w:rsid w:val="00F76B34"/>
    <w:rsid w:val="00F7753D"/>
    <w:rsid w:val="00F85F34"/>
    <w:rsid w:val="00F931B2"/>
    <w:rsid w:val="00FA06F7"/>
    <w:rsid w:val="00FB03A9"/>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B0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D508A0"/>
    <w:rPr>
      <w:lang w:eastAsia="en-US"/>
    </w:rPr>
  </w:style>
  <w:style w:type="paragraph" w:styleId="NormalWeb">
    <w:name w:val="Normal (Web)"/>
    <w:basedOn w:val="Normal"/>
    <w:link w:val="NormalWebChar"/>
    <w:rsid w:val="0091531C"/>
    <w:rPr>
      <w:sz w:val="24"/>
      <w:szCs w:val="24"/>
    </w:rPr>
  </w:style>
  <w:style w:type="character" w:customStyle="1" w:styleId="NormalWebChar">
    <w:name w:val="Normal (Web) Char"/>
    <w:link w:val="NormalWeb"/>
    <w:rsid w:val="0091531C"/>
    <w:rPr>
      <w:sz w:val="24"/>
      <w:szCs w:val="24"/>
      <w:lang w:eastAsia="en-US"/>
    </w:rPr>
  </w:style>
  <w:style w:type="paragraph" w:customStyle="1" w:styleId="Applicationdirecte">
    <w:name w:val="Application directe"/>
    <w:basedOn w:val="Normal"/>
    <w:next w:val="Normal"/>
    <w:semiHidden/>
    <w:rsid w:val="0091531C"/>
    <w:pPr>
      <w:suppressAutoHyphens w:val="0"/>
      <w:spacing w:before="480" w:after="120" w:line="240" w:lineRule="auto"/>
      <w:jc w:val="both"/>
    </w:pPr>
    <w:rPr>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D508A0"/>
    <w:rPr>
      <w:lang w:eastAsia="en-US"/>
    </w:rPr>
  </w:style>
  <w:style w:type="paragraph" w:styleId="NormalWeb">
    <w:name w:val="Normal (Web)"/>
    <w:basedOn w:val="Normal"/>
    <w:link w:val="NormalWebChar"/>
    <w:rsid w:val="0091531C"/>
    <w:rPr>
      <w:sz w:val="24"/>
      <w:szCs w:val="24"/>
    </w:rPr>
  </w:style>
  <w:style w:type="character" w:customStyle="1" w:styleId="NormalWebChar">
    <w:name w:val="Normal (Web) Char"/>
    <w:link w:val="NormalWeb"/>
    <w:rsid w:val="0091531C"/>
    <w:rPr>
      <w:sz w:val="24"/>
      <w:szCs w:val="24"/>
      <w:lang w:eastAsia="en-US"/>
    </w:rPr>
  </w:style>
  <w:style w:type="paragraph" w:customStyle="1" w:styleId="Applicationdirecte">
    <w:name w:val="Application directe"/>
    <w:basedOn w:val="Normal"/>
    <w:next w:val="Normal"/>
    <w:semiHidden/>
    <w:rsid w:val="0091531C"/>
    <w:pPr>
      <w:suppressAutoHyphens w:val="0"/>
      <w:spacing w:before="480" w:after="120" w:line="240" w:lineRule="auto"/>
      <w:jc w:val="both"/>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3546</Characters>
  <Application>Microsoft Office Word</Application>
  <DocSecurity>4</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1701812</vt:lpstr>
      <vt:lpstr/>
    </vt:vector>
  </TitlesOfParts>
  <Company>CSD</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1701812</dc:title>
  <dc:subject>E/ECE/324/Rev.1/Add.48/Rev.6/Amend.4</dc:subject>
  <dc:creator>Caillot</dc:creator>
  <cp:lastModifiedBy>Benedicte Boudol</cp:lastModifiedBy>
  <cp:revision>2</cp:revision>
  <cp:lastPrinted>2015-05-06T11:39:00Z</cp:lastPrinted>
  <dcterms:created xsi:type="dcterms:W3CDTF">2017-05-15T09:20:00Z</dcterms:created>
  <dcterms:modified xsi:type="dcterms:W3CDTF">2017-05-15T09:20:00Z</dcterms:modified>
</cp:coreProperties>
</file>