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5F22AF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5F43" w:rsidRPr="00D75F43" w:rsidRDefault="00D75F43" w:rsidP="00D75F43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D75F43">
              <w:rPr>
                <w:sz w:val="40"/>
                <w:lang w:val="en-US"/>
              </w:rPr>
              <w:t>E</w:t>
            </w:r>
            <w:r w:rsidRPr="00D75F43">
              <w:rPr>
                <w:lang w:val="en-US"/>
              </w:rPr>
              <w:t>/ECE/324/Rev.1/Add.47/Rev.10/Amend.4−</w:t>
            </w:r>
            <w:r w:rsidRPr="00D75F43">
              <w:rPr>
                <w:sz w:val="40"/>
                <w:lang w:val="en-US"/>
              </w:rPr>
              <w:t>E</w:t>
            </w:r>
            <w:r w:rsidRPr="00D75F43">
              <w:rPr>
                <w:lang w:val="en-US"/>
              </w:rPr>
              <w:t>/ECE/TRANS/505/Rev.1/Add.47/Rev.10/Amend.4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75F43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D75F43" w:rsidP="00A27C92">
            <w:pPr>
              <w:spacing w:before="480" w:line="240" w:lineRule="exact"/>
            </w:pPr>
            <w:r>
              <w:t>26 juillet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="00D75F43" w:rsidRPr="00D75F4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D75F43">
        <w:t>2,</w:t>
      </w:r>
      <w:r w:rsidRPr="006549FF">
        <w:t xml:space="preserve"> comprenant les amen</w:t>
      </w:r>
      <w:r>
        <w:t>dements entrés en vigueur le 16</w:t>
      </w:r>
      <w:r w:rsidR="00D75F43">
        <w:t> 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D75F43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75F43">
        <w:t>47 −</w:t>
      </w:r>
      <w:r w:rsidR="00421A10" w:rsidRPr="006549FF">
        <w:t xml:space="preserve"> </w:t>
      </w:r>
      <w:r w:rsidR="00421A10" w:rsidRPr="00D75F43">
        <w:t>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D75F43">
        <w:t>48</w:t>
      </w:r>
    </w:p>
    <w:p w:rsidR="00421A10" w:rsidRPr="006549FF" w:rsidRDefault="0029791D" w:rsidP="00D75F43">
      <w:pPr>
        <w:pStyle w:val="H1G"/>
      </w:pPr>
      <w:r>
        <w:tab/>
      </w:r>
      <w:r>
        <w:tab/>
      </w:r>
      <w:r w:rsidR="00421A10" w:rsidRPr="00D75F43">
        <w:t>Révision</w:t>
      </w:r>
      <w:r w:rsidR="00421A10" w:rsidRPr="006549FF">
        <w:t xml:space="preserve"> </w:t>
      </w:r>
      <w:r w:rsidR="00D75F43">
        <w:t xml:space="preserve">10 − </w:t>
      </w:r>
      <w:r w:rsidR="00D75F43" w:rsidRPr="00215749">
        <w:rPr>
          <w:szCs w:val="24"/>
        </w:rPr>
        <w:t>Amendement 4</w:t>
      </w:r>
    </w:p>
    <w:p w:rsidR="00421A10" w:rsidRPr="004A7E44" w:rsidRDefault="00D75F43" w:rsidP="0029791D">
      <w:pPr>
        <w:pStyle w:val="SingleTxtG"/>
        <w:spacing w:after="0"/>
      </w:pPr>
      <w:r w:rsidRPr="00215749">
        <w:rPr>
          <w:spacing w:val="-2"/>
          <w:szCs w:val="24"/>
        </w:rPr>
        <w:t xml:space="preserve">Complément 17 à la série 04 d’amendements </w:t>
      </w:r>
      <w:r>
        <w:rPr>
          <w:spacing w:val="-2"/>
          <w:szCs w:val="24"/>
        </w:rPr>
        <w:t>−</w:t>
      </w:r>
      <w:r w:rsidRPr="00215749">
        <w:rPr>
          <w:spacing w:val="-2"/>
          <w:szCs w:val="24"/>
        </w:rPr>
        <w:t xml:space="preserve"> Date </w:t>
      </w:r>
      <w:r>
        <w:rPr>
          <w:spacing w:val="-2"/>
          <w:szCs w:val="24"/>
        </w:rPr>
        <w:t>d’entrée en vigueur </w:t>
      </w:r>
      <w:r w:rsidRPr="00215749">
        <w:rPr>
          <w:spacing w:val="-2"/>
          <w:szCs w:val="24"/>
        </w:rPr>
        <w:t xml:space="preserve">: </w:t>
      </w:r>
      <w:r>
        <w:rPr>
          <w:szCs w:val="24"/>
        </w:rPr>
        <w:t xml:space="preserve">22 juin </w:t>
      </w:r>
      <w:r w:rsidRPr="00215749">
        <w:rPr>
          <w:szCs w:val="24"/>
        </w:rPr>
        <w:t>2017</w:t>
      </w:r>
    </w:p>
    <w:p w:rsidR="00421A10" w:rsidRDefault="0029791D" w:rsidP="00D75F43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D75F43" w:rsidRPr="00D75F43">
        <w:t xml:space="preserve">à l’homologation des véhicules </w:t>
      </w:r>
      <w:r w:rsidR="00787DE3">
        <w:br/>
      </w:r>
      <w:r w:rsidR="00D75F43" w:rsidRPr="00D75F43">
        <w:t xml:space="preserve">en ce qui concerne l’installation des dispositifs d’éclairage </w:t>
      </w:r>
      <w:r w:rsidR="00787DE3">
        <w:br/>
      </w:r>
      <w:r w:rsidR="00D75F43" w:rsidRPr="00D75F43">
        <w:t>et de signalisation lumineuse</w:t>
      </w:r>
    </w:p>
    <w:p w:rsidR="00D75F43" w:rsidRDefault="00D75F43" w:rsidP="00D75F43">
      <w:pPr>
        <w:pStyle w:val="SingleTxtG"/>
        <w:ind w:firstLine="567"/>
      </w:pPr>
      <w:r w:rsidRPr="008D6BE8">
        <w:rPr>
          <w:spacing w:val="-4"/>
          <w:szCs w:val="24"/>
          <w:lang w:eastAsia="en-GB"/>
        </w:rPr>
        <w:t>Le présent document est communiqué uniquement à titre d’information</w:t>
      </w:r>
      <w:r w:rsidRPr="00215749">
        <w:rPr>
          <w:spacing w:val="-4"/>
          <w:szCs w:val="24"/>
          <w:lang w:eastAsia="en-GB"/>
        </w:rPr>
        <w:t>. Le texte authentique</w:t>
      </w:r>
      <w:r>
        <w:rPr>
          <w:spacing w:val="-4"/>
          <w:szCs w:val="24"/>
          <w:lang w:eastAsia="en-GB"/>
        </w:rPr>
        <w:t>,</w:t>
      </w:r>
      <w:r w:rsidRPr="00215749">
        <w:rPr>
          <w:spacing w:val="-4"/>
          <w:szCs w:val="24"/>
          <w:lang w:eastAsia="en-GB"/>
        </w:rPr>
        <w:t xml:space="preserve"> juridiquement contraignant</w:t>
      </w:r>
      <w:r>
        <w:rPr>
          <w:spacing w:val="-4"/>
          <w:szCs w:val="24"/>
          <w:lang w:eastAsia="en-GB"/>
        </w:rPr>
        <w:t>,</w:t>
      </w:r>
      <w:r w:rsidRPr="00215749">
        <w:rPr>
          <w:spacing w:val="-4"/>
          <w:szCs w:val="24"/>
          <w:lang w:eastAsia="en-GB"/>
        </w:rPr>
        <w:t xml:space="preserve"> est celui du document</w:t>
      </w:r>
      <w:r w:rsidRPr="00215749">
        <w:rPr>
          <w:szCs w:val="24"/>
          <w:lang w:eastAsia="en-GB"/>
        </w:rPr>
        <w:t xml:space="preserve"> </w:t>
      </w:r>
      <w:r w:rsidRPr="00215749">
        <w:rPr>
          <w:spacing w:val="-6"/>
          <w:szCs w:val="24"/>
          <w:lang w:eastAsia="en-GB"/>
        </w:rPr>
        <w:t>ECE/TRANS/WP.29/2016/78.</w:t>
      </w:r>
    </w:p>
    <w:p w:rsidR="005F0207" w:rsidRDefault="00442E31" w:rsidP="00D75F4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75F43">
        <w:br w:type="page"/>
      </w:r>
    </w:p>
    <w:p w:rsidR="00D75F43" w:rsidRPr="00D75F43" w:rsidRDefault="00D75F43" w:rsidP="00D75F43">
      <w:pPr>
        <w:pStyle w:val="SingleTxtG"/>
        <w:rPr>
          <w:i/>
          <w:iCs/>
        </w:rPr>
      </w:pPr>
      <w:r w:rsidRPr="00D75F43">
        <w:rPr>
          <w:i/>
          <w:iCs/>
        </w:rPr>
        <w:t>Paragraphe 6.7.8</w:t>
      </w:r>
      <w:r w:rsidRPr="00D75F43">
        <w:rPr>
          <w:iCs/>
        </w:rPr>
        <w:t>, lire</w:t>
      </w:r>
      <w:r>
        <w:rPr>
          <w:iCs/>
        </w:rPr>
        <w:t> </w:t>
      </w:r>
      <w:r w:rsidRPr="00D75F43">
        <w:rPr>
          <w:iCs/>
        </w:rPr>
        <w:t>:</w:t>
      </w:r>
    </w:p>
    <w:p w:rsidR="00D75F43" w:rsidRPr="00D75F43" w:rsidRDefault="00D75F43" w:rsidP="00D75F43">
      <w:pPr>
        <w:pStyle w:val="SingleTxtG"/>
        <w:ind w:left="2268" w:hanging="1134"/>
        <w:rPr>
          <w:iCs/>
        </w:rPr>
      </w:pPr>
      <w:r w:rsidRPr="00D75F43">
        <w:rPr>
          <w:iCs/>
        </w:rPr>
        <w:t>«</w:t>
      </w:r>
      <w:r>
        <w:rPr>
          <w:iCs/>
        </w:rPr>
        <w:t> </w:t>
      </w:r>
      <w:r w:rsidRPr="00D75F43">
        <w:rPr>
          <w:iCs/>
        </w:rPr>
        <w:t>6.7.8</w:t>
      </w:r>
      <w:r w:rsidRPr="00D75F43">
        <w:rPr>
          <w:i/>
          <w:iCs/>
        </w:rPr>
        <w:tab/>
      </w:r>
      <w:r w:rsidRPr="00D75F43">
        <w:rPr>
          <w:iCs/>
        </w:rPr>
        <w:t>Témoin</w:t>
      </w:r>
    </w:p>
    <w:p w:rsidR="00D75F43" w:rsidRPr="00D75F43" w:rsidRDefault="00D75F43" w:rsidP="00D75F43">
      <w:pPr>
        <w:pStyle w:val="SingleTxtG"/>
        <w:ind w:left="2268"/>
        <w:rPr>
          <w:iCs/>
        </w:rPr>
      </w:pPr>
      <w:r w:rsidRPr="00D75F43">
        <w:rPr>
          <w:iCs/>
        </w:rPr>
        <w:t>Facultatif, mais un témoin de défaut de fonctionnement est obligatoire s’il est prescrit par le règlement applicable au dispositif.</w:t>
      </w:r>
    </w:p>
    <w:p w:rsidR="00D75F43" w:rsidRPr="00D75F43" w:rsidRDefault="00D75F43" w:rsidP="00D75F43">
      <w:pPr>
        <w:pStyle w:val="SingleTxtG"/>
        <w:ind w:left="2268"/>
        <w:rPr>
          <w:iCs/>
        </w:rPr>
      </w:pPr>
      <w:r w:rsidRPr="00D75F43">
        <w:rPr>
          <w:iCs/>
        </w:rPr>
        <w:t>Si ce témoin existe, il doit s’agir d’un témoin de fonctionnement constitué d’un voyant non clignotant qui s’allume en cas de fonctionnement défectueux des feux-stop.</w:t>
      </w:r>
      <w:r>
        <w:rPr>
          <w:iCs/>
        </w:rPr>
        <w:t> ».</w:t>
      </w:r>
    </w:p>
    <w:p w:rsidR="00D75F43" w:rsidRPr="00D75F43" w:rsidRDefault="00D75F43" w:rsidP="00D75F43">
      <w:pPr>
        <w:pStyle w:val="SingleTxtG"/>
        <w:rPr>
          <w:i/>
          <w:iCs/>
        </w:rPr>
      </w:pPr>
      <w:r w:rsidRPr="00D75F43">
        <w:rPr>
          <w:i/>
          <w:iCs/>
        </w:rPr>
        <w:t>Paragraphe 6.9.8</w:t>
      </w:r>
      <w:r w:rsidRPr="005F22AF">
        <w:rPr>
          <w:iCs/>
        </w:rPr>
        <w:t>,</w:t>
      </w:r>
      <w:r w:rsidRPr="00D75F43">
        <w:rPr>
          <w:i/>
          <w:iCs/>
        </w:rPr>
        <w:t xml:space="preserve"> </w:t>
      </w:r>
      <w:r w:rsidRPr="00D75F43">
        <w:rPr>
          <w:iCs/>
        </w:rPr>
        <w:t>lire</w:t>
      </w:r>
      <w:r>
        <w:rPr>
          <w:iCs/>
        </w:rPr>
        <w:t> </w:t>
      </w:r>
      <w:r w:rsidRPr="00D75F43">
        <w:rPr>
          <w:iCs/>
        </w:rPr>
        <w:t>:</w:t>
      </w:r>
    </w:p>
    <w:p w:rsidR="00D75F43" w:rsidRPr="00D75F43" w:rsidRDefault="00D75F43" w:rsidP="00D75F43">
      <w:pPr>
        <w:pStyle w:val="SingleTxtG"/>
        <w:ind w:left="2268" w:hanging="1134"/>
        <w:rPr>
          <w:iCs/>
        </w:rPr>
      </w:pPr>
      <w:r w:rsidRPr="00D75F43">
        <w:rPr>
          <w:iCs/>
        </w:rPr>
        <w:t>«</w:t>
      </w:r>
      <w:r>
        <w:rPr>
          <w:iCs/>
        </w:rPr>
        <w:t> </w:t>
      </w:r>
      <w:r w:rsidRPr="00D75F43">
        <w:rPr>
          <w:iCs/>
        </w:rPr>
        <w:t>6.9.8</w:t>
      </w:r>
      <w:r w:rsidRPr="00D75F43">
        <w:rPr>
          <w:i/>
          <w:iCs/>
        </w:rPr>
        <w:tab/>
      </w:r>
      <w:r w:rsidRPr="00D75F43">
        <w:rPr>
          <w:iCs/>
        </w:rPr>
        <w:t>Témoin</w:t>
      </w:r>
    </w:p>
    <w:p w:rsidR="00D75F43" w:rsidRPr="00D75F43" w:rsidRDefault="00D75F43" w:rsidP="00D75F43">
      <w:pPr>
        <w:pStyle w:val="SingleTxtG"/>
        <w:ind w:left="2268"/>
        <w:rPr>
          <w:iCs/>
        </w:rPr>
      </w:pPr>
      <w:r w:rsidRPr="00D75F43">
        <w:rPr>
          <w:iCs/>
        </w:rPr>
        <w:t xml:space="preserve">Témoin d’enclenchement obligatoire. </w:t>
      </w:r>
    </w:p>
    <w:p w:rsidR="00D75F43" w:rsidRPr="00D75F43" w:rsidRDefault="00D75F43" w:rsidP="00D75F43">
      <w:pPr>
        <w:pStyle w:val="SingleTxtG"/>
        <w:ind w:left="2268"/>
        <w:rPr>
          <w:iCs/>
        </w:rPr>
      </w:pPr>
      <w:r w:rsidRPr="00D75F43">
        <w:rPr>
          <w:iCs/>
        </w:rPr>
        <w:t xml:space="preserve">Ce témoin ne doit pas être clignotant. Il n’est pas exigé si le dispositif d’éclairage du tableau de bord ne peut être allumé que simultanément avec les feux de position avant. </w:t>
      </w:r>
    </w:p>
    <w:p w:rsidR="00D75F43" w:rsidRPr="00D75F43" w:rsidRDefault="00D75F43" w:rsidP="00D75F43">
      <w:pPr>
        <w:pStyle w:val="SingleTxtG"/>
        <w:ind w:left="2268"/>
        <w:rPr>
          <w:i/>
          <w:iCs/>
        </w:rPr>
      </w:pPr>
      <w:r w:rsidRPr="00D75F43">
        <w:rPr>
          <w:iCs/>
        </w:rPr>
        <w:t>Toutefois un témoin de défaut de fonctionnement est obligatoire s’il est prescrit par le règlement applicable au dispositif. ».</w:t>
      </w:r>
    </w:p>
    <w:p w:rsidR="00D75F43" w:rsidRPr="00D75F43" w:rsidRDefault="00D75F43" w:rsidP="00D75F43">
      <w:pPr>
        <w:pStyle w:val="SingleTxtG"/>
        <w:rPr>
          <w:i/>
          <w:iCs/>
        </w:rPr>
      </w:pPr>
      <w:r w:rsidRPr="00D75F43">
        <w:rPr>
          <w:i/>
          <w:iCs/>
        </w:rPr>
        <w:t>Paragraphe 6.10.8</w:t>
      </w:r>
      <w:r w:rsidRPr="005F22AF">
        <w:rPr>
          <w:iCs/>
        </w:rPr>
        <w:t>,</w:t>
      </w:r>
      <w:r w:rsidRPr="00D75F43">
        <w:rPr>
          <w:i/>
          <w:iCs/>
        </w:rPr>
        <w:t xml:space="preserve"> </w:t>
      </w:r>
      <w:r w:rsidRPr="00D75F43">
        <w:rPr>
          <w:iCs/>
        </w:rPr>
        <w:t>lire</w:t>
      </w:r>
      <w:r>
        <w:rPr>
          <w:iCs/>
        </w:rPr>
        <w:t> </w:t>
      </w:r>
      <w:r w:rsidRPr="00D75F43">
        <w:rPr>
          <w:iCs/>
        </w:rPr>
        <w:t>:</w:t>
      </w:r>
    </w:p>
    <w:p w:rsidR="00D75F43" w:rsidRPr="00D75F43" w:rsidRDefault="00D75F43" w:rsidP="00D75F43">
      <w:pPr>
        <w:pStyle w:val="SingleTxtG"/>
        <w:ind w:left="2268" w:hanging="1134"/>
        <w:rPr>
          <w:iCs/>
        </w:rPr>
      </w:pPr>
      <w:r w:rsidRPr="00D75F43">
        <w:rPr>
          <w:iCs/>
        </w:rPr>
        <w:t>«</w:t>
      </w:r>
      <w:r>
        <w:rPr>
          <w:iCs/>
        </w:rPr>
        <w:t> </w:t>
      </w:r>
      <w:r w:rsidRPr="00D75F43">
        <w:rPr>
          <w:iCs/>
        </w:rPr>
        <w:t>6.10.8</w:t>
      </w:r>
      <w:r w:rsidRPr="00D75F43">
        <w:rPr>
          <w:i/>
          <w:iCs/>
        </w:rPr>
        <w:tab/>
      </w:r>
      <w:r w:rsidRPr="00D75F43">
        <w:rPr>
          <w:iCs/>
        </w:rPr>
        <w:t>Témoin</w:t>
      </w:r>
    </w:p>
    <w:p w:rsidR="00D75F43" w:rsidRPr="00D75F43" w:rsidRDefault="00D75F43" w:rsidP="00D75F43">
      <w:pPr>
        <w:pStyle w:val="SingleTxtG"/>
        <w:ind w:left="2268"/>
        <w:rPr>
          <w:iCs/>
        </w:rPr>
      </w:pPr>
      <w:r w:rsidRPr="00D75F43">
        <w:rPr>
          <w:iCs/>
        </w:rPr>
        <w:t>Témoin d’enclenchement obligatoire. Il doit être confondu avec celui des feux de position avant.</w:t>
      </w:r>
    </w:p>
    <w:p w:rsidR="00D75F43" w:rsidRPr="00D75F43" w:rsidRDefault="00D75F43" w:rsidP="00D75F43">
      <w:pPr>
        <w:pStyle w:val="SingleTxtG"/>
        <w:ind w:left="2268"/>
        <w:rPr>
          <w:iCs/>
        </w:rPr>
      </w:pPr>
      <w:r w:rsidRPr="00D75F43">
        <w:rPr>
          <w:iCs/>
        </w:rPr>
        <w:t>Toutefois un témoin de défaut de fonctionnement est obligatoire s’il est prescrit par le règlement applicable au dispositif.</w:t>
      </w:r>
      <w:r>
        <w:rPr>
          <w:iCs/>
        </w:rPr>
        <w:t> ».</w:t>
      </w:r>
    </w:p>
    <w:p w:rsidR="00D75F43" w:rsidRPr="00D75F43" w:rsidRDefault="00D75F43" w:rsidP="00D75F43">
      <w:pPr>
        <w:pStyle w:val="SingleTxtG"/>
        <w:rPr>
          <w:i/>
          <w:iCs/>
        </w:rPr>
      </w:pPr>
      <w:r w:rsidRPr="00D75F43">
        <w:rPr>
          <w:i/>
          <w:iCs/>
        </w:rPr>
        <w:t>Paragraphe 6.13.8</w:t>
      </w:r>
      <w:r w:rsidRPr="005F22AF">
        <w:rPr>
          <w:iCs/>
        </w:rPr>
        <w:t>,</w:t>
      </w:r>
      <w:r w:rsidRPr="00D75F43">
        <w:rPr>
          <w:i/>
          <w:iCs/>
        </w:rPr>
        <w:t xml:space="preserve"> </w:t>
      </w:r>
      <w:r w:rsidRPr="00D75F43">
        <w:rPr>
          <w:iCs/>
        </w:rPr>
        <w:t>lire</w:t>
      </w:r>
      <w:r>
        <w:rPr>
          <w:iCs/>
        </w:rPr>
        <w:t> </w:t>
      </w:r>
      <w:r w:rsidRPr="00D75F43">
        <w:rPr>
          <w:iCs/>
        </w:rPr>
        <w:t>:</w:t>
      </w:r>
    </w:p>
    <w:p w:rsidR="00D75F43" w:rsidRPr="00D75F43" w:rsidRDefault="00D75F43" w:rsidP="00D75F43">
      <w:pPr>
        <w:pStyle w:val="SingleTxtG"/>
        <w:ind w:left="2268" w:hanging="1134"/>
        <w:rPr>
          <w:iCs/>
        </w:rPr>
      </w:pPr>
      <w:r w:rsidRPr="00D75F43">
        <w:rPr>
          <w:iCs/>
        </w:rPr>
        <w:t>«</w:t>
      </w:r>
      <w:r>
        <w:rPr>
          <w:iCs/>
        </w:rPr>
        <w:t> </w:t>
      </w:r>
      <w:r w:rsidRPr="00D75F43">
        <w:rPr>
          <w:iCs/>
        </w:rPr>
        <w:t>6.13.8</w:t>
      </w:r>
      <w:r w:rsidRPr="00D75F43">
        <w:rPr>
          <w:i/>
          <w:iCs/>
        </w:rPr>
        <w:tab/>
      </w:r>
      <w:r w:rsidRPr="00D75F43">
        <w:rPr>
          <w:iCs/>
        </w:rPr>
        <w:t>Témoin</w:t>
      </w:r>
    </w:p>
    <w:p w:rsidR="00D75F43" w:rsidRPr="00D75F43" w:rsidRDefault="00D75F43" w:rsidP="00D75F43">
      <w:pPr>
        <w:pStyle w:val="SingleTxtG"/>
        <w:ind w:left="2268"/>
        <w:rPr>
          <w:iCs/>
        </w:rPr>
      </w:pPr>
      <w:r w:rsidRPr="00D75F43">
        <w:rPr>
          <w:iCs/>
        </w:rPr>
        <w:t>Facultatif. S’il existe, sa fonction doit être assurée par le témoin prescrit pour les feux de position.</w:t>
      </w:r>
    </w:p>
    <w:p w:rsidR="00D75F43" w:rsidRPr="00D75F43" w:rsidRDefault="00D75F43" w:rsidP="00D75F43">
      <w:pPr>
        <w:pStyle w:val="SingleTxtG"/>
        <w:ind w:left="2268"/>
        <w:rPr>
          <w:iCs/>
        </w:rPr>
      </w:pPr>
      <w:r w:rsidRPr="00D75F43">
        <w:rPr>
          <w:iCs/>
        </w:rPr>
        <w:t>Toutefois un témoin de défaut de fonctionnement est obligatoire s’il est prescrit par le règlement applicable au dispositif.</w:t>
      </w:r>
      <w:r>
        <w:rPr>
          <w:iCs/>
        </w:rPr>
        <w:t> ».</w:t>
      </w:r>
    </w:p>
    <w:p w:rsidR="00D75F43" w:rsidRPr="00D75F43" w:rsidRDefault="00D75F43" w:rsidP="00D75F43">
      <w:pPr>
        <w:pStyle w:val="SingleTxtG"/>
        <w:rPr>
          <w:i/>
          <w:iCs/>
        </w:rPr>
      </w:pPr>
      <w:r w:rsidRPr="00D75F43">
        <w:rPr>
          <w:i/>
          <w:iCs/>
        </w:rPr>
        <w:t>Paragraphe 6.19.8</w:t>
      </w:r>
      <w:r w:rsidRPr="005F22AF">
        <w:rPr>
          <w:iCs/>
        </w:rPr>
        <w:t>,</w:t>
      </w:r>
      <w:r w:rsidRPr="00D75F43">
        <w:rPr>
          <w:i/>
          <w:iCs/>
        </w:rPr>
        <w:t xml:space="preserve"> </w:t>
      </w:r>
      <w:r w:rsidRPr="00D75F43">
        <w:rPr>
          <w:iCs/>
        </w:rPr>
        <w:t>lire</w:t>
      </w:r>
      <w:r>
        <w:rPr>
          <w:iCs/>
        </w:rPr>
        <w:t> </w:t>
      </w:r>
      <w:r w:rsidRPr="00D75F43">
        <w:rPr>
          <w:iCs/>
        </w:rPr>
        <w:t>:</w:t>
      </w:r>
    </w:p>
    <w:p w:rsidR="00D75F43" w:rsidRPr="00D75F43" w:rsidRDefault="00D75F43" w:rsidP="00D75F43">
      <w:pPr>
        <w:pStyle w:val="SingleTxtG"/>
        <w:ind w:left="2268" w:hanging="1134"/>
        <w:rPr>
          <w:iCs/>
        </w:rPr>
      </w:pPr>
      <w:r w:rsidRPr="00D75F43">
        <w:rPr>
          <w:iCs/>
        </w:rPr>
        <w:t>«</w:t>
      </w:r>
      <w:r>
        <w:rPr>
          <w:iCs/>
        </w:rPr>
        <w:t> 6.19.8</w:t>
      </w:r>
      <w:r w:rsidRPr="00D75F43">
        <w:rPr>
          <w:iCs/>
        </w:rPr>
        <w:tab/>
        <w:t>Témoin</w:t>
      </w:r>
    </w:p>
    <w:p w:rsidR="00D75F43" w:rsidRPr="00D75F43" w:rsidRDefault="00D75F43" w:rsidP="00D75F43">
      <w:pPr>
        <w:pStyle w:val="SingleTxtG"/>
        <w:ind w:left="2268"/>
        <w:rPr>
          <w:i/>
          <w:iCs/>
        </w:rPr>
      </w:pPr>
      <w:r w:rsidRPr="00D75F43">
        <w:rPr>
          <w:iCs/>
        </w:rPr>
        <w:t>Témoin d’enclenchement facultatif, mais un témoin de défaut de fonctionnement est obligatoire s’il est prescrit par le règlement applicable au dispositif.</w:t>
      </w:r>
      <w:r>
        <w:rPr>
          <w:iCs/>
        </w:rPr>
        <w:t> </w:t>
      </w:r>
      <w:r w:rsidRPr="00D75F43">
        <w:rPr>
          <w:iCs/>
        </w:rPr>
        <w:t>».</w:t>
      </w:r>
    </w:p>
    <w:p w:rsidR="00D75F43" w:rsidRPr="00D75F43" w:rsidRDefault="00D75F43" w:rsidP="00D75F43">
      <w:pPr>
        <w:pStyle w:val="SingleTxtG"/>
        <w:rPr>
          <w:iCs/>
        </w:rPr>
      </w:pPr>
      <w:r w:rsidRPr="00D75F43">
        <w:rPr>
          <w:iCs/>
        </w:rPr>
        <w:t>Paragraphe 6.21.1.2.4, lire</w:t>
      </w:r>
      <w:r>
        <w:rPr>
          <w:iCs/>
        </w:rPr>
        <w:t> </w:t>
      </w:r>
      <w:r w:rsidRPr="00D75F43">
        <w:rPr>
          <w:iCs/>
        </w:rPr>
        <w:t>:</w:t>
      </w:r>
    </w:p>
    <w:p w:rsidR="00D75F43" w:rsidRPr="00D75F43" w:rsidRDefault="00D75F43" w:rsidP="00D75F43">
      <w:pPr>
        <w:pStyle w:val="SingleTxtG"/>
        <w:ind w:left="2268" w:hanging="1134"/>
        <w:rPr>
          <w:iCs/>
        </w:rPr>
      </w:pPr>
      <w:r w:rsidRPr="00D75F43">
        <w:rPr>
          <w:iCs/>
        </w:rPr>
        <w:t>«</w:t>
      </w:r>
      <w:r>
        <w:rPr>
          <w:iCs/>
        </w:rPr>
        <w:t> </w:t>
      </w:r>
      <w:r w:rsidRPr="00D75F43">
        <w:rPr>
          <w:iCs/>
        </w:rPr>
        <w:t>6.21.1.2.4</w:t>
      </w:r>
      <w:r w:rsidRPr="00D75F43">
        <w:rPr>
          <w:iCs/>
        </w:rPr>
        <w:tab/>
        <w:t>Si les surfaces extérieures de la carrosserie sont partiellement constituées d’un matériau souple, ce marquage linéaire doit être installé sur une (des) partie(s) rigide(s) du véhicule. Les marquages à grande visibilité restants peuvent être installés sur les parties souples. Si les surfaces extérieures de la carrosserie sont entièrement constituées d’un matériau souple,</w:t>
      </w:r>
      <w:r w:rsidR="00787DE3">
        <w:rPr>
          <w:iCs/>
        </w:rPr>
        <w:t xml:space="preserve"> </w:t>
      </w:r>
      <w:r w:rsidRPr="00D75F43">
        <w:rPr>
          <w:iCs/>
        </w:rPr>
        <w:t>ce marquage linéaire peut être installé sur les parties souples.</w:t>
      </w:r>
      <w:r>
        <w:rPr>
          <w:iCs/>
        </w:rPr>
        <w:t> ».</w:t>
      </w:r>
    </w:p>
    <w:p w:rsidR="00D75F43" w:rsidRPr="00D75F43" w:rsidRDefault="00D75F43" w:rsidP="00D75F43">
      <w:pPr>
        <w:pStyle w:val="SingleTxtG"/>
        <w:keepNext/>
        <w:rPr>
          <w:i/>
          <w:iCs/>
        </w:rPr>
      </w:pPr>
      <w:r>
        <w:rPr>
          <w:i/>
          <w:iCs/>
        </w:rPr>
        <w:lastRenderedPageBreak/>
        <w:t>Annexe 1,</w:t>
      </w:r>
    </w:p>
    <w:p w:rsidR="00D75F43" w:rsidRPr="00D75F43" w:rsidRDefault="00D75F43" w:rsidP="00D75F43">
      <w:pPr>
        <w:pStyle w:val="SingleTxtG"/>
        <w:keepNext/>
        <w:rPr>
          <w:i/>
          <w:iCs/>
        </w:rPr>
      </w:pPr>
      <w:r w:rsidRPr="00D75F43">
        <w:rPr>
          <w:i/>
          <w:iCs/>
        </w:rPr>
        <w:t>Point 9, ajouter de nouveaux alinéas 9.9.1, 9.11.1, 9.12.1, 9.15.1 et 9.21.1</w:t>
      </w:r>
      <w:r w:rsidRPr="00D75F43">
        <w:rPr>
          <w:iCs/>
        </w:rPr>
        <w:t>, libellés comme suit</w:t>
      </w:r>
      <w:r>
        <w:rPr>
          <w:iCs/>
        </w:rPr>
        <w:t> </w:t>
      </w:r>
      <w:r w:rsidRPr="00D75F43">
        <w:rPr>
          <w:iCs/>
        </w:rPr>
        <w:t>:</w:t>
      </w:r>
    </w:p>
    <w:p w:rsidR="00D75F43" w:rsidRPr="00D75F43" w:rsidRDefault="00D75F43" w:rsidP="00D75F43">
      <w:pPr>
        <w:pStyle w:val="SingleTxtG"/>
        <w:keepNext/>
        <w:rPr>
          <w:iCs/>
        </w:rPr>
      </w:pPr>
      <w:r w:rsidRPr="00D75F43">
        <w:rPr>
          <w:iCs/>
        </w:rPr>
        <w:t>«</w:t>
      </w:r>
      <w:r>
        <w:rPr>
          <w:iCs/>
        </w:rPr>
        <w:t> </w:t>
      </w:r>
      <w:r w:rsidRPr="00D75F43">
        <w:rPr>
          <w:iCs/>
        </w:rPr>
        <w:t>…</w:t>
      </w:r>
    </w:p>
    <w:p w:rsidR="00D75F43" w:rsidRPr="00D75F43" w:rsidRDefault="00D75F43" w:rsidP="00D75F43">
      <w:pPr>
        <w:pStyle w:val="SingleTxtG"/>
        <w:keepNext/>
        <w:ind w:left="2268" w:hanging="1134"/>
        <w:rPr>
          <w:iCs/>
        </w:rPr>
      </w:pPr>
      <w:r w:rsidRPr="00D75F43">
        <w:rPr>
          <w:iCs/>
        </w:rPr>
        <w:t>9.9.1</w:t>
      </w:r>
      <w:r w:rsidRPr="00D75F43">
        <w:rPr>
          <w:iCs/>
        </w:rPr>
        <w:tab/>
        <w:t>Témoin de défaut de fonctionnement prescrit par le règlement applicable au</w:t>
      </w:r>
      <w:r w:rsidR="00DB3545">
        <w:rPr>
          <w:iCs/>
        </w:rPr>
        <w:t> </w:t>
      </w:r>
      <w:r w:rsidRPr="00D75F43">
        <w:rPr>
          <w:iCs/>
        </w:rPr>
        <w:t>dispositif</w:t>
      </w:r>
      <w:r>
        <w:rPr>
          <w:iCs/>
        </w:rPr>
        <w:t> </w:t>
      </w:r>
      <w:r w:rsidRPr="00D75F43">
        <w:rPr>
          <w:iCs/>
        </w:rPr>
        <w:t>: oui/non</w:t>
      </w:r>
      <w:r w:rsidRPr="00D75F43">
        <w:rPr>
          <w:iCs/>
          <w:vertAlign w:val="superscript"/>
        </w:rPr>
        <w:t>2</w:t>
      </w:r>
      <w:r w:rsidRPr="00D75F43">
        <w:rPr>
          <w:iCs/>
        </w:rPr>
        <w:t xml:space="preserve"> ..........</w:t>
      </w:r>
    </w:p>
    <w:p w:rsidR="00D75F43" w:rsidRPr="00D75F43" w:rsidRDefault="00D75F43" w:rsidP="00D75F43">
      <w:pPr>
        <w:pStyle w:val="SingleTxtG"/>
        <w:rPr>
          <w:iCs/>
        </w:rPr>
      </w:pPr>
      <w:r w:rsidRPr="00D75F43">
        <w:rPr>
          <w:iCs/>
        </w:rPr>
        <w:t>…</w:t>
      </w:r>
    </w:p>
    <w:p w:rsidR="00D75F43" w:rsidRPr="00D75F43" w:rsidRDefault="005F22AF" w:rsidP="00D75F43">
      <w:pPr>
        <w:pStyle w:val="SingleTxtG"/>
        <w:keepNext/>
        <w:ind w:left="2268" w:hanging="1134"/>
        <w:rPr>
          <w:iCs/>
        </w:rPr>
      </w:pPr>
      <w:r>
        <w:rPr>
          <w:iCs/>
        </w:rPr>
        <w:t>9.11.1</w:t>
      </w:r>
      <w:r w:rsidR="00D75F43" w:rsidRPr="00D75F43">
        <w:rPr>
          <w:iCs/>
        </w:rPr>
        <w:tab/>
      </w:r>
      <w:r w:rsidR="00D75F43" w:rsidRPr="00D75F43">
        <w:rPr>
          <w:iCs/>
        </w:rPr>
        <w:tab/>
        <w:t>Témoin de défaut de fonctionnement prescrit par le règlement applicable au</w:t>
      </w:r>
      <w:r w:rsidR="00DB3545">
        <w:rPr>
          <w:iCs/>
        </w:rPr>
        <w:t> </w:t>
      </w:r>
      <w:r w:rsidR="00D75F43" w:rsidRPr="00D75F43">
        <w:rPr>
          <w:iCs/>
        </w:rPr>
        <w:t>dispositif</w:t>
      </w:r>
      <w:r w:rsidR="00D75F43">
        <w:rPr>
          <w:iCs/>
        </w:rPr>
        <w:t> </w:t>
      </w:r>
      <w:r w:rsidR="00D75F43" w:rsidRPr="00D75F43">
        <w:rPr>
          <w:iCs/>
        </w:rPr>
        <w:t>: oui/non</w:t>
      </w:r>
      <w:r w:rsidR="00D75F43" w:rsidRPr="00D75F43">
        <w:rPr>
          <w:iCs/>
          <w:vertAlign w:val="superscript"/>
        </w:rPr>
        <w:t>2</w:t>
      </w:r>
      <w:r w:rsidR="00D75F43" w:rsidRPr="00D75F43">
        <w:rPr>
          <w:iCs/>
        </w:rPr>
        <w:t xml:space="preserve"> ...........</w:t>
      </w:r>
    </w:p>
    <w:p w:rsidR="00D75F43" w:rsidRPr="00D75F43" w:rsidRDefault="00D75F43" w:rsidP="00D75F43">
      <w:pPr>
        <w:pStyle w:val="SingleTxtG"/>
        <w:rPr>
          <w:iCs/>
        </w:rPr>
      </w:pPr>
      <w:r>
        <w:rPr>
          <w:iCs/>
        </w:rPr>
        <w:t>…</w:t>
      </w:r>
    </w:p>
    <w:p w:rsidR="00D75F43" w:rsidRPr="00D75F43" w:rsidRDefault="00D75F43" w:rsidP="00D75F43">
      <w:pPr>
        <w:pStyle w:val="SingleTxtG"/>
        <w:keepNext/>
        <w:ind w:left="2268" w:hanging="1134"/>
        <w:rPr>
          <w:iCs/>
        </w:rPr>
      </w:pPr>
      <w:r w:rsidRPr="00D75F43">
        <w:rPr>
          <w:iCs/>
        </w:rPr>
        <w:t>9.12.1</w:t>
      </w:r>
      <w:r w:rsidRPr="00D75F43">
        <w:rPr>
          <w:iCs/>
        </w:rPr>
        <w:tab/>
      </w:r>
      <w:r w:rsidRPr="00D75F43">
        <w:rPr>
          <w:iCs/>
        </w:rPr>
        <w:tab/>
        <w:t>Témoin de défaut de fonctionnement prescrit par le règlement applicable au</w:t>
      </w:r>
      <w:r w:rsidR="00DB3545">
        <w:rPr>
          <w:iCs/>
        </w:rPr>
        <w:t> </w:t>
      </w:r>
      <w:r w:rsidRPr="00D75F43">
        <w:rPr>
          <w:iCs/>
        </w:rPr>
        <w:t>dispositif</w:t>
      </w:r>
      <w:r>
        <w:rPr>
          <w:iCs/>
        </w:rPr>
        <w:t> </w:t>
      </w:r>
      <w:r w:rsidRPr="00D75F43">
        <w:rPr>
          <w:iCs/>
        </w:rPr>
        <w:t>: oui/non</w:t>
      </w:r>
      <w:r w:rsidRPr="00D75F43">
        <w:rPr>
          <w:iCs/>
          <w:vertAlign w:val="superscript"/>
        </w:rPr>
        <w:t>2</w:t>
      </w:r>
      <w:r w:rsidRPr="00D75F43">
        <w:rPr>
          <w:iCs/>
        </w:rPr>
        <w:t xml:space="preserve"> ...........</w:t>
      </w:r>
    </w:p>
    <w:p w:rsidR="00D75F43" w:rsidRPr="00D75F43" w:rsidRDefault="00D75F43" w:rsidP="00D75F43">
      <w:pPr>
        <w:pStyle w:val="SingleTxtG"/>
        <w:rPr>
          <w:iCs/>
        </w:rPr>
      </w:pPr>
      <w:r w:rsidRPr="00D75F43">
        <w:rPr>
          <w:iCs/>
        </w:rPr>
        <w:t>…</w:t>
      </w:r>
    </w:p>
    <w:p w:rsidR="00D75F43" w:rsidRPr="00D75F43" w:rsidRDefault="00D75F43" w:rsidP="00D75F43">
      <w:pPr>
        <w:pStyle w:val="SingleTxtG"/>
        <w:keepNext/>
        <w:ind w:left="2268" w:hanging="1134"/>
        <w:rPr>
          <w:iCs/>
        </w:rPr>
      </w:pPr>
      <w:r w:rsidRPr="00D75F43">
        <w:rPr>
          <w:iCs/>
        </w:rPr>
        <w:t>9.15.1</w:t>
      </w:r>
      <w:r w:rsidRPr="00D75F43">
        <w:rPr>
          <w:iCs/>
        </w:rPr>
        <w:tab/>
        <w:t>Témoin de défaut de fonctionnement prescrit par le règlement applicable au</w:t>
      </w:r>
      <w:r w:rsidR="00DB3545">
        <w:rPr>
          <w:iCs/>
        </w:rPr>
        <w:t> </w:t>
      </w:r>
      <w:r w:rsidRPr="00D75F43">
        <w:rPr>
          <w:iCs/>
        </w:rPr>
        <w:t>dispositif</w:t>
      </w:r>
      <w:r>
        <w:rPr>
          <w:iCs/>
        </w:rPr>
        <w:t> </w:t>
      </w:r>
      <w:r w:rsidRPr="00D75F43">
        <w:rPr>
          <w:iCs/>
        </w:rPr>
        <w:t>: oui/non</w:t>
      </w:r>
      <w:r w:rsidRPr="00D75F43">
        <w:rPr>
          <w:iCs/>
          <w:vertAlign w:val="superscript"/>
        </w:rPr>
        <w:t>2</w:t>
      </w:r>
      <w:r w:rsidRPr="00D75F43">
        <w:rPr>
          <w:iCs/>
        </w:rPr>
        <w:t xml:space="preserve"> ..........</w:t>
      </w:r>
    </w:p>
    <w:p w:rsidR="00D75F43" w:rsidRPr="00D75F43" w:rsidRDefault="00D75F43" w:rsidP="00D75F43">
      <w:pPr>
        <w:pStyle w:val="SingleTxtG"/>
        <w:rPr>
          <w:iCs/>
        </w:rPr>
      </w:pPr>
      <w:r w:rsidRPr="00D75F43">
        <w:rPr>
          <w:iCs/>
        </w:rPr>
        <w:t>…</w:t>
      </w:r>
    </w:p>
    <w:p w:rsidR="00D75F43" w:rsidRPr="00D75F43" w:rsidRDefault="00D75F43" w:rsidP="00D75F43">
      <w:pPr>
        <w:pStyle w:val="SingleTxtG"/>
        <w:keepNext/>
        <w:ind w:left="2268" w:hanging="1134"/>
        <w:rPr>
          <w:iCs/>
        </w:rPr>
      </w:pPr>
      <w:r w:rsidRPr="00D75F43">
        <w:rPr>
          <w:iCs/>
        </w:rPr>
        <w:t>9.21.1</w:t>
      </w:r>
      <w:r w:rsidRPr="00D75F43">
        <w:rPr>
          <w:iCs/>
        </w:rPr>
        <w:tab/>
      </w:r>
      <w:r w:rsidRPr="00D75F43">
        <w:rPr>
          <w:iCs/>
        </w:rPr>
        <w:tab/>
        <w:t>Témoin de défaut de fonctionnement prescrit par le règlement applicable au</w:t>
      </w:r>
      <w:r w:rsidR="00DB3545">
        <w:rPr>
          <w:iCs/>
        </w:rPr>
        <w:t> </w:t>
      </w:r>
      <w:r w:rsidRPr="00D75F43">
        <w:rPr>
          <w:iCs/>
        </w:rPr>
        <w:t>dispositif</w:t>
      </w:r>
      <w:r>
        <w:rPr>
          <w:iCs/>
        </w:rPr>
        <w:t> </w:t>
      </w:r>
      <w:r w:rsidRPr="00D75F43">
        <w:rPr>
          <w:iCs/>
        </w:rPr>
        <w:t>: oui/non</w:t>
      </w:r>
      <w:r w:rsidRPr="00D75F43">
        <w:rPr>
          <w:iCs/>
          <w:vertAlign w:val="superscript"/>
        </w:rPr>
        <w:t>2</w:t>
      </w:r>
      <w:r w:rsidRPr="00D75F43">
        <w:rPr>
          <w:iCs/>
        </w:rPr>
        <w:t xml:space="preserve"> ...........</w:t>
      </w:r>
    </w:p>
    <w:p w:rsidR="00D75F43" w:rsidRPr="00D75F43" w:rsidRDefault="00D75F43" w:rsidP="00D75F43">
      <w:pPr>
        <w:pStyle w:val="SingleTxtG"/>
        <w:rPr>
          <w:iCs/>
          <w:lang w:val="en-US"/>
        </w:rPr>
      </w:pPr>
      <w:r w:rsidRPr="00D75F43">
        <w:rPr>
          <w:i/>
          <w:iCs/>
          <w:lang w:val="en-US"/>
        </w:rPr>
        <w:t>…</w:t>
      </w:r>
    </w:p>
    <w:p w:rsidR="00D75F43" w:rsidRPr="00D75F43" w:rsidRDefault="00DB3545" w:rsidP="00DB3545">
      <w:pPr>
        <w:pStyle w:val="SingleTxtG"/>
        <w:ind w:left="567"/>
        <w:rPr>
          <w:i/>
          <w:iCs/>
          <w:lang w:val="en-US"/>
        </w:rPr>
      </w:pPr>
      <w:r>
        <w:rPr>
          <w:i/>
          <w:iCs/>
          <w:lang w:val="en-US"/>
        </w:rPr>
        <w:t>______________</w:t>
      </w:r>
    </w:p>
    <w:p w:rsidR="00DB3545" w:rsidRPr="00787DE3" w:rsidRDefault="00DB3545" w:rsidP="00DB3545">
      <w:pPr>
        <w:pStyle w:val="FootnoteText"/>
      </w:pPr>
      <w:r>
        <w:rPr>
          <w:i/>
          <w:iCs/>
          <w:vertAlign w:val="superscript"/>
          <w:lang w:val="en-US"/>
        </w:rPr>
        <w:tab/>
      </w:r>
      <w:r w:rsidRPr="00D75F43">
        <w:rPr>
          <w:i/>
          <w:iCs/>
          <w:vertAlign w:val="superscript"/>
          <w:lang w:val="en-US"/>
        </w:rPr>
        <w:t>2</w:t>
      </w:r>
      <w:r>
        <w:rPr>
          <w:i/>
          <w:iCs/>
          <w:vertAlign w:val="superscript"/>
          <w:lang w:val="en-US"/>
        </w:rPr>
        <w:tab/>
      </w:r>
      <w:r w:rsidR="00D75F43" w:rsidRPr="00787DE3">
        <w:rPr>
          <w:iCs/>
          <w:lang w:val="en-US"/>
        </w:rPr>
        <w:t>Biffer la mention inutile. ».</w:t>
      </w:r>
    </w:p>
    <w:p w:rsidR="00D75F43" w:rsidRPr="00DB3545" w:rsidRDefault="00DB3545" w:rsidP="00DB354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75F43" w:rsidRPr="00DB3545" w:rsidSect="00D75F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A0" w:rsidRDefault="009B42A0"/>
  </w:endnote>
  <w:endnote w:type="continuationSeparator" w:id="0">
    <w:p w:rsidR="009B42A0" w:rsidRDefault="009B42A0">
      <w:pPr>
        <w:pStyle w:val="Footer"/>
      </w:pPr>
    </w:p>
  </w:endnote>
  <w:endnote w:type="continuationNotice" w:id="1">
    <w:p w:rsidR="009B42A0" w:rsidRPr="00C451B9" w:rsidRDefault="009B42A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43" w:rsidRPr="00D75F43" w:rsidRDefault="00D75F43" w:rsidP="00D75F43">
    <w:pPr>
      <w:pStyle w:val="Footer"/>
      <w:tabs>
        <w:tab w:val="right" w:pos="9638"/>
      </w:tabs>
    </w:pPr>
    <w:r w:rsidRPr="00D75F43">
      <w:rPr>
        <w:b/>
        <w:sz w:val="18"/>
      </w:rPr>
      <w:fldChar w:fldCharType="begin"/>
    </w:r>
    <w:r w:rsidRPr="00D75F43">
      <w:rPr>
        <w:b/>
        <w:sz w:val="18"/>
      </w:rPr>
      <w:instrText xml:space="preserve"> PAGE  \* MERGEFORMAT </w:instrText>
    </w:r>
    <w:r w:rsidRPr="00D75F43">
      <w:rPr>
        <w:b/>
        <w:sz w:val="18"/>
      </w:rPr>
      <w:fldChar w:fldCharType="separate"/>
    </w:r>
    <w:r w:rsidR="000D288C">
      <w:rPr>
        <w:b/>
        <w:noProof/>
        <w:sz w:val="18"/>
      </w:rPr>
      <w:t>2</w:t>
    </w:r>
    <w:r w:rsidRPr="00D75F43">
      <w:rPr>
        <w:b/>
        <w:sz w:val="18"/>
      </w:rPr>
      <w:fldChar w:fldCharType="end"/>
    </w:r>
    <w:r>
      <w:rPr>
        <w:b/>
        <w:sz w:val="18"/>
      </w:rPr>
      <w:tab/>
    </w:r>
    <w:r>
      <w:t>GE.17-11428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43" w:rsidRPr="00D75F43" w:rsidRDefault="00D75F43" w:rsidP="00D75F43">
    <w:pPr>
      <w:pStyle w:val="Footer"/>
      <w:tabs>
        <w:tab w:val="right" w:pos="9638"/>
      </w:tabs>
      <w:rPr>
        <w:b/>
        <w:sz w:val="18"/>
      </w:rPr>
    </w:pPr>
    <w:r>
      <w:t>GE.17-11428</w:t>
    </w:r>
    <w:r>
      <w:tab/>
    </w:r>
    <w:r w:rsidRPr="00D75F43">
      <w:rPr>
        <w:b/>
        <w:sz w:val="18"/>
      </w:rPr>
      <w:fldChar w:fldCharType="begin"/>
    </w:r>
    <w:r w:rsidRPr="00D75F43">
      <w:rPr>
        <w:b/>
        <w:sz w:val="18"/>
      </w:rPr>
      <w:instrText xml:space="preserve"> PAGE  \* MERGEFORMAT </w:instrText>
    </w:r>
    <w:r w:rsidRPr="00D75F43">
      <w:rPr>
        <w:b/>
        <w:sz w:val="18"/>
      </w:rPr>
      <w:fldChar w:fldCharType="separate"/>
    </w:r>
    <w:r w:rsidR="000D288C">
      <w:rPr>
        <w:b/>
        <w:noProof/>
        <w:sz w:val="18"/>
      </w:rPr>
      <w:t>3</w:t>
    </w:r>
    <w:r w:rsidRPr="00D75F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D75F43" w:rsidRDefault="00D75F43" w:rsidP="00D75F43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17-11428  (F)    231117    231117</w:t>
    </w:r>
    <w:r>
      <w:rPr>
        <w:sz w:val="20"/>
      </w:rPr>
      <w:br/>
    </w:r>
    <w:r w:rsidRPr="00D75F43">
      <w:rPr>
        <w:rFonts w:ascii="C39T30Lfz" w:hAnsi="C39T30Lfz"/>
        <w:sz w:val="56"/>
      </w:rPr>
      <w:t></w:t>
    </w:r>
    <w:r w:rsidRPr="00D75F43">
      <w:rPr>
        <w:rFonts w:ascii="C39T30Lfz" w:hAnsi="C39T30Lfz"/>
        <w:sz w:val="56"/>
      </w:rPr>
      <w:t></w:t>
    </w:r>
    <w:r w:rsidRPr="00D75F43">
      <w:rPr>
        <w:rFonts w:ascii="C39T30Lfz" w:hAnsi="C39T30Lfz"/>
        <w:sz w:val="56"/>
      </w:rPr>
      <w:t></w:t>
    </w:r>
    <w:r w:rsidRPr="00D75F43">
      <w:rPr>
        <w:rFonts w:ascii="C39T30Lfz" w:hAnsi="C39T30Lfz"/>
        <w:sz w:val="56"/>
      </w:rPr>
      <w:t></w:t>
    </w:r>
    <w:r w:rsidRPr="00D75F43">
      <w:rPr>
        <w:rFonts w:ascii="C39T30Lfz" w:hAnsi="C39T30Lfz"/>
        <w:sz w:val="56"/>
      </w:rPr>
      <w:t></w:t>
    </w:r>
    <w:r w:rsidRPr="00D75F43">
      <w:rPr>
        <w:rFonts w:ascii="C39T30Lfz" w:hAnsi="C39T30Lfz"/>
        <w:sz w:val="56"/>
      </w:rPr>
      <w:t></w:t>
    </w:r>
    <w:r w:rsidRPr="00D75F43">
      <w:rPr>
        <w:rFonts w:ascii="C39T30Lfz" w:hAnsi="C39T30Lfz"/>
        <w:sz w:val="56"/>
      </w:rPr>
      <w:t></w:t>
    </w:r>
    <w:r w:rsidRPr="00D75F43">
      <w:rPr>
        <w:rFonts w:ascii="C39T30Lfz" w:hAnsi="C39T30Lfz"/>
        <w:sz w:val="56"/>
      </w:rPr>
      <w:t></w:t>
    </w:r>
    <w:r w:rsidRPr="00D75F43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7/Rev.10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7/Rev.10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A0" w:rsidRPr="00D27D5E" w:rsidRDefault="009B42A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B42A0" w:rsidRPr="00D171D4" w:rsidRDefault="009B42A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9B42A0" w:rsidRPr="00C451B9" w:rsidRDefault="009B42A0" w:rsidP="00C451B9">
      <w:pPr>
        <w:spacing w:line="240" w:lineRule="auto"/>
        <w:rPr>
          <w:sz w:val="2"/>
          <w:szCs w:val="2"/>
        </w:rPr>
      </w:pPr>
    </w:p>
  </w:footnote>
  <w:footnote w:id="2">
    <w:p w:rsidR="00D75F43" w:rsidRPr="00D75F43" w:rsidRDefault="00D75F43">
      <w:pPr>
        <w:pStyle w:val="FootnoteText"/>
      </w:pPr>
      <w:r>
        <w:rPr>
          <w:rStyle w:val="FootnoteReference"/>
        </w:rPr>
        <w:tab/>
      </w:r>
      <w:r w:rsidRPr="00D75F4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 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>oteur, en date, à Genève, du 20 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43" w:rsidRPr="00D75F43" w:rsidRDefault="00D75F43">
    <w:pPr>
      <w:pStyle w:val="Header"/>
      <w:rPr>
        <w:lang w:val="en-US"/>
      </w:rPr>
    </w:pPr>
    <w:r>
      <w:fldChar w:fldCharType="begin"/>
    </w:r>
    <w:r w:rsidRPr="00D75F43">
      <w:rPr>
        <w:lang w:val="en-US"/>
      </w:rPr>
      <w:instrText xml:space="preserve"> TITLE  \* MERGEFORMAT </w:instrText>
    </w:r>
    <w:r>
      <w:fldChar w:fldCharType="separate"/>
    </w:r>
    <w:r w:rsidR="000D288C">
      <w:rPr>
        <w:lang w:val="en-US"/>
      </w:rPr>
      <w:t>E/ECE/324/Rev.1/Add.47/Rev.10/Amend.4</w:t>
    </w:r>
    <w:r>
      <w:fldChar w:fldCharType="end"/>
    </w:r>
    <w:r w:rsidRPr="00D75F43">
      <w:rPr>
        <w:lang w:val="en-US"/>
      </w:rPr>
      <w:br/>
    </w:r>
    <w:r>
      <w:fldChar w:fldCharType="begin"/>
    </w:r>
    <w:r w:rsidRPr="00D75F43">
      <w:rPr>
        <w:lang w:val="en-US"/>
      </w:rPr>
      <w:instrText xml:space="preserve"> KEYWORDS  \* MERGEFORMAT </w:instrText>
    </w:r>
    <w:r>
      <w:fldChar w:fldCharType="separate"/>
    </w:r>
    <w:r w:rsidR="000D288C">
      <w:rPr>
        <w:lang w:val="en-US"/>
      </w:rPr>
      <w:t>E/ECE/TRANS/505/Rev.1/Add.47/Rev.10/Amend.4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43" w:rsidRPr="00D75F43" w:rsidRDefault="00D75F43" w:rsidP="00D75F43">
    <w:pPr>
      <w:pStyle w:val="Header"/>
      <w:jc w:val="right"/>
      <w:rPr>
        <w:lang w:val="en-US"/>
      </w:rPr>
    </w:pPr>
    <w:r>
      <w:fldChar w:fldCharType="begin"/>
    </w:r>
    <w:r w:rsidRPr="00D75F43">
      <w:rPr>
        <w:lang w:val="en-US"/>
      </w:rPr>
      <w:instrText xml:space="preserve"> TITLE  \* MERGEFORMAT </w:instrText>
    </w:r>
    <w:r>
      <w:fldChar w:fldCharType="separate"/>
    </w:r>
    <w:r w:rsidR="000D288C">
      <w:rPr>
        <w:lang w:val="en-US"/>
      </w:rPr>
      <w:t>E/ECE/324/Rev.1/Add.47/Rev.10/Amend.4</w:t>
    </w:r>
    <w:r>
      <w:fldChar w:fldCharType="end"/>
    </w:r>
    <w:r w:rsidRPr="00D75F43">
      <w:rPr>
        <w:lang w:val="en-US"/>
      </w:rPr>
      <w:br/>
    </w:r>
    <w:r>
      <w:fldChar w:fldCharType="begin"/>
    </w:r>
    <w:r w:rsidRPr="00D75F43">
      <w:rPr>
        <w:lang w:val="en-US"/>
      </w:rPr>
      <w:instrText xml:space="preserve"> KEYWORDS  \* MERGEFORMAT </w:instrText>
    </w:r>
    <w:r>
      <w:fldChar w:fldCharType="separate"/>
    </w:r>
    <w:r w:rsidR="000D288C">
      <w:rPr>
        <w:lang w:val="en-US"/>
      </w:rPr>
      <w:t>E/ECE/TRANS/505/Rev.1/Add.47/Rev.10/Amend.4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A0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288C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22AF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87DE3"/>
    <w:rsid w:val="00790B9D"/>
    <w:rsid w:val="00796316"/>
    <w:rsid w:val="007A1C58"/>
    <w:rsid w:val="007A20D2"/>
    <w:rsid w:val="007A79CD"/>
    <w:rsid w:val="007C16EA"/>
    <w:rsid w:val="007D2668"/>
    <w:rsid w:val="007D3119"/>
    <w:rsid w:val="007D4FFE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488"/>
    <w:rsid w:val="00926925"/>
    <w:rsid w:val="00935490"/>
    <w:rsid w:val="009418DE"/>
    <w:rsid w:val="00942EFB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2A0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276BB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B3C83"/>
    <w:rsid w:val="00CC2A62"/>
    <w:rsid w:val="00CC7CE6"/>
    <w:rsid w:val="00CD044C"/>
    <w:rsid w:val="00CD1A71"/>
    <w:rsid w:val="00CD1FBB"/>
    <w:rsid w:val="00CD5853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5F43"/>
    <w:rsid w:val="00D7695F"/>
    <w:rsid w:val="00D76F36"/>
    <w:rsid w:val="00D9039B"/>
    <w:rsid w:val="00D93582"/>
    <w:rsid w:val="00DA41A2"/>
    <w:rsid w:val="00DA43A1"/>
    <w:rsid w:val="00DA5E1D"/>
    <w:rsid w:val="00DB01CD"/>
    <w:rsid w:val="00DB3545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C0448E4C-B837-40ED-87AA-E7F7E0FF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E/ECE/324/Rev.1/Add.47/Rev.10/Amend.4</vt:lpstr>
      <vt:lpstr>E/ECE/324/Rev.1/Add.47/Rev.10/Amend.4</vt:lpstr>
    </vt:vector>
  </TitlesOfParts>
  <Company>CSD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E/ECE/324/Rev.1/Add.47/Rev.10/Amend.4</dc:title>
  <dc:creator>Fabienne CRELIER</dc:creator>
  <cp:keywords>E/ECE/TRANS/505/Rev.1/Add.47/Rev.10/Amend.4</cp:keywords>
  <cp:lastModifiedBy>Marie-Claude Collet</cp:lastModifiedBy>
  <cp:revision>3</cp:revision>
  <cp:lastPrinted>2017-11-27T07:27:00Z</cp:lastPrinted>
  <dcterms:created xsi:type="dcterms:W3CDTF">2017-11-27T07:27:00Z</dcterms:created>
  <dcterms:modified xsi:type="dcterms:W3CDTF">2017-11-27T07:27:00Z</dcterms:modified>
</cp:coreProperties>
</file>