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F7B86" w:rsidRPr="00DB58B5" w:rsidTr="00BF7B86">
        <w:trPr>
          <w:trHeight w:hRule="exact" w:val="851"/>
        </w:trPr>
        <w:tc>
          <w:tcPr>
            <w:tcW w:w="1276" w:type="dxa"/>
            <w:tcBorders>
              <w:bottom w:val="single" w:sz="4" w:space="0" w:color="auto"/>
            </w:tcBorders>
          </w:tcPr>
          <w:p w:rsidR="00BF7B86" w:rsidRPr="00DB58B5" w:rsidRDefault="00BF7B86" w:rsidP="0002432E">
            <w:pPr>
              <w:spacing w:after="80" w:line="300" w:lineRule="exact"/>
              <w:rPr>
                <w:sz w:val="28"/>
              </w:rPr>
            </w:pPr>
            <w:bookmarkStart w:id="0" w:name="_GoBack"/>
            <w:bookmarkEnd w:id="0"/>
          </w:p>
        </w:tc>
        <w:tc>
          <w:tcPr>
            <w:tcW w:w="8363" w:type="dxa"/>
            <w:gridSpan w:val="2"/>
            <w:tcBorders>
              <w:bottom w:val="single" w:sz="4" w:space="0" w:color="auto"/>
            </w:tcBorders>
            <w:vAlign w:val="bottom"/>
          </w:tcPr>
          <w:p w:rsidR="00BF7B86" w:rsidRPr="00DB58B5" w:rsidRDefault="00BF7B86" w:rsidP="00BF7B86">
            <w:pPr>
              <w:jc w:val="right"/>
            </w:pPr>
            <w:r w:rsidRPr="00BF7B86">
              <w:rPr>
                <w:sz w:val="40"/>
              </w:rPr>
              <w:t>E</w:t>
            </w:r>
            <w:r>
              <w:t>/ECE/324/Rev.1/Add.43/Rev.3/Amend.4−</w:t>
            </w:r>
            <w:r w:rsidRPr="00BF7B86">
              <w:rPr>
                <w:sz w:val="40"/>
              </w:rPr>
              <w:t>E</w:t>
            </w:r>
            <w:r>
              <w:t>/ECE/TRANS/505/Rev.1/Add.43/Rev.3/Amend.4</w:t>
            </w:r>
          </w:p>
        </w:tc>
      </w:tr>
      <w:tr w:rsidR="0080236C" w:rsidRPr="00DB58B5" w:rsidTr="0002432E">
        <w:trPr>
          <w:trHeight w:hRule="exact" w:val="2835"/>
        </w:trPr>
        <w:tc>
          <w:tcPr>
            <w:tcW w:w="1276" w:type="dxa"/>
            <w:tcBorders>
              <w:top w:val="single" w:sz="4" w:space="0" w:color="auto"/>
              <w:bottom w:val="single" w:sz="12" w:space="0" w:color="auto"/>
            </w:tcBorders>
          </w:tcPr>
          <w:p w:rsidR="0080236C" w:rsidRPr="00DB58B5" w:rsidRDefault="0080236C" w:rsidP="0002432E">
            <w:pPr>
              <w:spacing w:before="120"/>
              <w:jc w:val="center"/>
            </w:pPr>
          </w:p>
        </w:tc>
        <w:tc>
          <w:tcPr>
            <w:tcW w:w="5528" w:type="dxa"/>
            <w:tcBorders>
              <w:top w:val="single" w:sz="4" w:space="0" w:color="auto"/>
              <w:bottom w:val="single" w:sz="12" w:space="0" w:color="auto"/>
            </w:tcBorders>
          </w:tcPr>
          <w:p w:rsidR="0080236C" w:rsidRPr="00740562" w:rsidRDefault="0080236C" w:rsidP="0002432E">
            <w:pPr>
              <w:spacing w:before="120" w:line="420" w:lineRule="exact"/>
              <w:rPr>
                <w:b/>
                <w:sz w:val="40"/>
                <w:szCs w:val="40"/>
              </w:rPr>
            </w:pPr>
          </w:p>
        </w:tc>
        <w:tc>
          <w:tcPr>
            <w:tcW w:w="2835" w:type="dxa"/>
            <w:tcBorders>
              <w:top w:val="single" w:sz="4" w:space="0" w:color="auto"/>
              <w:bottom w:val="single" w:sz="12" w:space="0" w:color="auto"/>
            </w:tcBorders>
          </w:tcPr>
          <w:p w:rsidR="00BF7B86" w:rsidRPr="00DB58B5" w:rsidRDefault="00BF7B86" w:rsidP="00E7008E">
            <w:pPr>
              <w:spacing w:before="720"/>
            </w:pPr>
            <w:r>
              <w:t>22 février 2017</w:t>
            </w:r>
          </w:p>
        </w:tc>
      </w:tr>
    </w:tbl>
    <w:p w:rsidR="00BF7B86" w:rsidRDefault="00EF6062" w:rsidP="00EF6062">
      <w:pPr>
        <w:pStyle w:val="HChG"/>
      </w:pPr>
      <w:r>
        <w:tab/>
      </w:r>
      <w:r>
        <w:tab/>
        <w:t>Accord</w:t>
      </w:r>
    </w:p>
    <w:p w:rsidR="00EF6062" w:rsidRDefault="00EF6062" w:rsidP="00EF6062">
      <w:pPr>
        <w:pStyle w:val="H1G"/>
        <w:rPr>
          <w:b w:val="0"/>
          <w:sz w:val="20"/>
        </w:rPr>
      </w:pPr>
      <w:r>
        <w:tab/>
      </w:r>
      <w:r>
        <w:tab/>
        <w:t>Concernant l’adoption de prescriptions techniques uniformes applicables aux véhicules à roues, aux équipements e</w:t>
      </w:r>
      <w:r w:rsidR="004778D3">
        <w:t>t</w:t>
      </w:r>
      <w:r>
        <w:t xml:space="preserve"> aux pièces susceptibles d’être montés ou utilisés sur un véhicule à roues et </w:t>
      </w:r>
      <w:r w:rsidR="004778D3">
        <w:br/>
      </w:r>
      <w:r>
        <w:t>les conditions de reconnaissance réciproque des homologations délivrées conformément à ces prescriptions</w:t>
      </w:r>
      <w:r w:rsidRPr="00EF6062">
        <w:rPr>
          <w:rStyle w:val="FootnoteReference"/>
          <w:b w:val="0"/>
          <w:sz w:val="20"/>
          <w:vertAlign w:val="baseline"/>
        </w:rPr>
        <w:footnoteReference w:customMarkFollows="1" w:id="2"/>
        <w:t>*</w:t>
      </w:r>
    </w:p>
    <w:p w:rsidR="00C36A3B" w:rsidRDefault="00C36A3B" w:rsidP="00C36A3B">
      <w:pPr>
        <w:pStyle w:val="SingleTxtG"/>
      </w:pPr>
      <w:r>
        <w:t>(Révision 2, comprenant les amendements entrés en vigueur le 16 octobre 1995)</w:t>
      </w:r>
    </w:p>
    <w:p w:rsidR="00C36A3B" w:rsidRPr="00C36A3B" w:rsidRDefault="00C36A3B" w:rsidP="00C36A3B">
      <w:pPr>
        <w:pStyle w:val="SingleTxtG"/>
        <w:spacing w:before="240"/>
        <w:jc w:val="center"/>
        <w:rPr>
          <w:b/>
          <w:u w:val="single"/>
        </w:rPr>
      </w:pPr>
      <w:r>
        <w:rPr>
          <w:b/>
          <w:u w:val="single"/>
        </w:rPr>
        <w:tab/>
      </w:r>
      <w:r>
        <w:rPr>
          <w:b/>
          <w:u w:val="single"/>
        </w:rPr>
        <w:tab/>
      </w:r>
      <w:r>
        <w:rPr>
          <w:b/>
          <w:u w:val="single"/>
        </w:rPr>
        <w:tab/>
      </w:r>
    </w:p>
    <w:p w:rsidR="00BF7B86" w:rsidRDefault="007859A7" w:rsidP="007859A7">
      <w:pPr>
        <w:pStyle w:val="H1G"/>
      </w:pPr>
      <w:r>
        <w:tab/>
      </w:r>
      <w:r>
        <w:tab/>
        <w:t xml:space="preserve">Additif 43 : </w:t>
      </w:r>
      <w:r w:rsidR="004778D3">
        <w:t>R</w:t>
      </w:r>
      <w:r>
        <w:t>èglement n</w:t>
      </w:r>
      <w:r w:rsidRPr="007859A7">
        <w:rPr>
          <w:vertAlign w:val="superscript"/>
        </w:rPr>
        <w:t>o</w:t>
      </w:r>
      <w:r>
        <w:t> 44</w:t>
      </w:r>
    </w:p>
    <w:p w:rsidR="00BF7B86" w:rsidRDefault="000A3E26" w:rsidP="000A3E26">
      <w:pPr>
        <w:pStyle w:val="H1G"/>
      </w:pPr>
      <w:r>
        <w:tab/>
      </w:r>
      <w:r>
        <w:tab/>
      </w:r>
      <w:r w:rsidR="007859A7">
        <w:t>Révision 3 − Amendement 4</w:t>
      </w:r>
    </w:p>
    <w:p w:rsidR="007859A7" w:rsidRDefault="007859A7" w:rsidP="00BF7B86">
      <w:pPr>
        <w:pStyle w:val="SingleTxtG"/>
      </w:pPr>
      <w:r>
        <w:t>Complément 11 à la série 04 d’amendements au Règlement − Date d’entrée en vigueur :</w:t>
      </w:r>
      <w:r w:rsidR="000A3E26">
        <w:t xml:space="preserve"> 9 </w:t>
      </w:r>
      <w:r>
        <w:t>février 2017</w:t>
      </w:r>
    </w:p>
    <w:p w:rsidR="007859A7" w:rsidRDefault="000A3E26" w:rsidP="000A3E26">
      <w:pPr>
        <w:pStyle w:val="H1G"/>
      </w:pPr>
      <w:r w:rsidRPr="000A3E26">
        <w:rPr>
          <w:spacing w:val="2"/>
        </w:rPr>
        <w:tab/>
      </w:r>
      <w:r w:rsidRPr="000A3E26">
        <w:rPr>
          <w:spacing w:val="2"/>
        </w:rPr>
        <w:tab/>
      </w:r>
      <w:r w:rsidR="007859A7" w:rsidRPr="000A3E26">
        <w:rPr>
          <w:spacing w:val="2"/>
        </w:rPr>
        <w:t xml:space="preserve">Prescriptions uniformes relatives à l’homologation des dispositifs </w:t>
      </w:r>
      <w:r w:rsidRPr="000A3E26">
        <w:rPr>
          <w:spacing w:val="2"/>
        </w:rPr>
        <w:br/>
      </w:r>
      <w:r w:rsidR="007859A7" w:rsidRPr="000A3E26">
        <w:rPr>
          <w:spacing w:val="-1"/>
        </w:rPr>
        <w:t>de retenue pour enfants à bord des véhicules à moteur (</w:t>
      </w:r>
      <w:r w:rsidRPr="000A3E26">
        <w:rPr>
          <w:spacing w:val="-1"/>
        </w:rPr>
        <w:t>« </w:t>
      </w:r>
      <w:r w:rsidR="007859A7" w:rsidRPr="000A3E26">
        <w:rPr>
          <w:spacing w:val="-1"/>
        </w:rPr>
        <w:t xml:space="preserve">dispositifs </w:t>
      </w:r>
      <w:r w:rsidRPr="000A3E26">
        <w:rPr>
          <w:spacing w:val="-1"/>
        </w:rPr>
        <w:br/>
      </w:r>
      <w:r w:rsidR="007859A7">
        <w:t>de retenue pour enfants »)</w:t>
      </w:r>
    </w:p>
    <w:p w:rsidR="007859A7" w:rsidRPr="000A3E26" w:rsidRDefault="007859A7" w:rsidP="00BF7B86">
      <w:pPr>
        <w:pStyle w:val="SingleTxtG"/>
      </w:pPr>
      <w:r w:rsidRPr="004778D3">
        <w:rPr>
          <w:spacing w:val="-2"/>
        </w:rPr>
        <w:t>Le présent document est communiqué uniquement à titre d’information. Le texte authentique,</w:t>
      </w:r>
      <w:r w:rsidRPr="000A3E26">
        <w:rPr>
          <w:spacing w:val="-2"/>
        </w:rPr>
        <w:t xml:space="preserve"> </w:t>
      </w:r>
      <w:r w:rsidRPr="000A3E26">
        <w:t>juridiquement contraignant, est celui du document ECE/TRANS/WP.29/2016/37.</w:t>
      </w:r>
    </w:p>
    <w:p w:rsidR="007859A7" w:rsidRPr="007859A7" w:rsidRDefault="007859A7" w:rsidP="007A5B83">
      <w:pPr>
        <w:pStyle w:val="SingleTxtG"/>
        <w:spacing w:before="480"/>
        <w:jc w:val="center"/>
        <w:rPr>
          <w:u w:val="single"/>
        </w:rPr>
      </w:pPr>
      <w:r>
        <w:rPr>
          <w:u w:val="single"/>
        </w:rPr>
        <w:tab/>
      </w:r>
      <w:r>
        <w:rPr>
          <w:u w:val="single"/>
        </w:rPr>
        <w:tab/>
      </w:r>
      <w:r>
        <w:rPr>
          <w:u w:val="single"/>
        </w:rPr>
        <w:tab/>
      </w:r>
    </w:p>
    <w:p w:rsidR="007859A7" w:rsidRDefault="007859A7" w:rsidP="007859A7">
      <w:pPr>
        <w:pStyle w:val="SingleTxtG"/>
        <w:jc w:val="center"/>
      </w:pPr>
      <w:r w:rsidRPr="00133191">
        <w:rPr>
          <w:b/>
          <w:noProof/>
          <w:lang w:val="en-GB" w:eastAsia="en-GB"/>
        </w:rPr>
        <w:drawing>
          <wp:inline distT="0" distB="0" distL="0" distR="0" wp14:anchorId="48831495" wp14:editId="67B97497">
            <wp:extent cx="985437" cy="792000"/>
            <wp:effectExtent l="0" t="0" r="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985437" cy="792000"/>
                    </a:xfrm>
                    <a:prstGeom prst="rect">
                      <a:avLst/>
                    </a:prstGeom>
                    <a:noFill/>
                  </pic:spPr>
                </pic:pic>
              </a:graphicData>
            </a:graphic>
          </wp:inline>
        </w:drawing>
      </w:r>
    </w:p>
    <w:p w:rsidR="007859A7" w:rsidRPr="004778D3" w:rsidRDefault="007859A7" w:rsidP="007859A7">
      <w:pPr>
        <w:pStyle w:val="SingleTxtG"/>
        <w:jc w:val="center"/>
        <w:rPr>
          <w:b/>
          <w:sz w:val="24"/>
          <w:szCs w:val="24"/>
        </w:rPr>
      </w:pPr>
      <w:r w:rsidRPr="004778D3">
        <w:rPr>
          <w:b/>
          <w:sz w:val="24"/>
          <w:szCs w:val="24"/>
        </w:rPr>
        <w:t>NATIONS UNIES</w:t>
      </w:r>
    </w:p>
    <w:p w:rsidR="00BF7B86" w:rsidRPr="00207414" w:rsidRDefault="00BF7B86" w:rsidP="000A3E26">
      <w:pPr>
        <w:pStyle w:val="SingleTxtG"/>
      </w:pPr>
      <w:r>
        <w:br w:type="page"/>
      </w:r>
      <w:r w:rsidRPr="00207414">
        <w:rPr>
          <w:i/>
        </w:rPr>
        <w:lastRenderedPageBreak/>
        <w:t>Paragra</w:t>
      </w:r>
      <w:r w:rsidR="000A3E26">
        <w:rPr>
          <w:i/>
        </w:rPr>
        <w:t>phe </w:t>
      </w:r>
      <w:r w:rsidRPr="00207414">
        <w:rPr>
          <w:i/>
        </w:rPr>
        <w:t>2.8.8</w:t>
      </w:r>
      <w:r w:rsidRPr="00207414">
        <w:rPr>
          <w:iCs/>
        </w:rPr>
        <w:t xml:space="preserve">, </w:t>
      </w:r>
      <w:proofErr w:type="gramStart"/>
      <w:r w:rsidRPr="00207414">
        <w:rPr>
          <w:iCs/>
        </w:rPr>
        <w:t>modifier</w:t>
      </w:r>
      <w:proofErr w:type="gramEnd"/>
      <w:r w:rsidRPr="00207414">
        <w:rPr>
          <w:iCs/>
        </w:rPr>
        <w:t xml:space="preserve"> comme suit </w:t>
      </w:r>
      <w:r w:rsidRPr="00207414">
        <w:t>:</w:t>
      </w:r>
    </w:p>
    <w:p w:rsidR="00BF7B86" w:rsidRPr="00207414" w:rsidRDefault="00BF7B86" w:rsidP="00BF7B86">
      <w:pPr>
        <w:pStyle w:val="SingleTxtG"/>
        <w:ind w:left="2268" w:hanging="1134"/>
      </w:pPr>
      <w:r w:rsidRPr="00207414">
        <w:t>« 2.8.8</w:t>
      </w:r>
      <w:r w:rsidRPr="00207414">
        <w:tab/>
        <w:t>“</w:t>
      </w:r>
      <w:r w:rsidRPr="00207414">
        <w:rPr>
          <w:i/>
          <w:iCs/>
        </w:rPr>
        <w:t>Sangle guide</w:t>
      </w:r>
      <w:r w:rsidRPr="00207414">
        <w:t xml:space="preserve">”, une sangle ou un dispositif qui agit sur la sangle diagonale de la ceinture de sécurité pour adultes de façon à la placer dans une position convenant à un enfant et qui, à l’endroit précis où la sangle diagonale change de direction, se règle au moyen d’un dispositif mobile coulissant le long de la sangle diagonale, pour venir se placer à la hauteur de l’épaule du porteur et se verrouiller dans cette position. La sangle guide n’est pas prévue pour supporter une partie importante des contraintes au moment du </w:t>
      </w:r>
      <w:r w:rsidR="000A3E26">
        <w:t>choc. Une </w:t>
      </w:r>
      <w:r w:rsidRPr="00207414">
        <w:t>sangle guide fait partie intégrante d’un système de retenue pour enfants et ne peut pas faire l’objet d’une homologation distincte en tant que système de retenue pour enfants en vertu du présent Règlement. ».</w:t>
      </w:r>
    </w:p>
    <w:p w:rsidR="00BF7B86" w:rsidRPr="00207414" w:rsidRDefault="000A3E26" w:rsidP="00BF7B86">
      <w:pPr>
        <w:pStyle w:val="SingleTxtG"/>
        <w:ind w:left="2268" w:hanging="1134"/>
      </w:pPr>
      <w:r>
        <w:rPr>
          <w:i/>
          <w:iCs/>
        </w:rPr>
        <w:t>Ajouter un nouveau paragraphe </w:t>
      </w:r>
      <w:r w:rsidR="00BF7B86" w:rsidRPr="00207414">
        <w:rPr>
          <w:i/>
          <w:iCs/>
        </w:rPr>
        <w:t>4.9</w:t>
      </w:r>
      <w:r w:rsidR="00BF7B86" w:rsidRPr="00207414">
        <w:t>, ainsi conçu :</w:t>
      </w:r>
    </w:p>
    <w:p w:rsidR="00BF7B86" w:rsidRPr="00207414" w:rsidRDefault="00BF7B86" w:rsidP="00BF7B86">
      <w:pPr>
        <w:pStyle w:val="SingleTxtG"/>
        <w:ind w:left="2268" w:hanging="1134"/>
      </w:pPr>
      <w:r w:rsidRPr="00207414">
        <w:t>« 4.9</w:t>
      </w:r>
      <w:r w:rsidRPr="00207414">
        <w:tab/>
        <w:t>Marquage des coussins d’appoint sans dossier</w:t>
      </w:r>
    </w:p>
    <w:p w:rsidR="00BF7B86" w:rsidRPr="00207414" w:rsidRDefault="00BF7B86" w:rsidP="00BF7B86">
      <w:pPr>
        <w:pStyle w:val="SingleTxtG"/>
        <w:spacing w:after="240"/>
        <w:ind w:left="2268"/>
      </w:pPr>
      <w:r w:rsidRPr="001F558D">
        <w:rPr>
          <w:spacing w:val="2"/>
        </w:rPr>
        <w:t>Si le produit est un coussin d’appoint sans dossier, il doit porter l’étiquette ci-</w:t>
      </w:r>
      <w:r w:rsidRPr="00207414">
        <w:t>dessous, qui doit être visible en permanence par la personne installant le dispositif de retenue dans un véhicule, et doit être masqué lorsque le coussin d’appoint est utilisé avec son dossier amovible :</w:t>
      </w:r>
    </w:p>
    <w:p w:rsidR="00BF7B86" w:rsidRPr="00207414" w:rsidRDefault="00BF7B86" w:rsidP="00BF7B86">
      <w:pPr>
        <w:pStyle w:val="SingleTxtG"/>
        <w:ind w:left="2268"/>
      </w:pPr>
      <w:r w:rsidRPr="00207414">
        <w:rPr>
          <w:noProof/>
          <w:lang w:val="en-GB" w:eastAsia="en-GB"/>
        </w:rPr>
        <w:drawing>
          <wp:inline distT="0" distB="0" distL="0" distR="0" wp14:anchorId="5BFDC60B" wp14:editId="31A38849">
            <wp:extent cx="1043264" cy="16090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01" cy="1617884"/>
                    </a:xfrm>
                    <a:prstGeom prst="rect">
                      <a:avLst/>
                    </a:prstGeom>
                  </pic:spPr>
                </pic:pic>
              </a:graphicData>
            </a:graphic>
          </wp:inline>
        </w:drawing>
      </w:r>
      <w:r w:rsidRPr="00207414">
        <w:rPr>
          <w:noProof/>
          <w:lang w:val="en-GB" w:eastAsia="en-GB"/>
        </w:rPr>
        <w:drawing>
          <wp:inline distT="0" distB="0" distL="0" distR="0" wp14:anchorId="69B02EC3" wp14:editId="26FECB4E">
            <wp:extent cx="1623974" cy="1623974"/>
            <wp:effectExtent l="0" t="0" r="0" b="0"/>
            <wp:docPr id="5" name="Picture 5" descr="E:\WP.29-GRSP-58e\autocollant-panneau-interdit-inter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P.29-GRSP-58e\autocollant-panneau-interdit-interdi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859" cy="1623859"/>
                    </a:xfrm>
                    <a:prstGeom prst="rect">
                      <a:avLst/>
                    </a:prstGeom>
                    <a:noFill/>
                    <a:ln>
                      <a:noFill/>
                    </a:ln>
                  </pic:spPr>
                </pic:pic>
              </a:graphicData>
            </a:graphic>
          </wp:inline>
        </w:drawing>
      </w:r>
    </w:p>
    <w:p w:rsidR="00BF7B86" w:rsidRPr="00207414" w:rsidRDefault="00BF7B86" w:rsidP="00BF7B86">
      <w:pPr>
        <w:pStyle w:val="SingleTxtG"/>
        <w:jc w:val="right"/>
      </w:pPr>
      <w:r w:rsidRPr="00207414">
        <w:t>».</w:t>
      </w:r>
    </w:p>
    <w:p w:rsidR="00BF7B86" w:rsidRPr="00207414" w:rsidRDefault="000A3E26" w:rsidP="00BF7B86">
      <w:pPr>
        <w:pStyle w:val="SingleTxtG"/>
      </w:pPr>
      <w:r>
        <w:rPr>
          <w:i/>
          <w:iCs/>
        </w:rPr>
        <w:t>Ajouter un nouveau paragraphe </w:t>
      </w:r>
      <w:r w:rsidR="00BF7B86" w:rsidRPr="00207414">
        <w:rPr>
          <w:i/>
          <w:iCs/>
        </w:rPr>
        <w:t>6.1.13</w:t>
      </w:r>
      <w:r w:rsidR="00BF7B86" w:rsidRPr="00207414">
        <w:t>, ainsi conçu :</w:t>
      </w:r>
    </w:p>
    <w:p w:rsidR="00BF7B86" w:rsidRDefault="00BF7B86" w:rsidP="000A3E26">
      <w:pPr>
        <w:pStyle w:val="SingleTxtG"/>
        <w:ind w:left="2268" w:hanging="1134"/>
      </w:pPr>
      <w:r w:rsidRPr="00207414">
        <w:t>« 6.1.13</w:t>
      </w:r>
      <w:r w:rsidRPr="00207414">
        <w:tab/>
        <w:t>Les coussins d’appoint sans dossier ne peuvent être homologués qu’en tant que dispositifs de retenue pour enfants du groupe III, tel que défini au paragraphe</w:t>
      </w:r>
      <w:r w:rsidR="0042506D">
        <w:t> </w:t>
      </w:r>
      <w:r w:rsidRPr="00207414">
        <w:t>2.1.1.5 du présent Règlement (gamme de masses 22-36 kg). ».</w:t>
      </w:r>
    </w:p>
    <w:p w:rsidR="00BF7B86" w:rsidRPr="00BF7B86" w:rsidRDefault="00BF7B86" w:rsidP="00BF7B86">
      <w:pPr>
        <w:pStyle w:val="SingleTxtG"/>
        <w:spacing w:before="240" w:after="0"/>
        <w:jc w:val="center"/>
        <w:rPr>
          <w:u w:val="single"/>
        </w:rPr>
      </w:pPr>
      <w:r>
        <w:rPr>
          <w:u w:val="single"/>
        </w:rPr>
        <w:tab/>
      </w:r>
      <w:r>
        <w:rPr>
          <w:u w:val="single"/>
        </w:rPr>
        <w:tab/>
      </w:r>
      <w:r>
        <w:rPr>
          <w:u w:val="single"/>
        </w:rPr>
        <w:tab/>
      </w:r>
    </w:p>
    <w:sectPr w:rsidR="00BF7B86" w:rsidRPr="00BF7B86" w:rsidSect="00BF7B8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6B" w:rsidRDefault="001E016B" w:rsidP="00F95C08">
      <w:pPr>
        <w:spacing w:line="240" w:lineRule="auto"/>
      </w:pPr>
    </w:p>
  </w:endnote>
  <w:endnote w:type="continuationSeparator" w:id="0">
    <w:p w:rsidR="001E016B" w:rsidRPr="00AC3823" w:rsidRDefault="001E016B" w:rsidP="00AC3823">
      <w:pPr>
        <w:pStyle w:val="Footer"/>
      </w:pPr>
    </w:p>
  </w:endnote>
  <w:endnote w:type="continuationNotice" w:id="1">
    <w:p w:rsidR="001E016B" w:rsidRDefault="001E01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6" w:rsidRPr="00BF7B86" w:rsidRDefault="00BF7B86" w:rsidP="00BF7B86">
    <w:pPr>
      <w:pStyle w:val="Footer"/>
      <w:tabs>
        <w:tab w:val="right" w:pos="9638"/>
      </w:tabs>
    </w:pPr>
    <w:r w:rsidRPr="00BF7B86">
      <w:rPr>
        <w:b/>
        <w:sz w:val="18"/>
      </w:rPr>
      <w:fldChar w:fldCharType="begin"/>
    </w:r>
    <w:r w:rsidRPr="00BF7B86">
      <w:rPr>
        <w:b/>
        <w:sz w:val="18"/>
      </w:rPr>
      <w:instrText xml:space="preserve"> PAGE  \* MERGEFORMAT </w:instrText>
    </w:r>
    <w:r w:rsidRPr="00BF7B86">
      <w:rPr>
        <w:b/>
        <w:sz w:val="18"/>
      </w:rPr>
      <w:fldChar w:fldCharType="separate"/>
    </w:r>
    <w:r w:rsidR="001E7DD7">
      <w:rPr>
        <w:b/>
        <w:noProof/>
        <w:sz w:val="18"/>
      </w:rPr>
      <w:t>2</w:t>
    </w:r>
    <w:r w:rsidRPr="00BF7B86">
      <w:rPr>
        <w:b/>
        <w:sz w:val="18"/>
      </w:rPr>
      <w:fldChar w:fldCharType="end"/>
    </w:r>
    <w:r>
      <w:rPr>
        <w:b/>
        <w:sz w:val="18"/>
      </w:rPr>
      <w:tab/>
    </w:r>
    <w:r>
      <w:t>GE.17-01810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6" w:rsidRPr="00BF7B86" w:rsidRDefault="00BF7B86" w:rsidP="00BF7B86">
    <w:pPr>
      <w:pStyle w:val="Footer"/>
      <w:tabs>
        <w:tab w:val="right" w:pos="9638"/>
      </w:tabs>
      <w:rPr>
        <w:b/>
        <w:sz w:val="18"/>
      </w:rPr>
    </w:pPr>
    <w:r>
      <w:t>GE.17-01810</w:t>
    </w:r>
    <w:r>
      <w:tab/>
    </w:r>
    <w:r w:rsidRPr="00BF7B86">
      <w:rPr>
        <w:b/>
        <w:sz w:val="18"/>
      </w:rPr>
      <w:fldChar w:fldCharType="begin"/>
    </w:r>
    <w:r w:rsidRPr="00BF7B86">
      <w:rPr>
        <w:b/>
        <w:sz w:val="18"/>
      </w:rPr>
      <w:instrText xml:space="preserve"> PAGE  \* MERGEFORMAT </w:instrText>
    </w:r>
    <w:r w:rsidRPr="00BF7B86">
      <w:rPr>
        <w:b/>
        <w:sz w:val="18"/>
      </w:rPr>
      <w:fldChar w:fldCharType="separate"/>
    </w:r>
    <w:r>
      <w:rPr>
        <w:b/>
        <w:noProof/>
        <w:sz w:val="18"/>
      </w:rPr>
      <w:t>3</w:t>
    </w:r>
    <w:r w:rsidRPr="00BF7B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6C" w:rsidRPr="00BF7B86" w:rsidRDefault="00BF7B86" w:rsidP="00BF7B86">
    <w:pPr>
      <w:pStyle w:val="Footer"/>
      <w:spacing w:before="120"/>
      <w:rPr>
        <w:sz w:val="20"/>
      </w:rPr>
    </w:pPr>
    <w:r>
      <w:rPr>
        <w:sz w:val="20"/>
      </w:rPr>
      <w:t>GE.</w:t>
    </w:r>
    <w:r w:rsidR="0080236C">
      <w:rPr>
        <w:noProof/>
        <w:lang w:val="en-GB" w:eastAsia="en-GB"/>
      </w:rPr>
      <w:drawing>
        <wp:anchor distT="0" distB="0" distL="114300" distR="114300" simplePos="0" relativeHeight="251659264" behindDoc="0" locked="0" layoutInCell="1" allowOverlap="0" wp14:anchorId="3FE7DA3A" wp14:editId="3CABA8A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17-01810  (F)    110517    110517</w:t>
    </w:r>
    <w:r>
      <w:rPr>
        <w:sz w:val="20"/>
      </w:rPr>
      <w:br/>
    </w:r>
    <w:r w:rsidRPr="00BF7B86">
      <w:rPr>
        <w:rFonts w:ascii="C39T30Lfz" w:hAnsi="C39T30Lfz"/>
        <w:sz w:val="56"/>
      </w:rPr>
      <w:t></w:t>
    </w:r>
    <w:r w:rsidRPr="00BF7B86">
      <w:rPr>
        <w:rFonts w:ascii="C39T30Lfz" w:hAnsi="C39T30Lfz"/>
        <w:sz w:val="56"/>
      </w:rPr>
      <w:t></w:t>
    </w:r>
    <w:r w:rsidRPr="00BF7B86">
      <w:rPr>
        <w:rFonts w:ascii="C39T30Lfz" w:hAnsi="C39T30Lfz"/>
        <w:sz w:val="56"/>
      </w:rPr>
      <w:t></w:t>
    </w:r>
    <w:r w:rsidRPr="00BF7B86">
      <w:rPr>
        <w:rFonts w:ascii="C39T30Lfz" w:hAnsi="C39T30Lfz"/>
        <w:sz w:val="56"/>
      </w:rPr>
      <w:t></w:t>
    </w:r>
    <w:r w:rsidRPr="00BF7B86">
      <w:rPr>
        <w:rFonts w:ascii="C39T30Lfz" w:hAnsi="C39T30Lfz"/>
        <w:sz w:val="56"/>
      </w:rPr>
      <w:t></w:t>
    </w:r>
    <w:r w:rsidRPr="00BF7B86">
      <w:rPr>
        <w:rFonts w:ascii="C39T30Lfz" w:hAnsi="C39T30Lfz"/>
        <w:sz w:val="56"/>
      </w:rPr>
      <w:t></w:t>
    </w:r>
    <w:r w:rsidRPr="00BF7B86">
      <w:rPr>
        <w:rFonts w:ascii="C39T30Lfz" w:hAnsi="C39T30Lfz"/>
        <w:sz w:val="56"/>
      </w:rPr>
      <w:t></w:t>
    </w:r>
    <w:r w:rsidRPr="00BF7B86">
      <w:rPr>
        <w:rFonts w:ascii="C39T30Lfz" w:hAnsi="C39T30Lfz"/>
        <w:sz w:val="56"/>
      </w:rPr>
      <w:t></w:t>
    </w:r>
    <w:r w:rsidRPr="00BF7B8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ECE/324/Rev.1/Add.43/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3/Rev.3/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6B" w:rsidRPr="00AC3823" w:rsidRDefault="001E016B" w:rsidP="00AC3823">
      <w:pPr>
        <w:pStyle w:val="Footer"/>
        <w:tabs>
          <w:tab w:val="right" w:pos="2155"/>
        </w:tabs>
        <w:spacing w:after="80" w:line="240" w:lineRule="atLeast"/>
        <w:ind w:left="680"/>
        <w:rPr>
          <w:u w:val="single"/>
        </w:rPr>
      </w:pPr>
      <w:r>
        <w:rPr>
          <w:u w:val="single"/>
        </w:rPr>
        <w:tab/>
      </w:r>
    </w:p>
  </w:footnote>
  <w:footnote w:type="continuationSeparator" w:id="0">
    <w:p w:rsidR="001E016B" w:rsidRPr="00AC3823" w:rsidRDefault="001E016B" w:rsidP="00AC3823">
      <w:pPr>
        <w:pStyle w:val="Footer"/>
        <w:tabs>
          <w:tab w:val="right" w:pos="2155"/>
        </w:tabs>
        <w:spacing w:after="80" w:line="240" w:lineRule="atLeast"/>
        <w:ind w:left="680"/>
        <w:rPr>
          <w:u w:val="single"/>
        </w:rPr>
      </w:pPr>
      <w:r>
        <w:rPr>
          <w:u w:val="single"/>
        </w:rPr>
        <w:tab/>
      </w:r>
    </w:p>
  </w:footnote>
  <w:footnote w:type="continuationNotice" w:id="1">
    <w:p w:rsidR="001E016B" w:rsidRPr="00AC3823" w:rsidRDefault="001E016B">
      <w:pPr>
        <w:spacing w:line="240" w:lineRule="auto"/>
        <w:rPr>
          <w:sz w:val="2"/>
          <w:szCs w:val="2"/>
        </w:rPr>
      </w:pPr>
    </w:p>
  </w:footnote>
  <w:footnote w:id="2">
    <w:p w:rsidR="00EF6062" w:rsidRPr="00EF6062" w:rsidRDefault="00EF6062">
      <w:pPr>
        <w:pStyle w:val="FootnoteText"/>
      </w:pPr>
      <w:r>
        <w:rPr>
          <w:rStyle w:val="FootnoteReference"/>
        </w:rPr>
        <w:tab/>
      </w:r>
      <w:r w:rsidRPr="00EF6062">
        <w:rPr>
          <w:rStyle w:val="FootnoteReference"/>
          <w:sz w:val="20"/>
          <w:vertAlign w:val="baseline"/>
        </w:rPr>
        <w:t>*</w:t>
      </w:r>
      <w:r>
        <w:rPr>
          <w:rStyle w:val="FootnoteReference"/>
          <w:sz w:val="20"/>
          <w:vertAlign w:val="baseline"/>
        </w:rPr>
        <w:tab/>
      </w:r>
      <w:r w:rsidRPr="00EF6062">
        <w:t>Ancien titre de l’Accord : Accord concernant l’adoption de conditions uniformes d’homologation et la reconnaissance réciproque de l’homologation des équipements et pièces de véhicules à moteur, en date, à Genève, du 20 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6" w:rsidRPr="00BF7B86" w:rsidRDefault="001E7DD7">
    <w:pPr>
      <w:pStyle w:val="Header"/>
    </w:pPr>
    <w:r>
      <w:fldChar w:fldCharType="begin"/>
    </w:r>
    <w:r>
      <w:instrText xml:space="preserve"> TITLE  \* MERGEFORMAT </w:instrText>
    </w:r>
    <w:r>
      <w:fldChar w:fldCharType="separate"/>
    </w:r>
    <w:r w:rsidR="00A34F78">
      <w:t>E/ECE/324/Rev.1/Add.43/Rev.3/Amend.4</w:t>
    </w:r>
    <w:r>
      <w:fldChar w:fldCharType="end"/>
    </w:r>
    <w:r w:rsidR="00BF7B86">
      <w:br/>
    </w:r>
    <w:r>
      <w:fldChar w:fldCharType="begin"/>
    </w:r>
    <w:r>
      <w:instrText xml:space="preserve"> KEYWORDS  \* MERGEFORMAT </w:instrText>
    </w:r>
    <w:r>
      <w:fldChar w:fldCharType="separate"/>
    </w:r>
    <w:r w:rsidR="00A34F78">
      <w:t>E/ECE/TRANS/505/Rev.1/Add.43/Rev.3/Amend.4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6" w:rsidRPr="00BF7B86" w:rsidRDefault="001E7DD7" w:rsidP="00BF7B86">
    <w:pPr>
      <w:pStyle w:val="Header"/>
      <w:jc w:val="right"/>
    </w:pPr>
    <w:r>
      <w:fldChar w:fldCharType="begin"/>
    </w:r>
    <w:r>
      <w:instrText xml:space="preserve"> TITLE  \* MERGEFORMAT </w:instrText>
    </w:r>
    <w:r>
      <w:fldChar w:fldCharType="separate"/>
    </w:r>
    <w:r w:rsidR="00A34F78">
      <w:t>E/ECE/324/Rev.1/Add.43/Rev.3/Amend.4</w:t>
    </w:r>
    <w:r>
      <w:fldChar w:fldCharType="end"/>
    </w:r>
    <w:r w:rsidR="00BF7B86">
      <w:br/>
    </w:r>
    <w:r>
      <w:fldChar w:fldCharType="begin"/>
    </w:r>
    <w:r>
      <w:instrText xml:space="preserve"> KEYWORDS  \* MERGEFORMAT </w:instrText>
    </w:r>
    <w:r>
      <w:fldChar w:fldCharType="separate"/>
    </w:r>
    <w:r w:rsidR="00A34F78">
      <w:t>E/ECE/TRANS/505/Rev.1/Add.43/Rev.3/Amend.4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6B"/>
    <w:rsid w:val="00017F94"/>
    <w:rsid w:val="00023842"/>
    <w:rsid w:val="0002432E"/>
    <w:rsid w:val="000334F9"/>
    <w:rsid w:val="0007796D"/>
    <w:rsid w:val="000A3E26"/>
    <w:rsid w:val="000B7790"/>
    <w:rsid w:val="00111F2F"/>
    <w:rsid w:val="0014365E"/>
    <w:rsid w:val="00176178"/>
    <w:rsid w:val="001E016B"/>
    <w:rsid w:val="001E7DD7"/>
    <w:rsid w:val="001F525A"/>
    <w:rsid w:val="001F558D"/>
    <w:rsid w:val="00223272"/>
    <w:rsid w:val="0024779E"/>
    <w:rsid w:val="00266ACE"/>
    <w:rsid w:val="002832AC"/>
    <w:rsid w:val="002D7C93"/>
    <w:rsid w:val="0042506D"/>
    <w:rsid w:val="00441C3B"/>
    <w:rsid w:val="00446FE5"/>
    <w:rsid w:val="00452396"/>
    <w:rsid w:val="004778D3"/>
    <w:rsid w:val="004E468C"/>
    <w:rsid w:val="005505B7"/>
    <w:rsid w:val="00573BE5"/>
    <w:rsid w:val="00586ED3"/>
    <w:rsid w:val="00596AA9"/>
    <w:rsid w:val="0071601D"/>
    <w:rsid w:val="007859A7"/>
    <w:rsid w:val="007A5B83"/>
    <w:rsid w:val="007A62E6"/>
    <w:rsid w:val="007D271D"/>
    <w:rsid w:val="0080236C"/>
    <w:rsid w:val="0080684C"/>
    <w:rsid w:val="00871C75"/>
    <w:rsid w:val="008776DC"/>
    <w:rsid w:val="008D4DE6"/>
    <w:rsid w:val="00967489"/>
    <w:rsid w:val="009705C8"/>
    <w:rsid w:val="009C1CF4"/>
    <w:rsid w:val="00A06EFF"/>
    <w:rsid w:val="00A30353"/>
    <w:rsid w:val="00A34F78"/>
    <w:rsid w:val="00AA42FA"/>
    <w:rsid w:val="00AC3823"/>
    <w:rsid w:val="00AE323C"/>
    <w:rsid w:val="00AF290F"/>
    <w:rsid w:val="00B00181"/>
    <w:rsid w:val="00B00B0D"/>
    <w:rsid w:val="00B765F7"/>
    <w:rsid w:val="00BA0CA9"/>
    <w:rsid w:val="00BF7B86"/>
    <w:rsid w:val="00C02897"/>
    <w:rsid w:val="00C36A3B"/>
    <w:rsid w:val="00C818E7"/>
    <w:rsid w:val="00D3439C"/>
    <w:rsid w:val="00D75300"/>
    <w:rsid w:val="00DB1831"/>
    <w:rsid w:val="00DD3BFD"/>
    <w:rsid w:val="00DF6678"/>
    <w:rsid w:val="00E7008E"/>
    <w:rsid w:val="00EF2E22"/>
    <w:rsid w:val="00EF606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BF7B86"/>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A42FA"/>
    <w:rPr>
      <w:color w:val="0000FF"/>
      <w:u w:val="none"/>
    </w:rPr>
  </w:style>
  <w:style w:type="character" w:styleId="FollowedHyperlink">
    <w:name w:val="FollowedHyperlink"/>
    <w:basedOn w:val="DefaultParagraphFont"/>
    <w:unhideWhenUsed/>
    <w:rsid w:val="00AA42FA"/>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8023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6C"/>
    <w:rPr>
      <w:rFonts w:ascii="Tahoma" w:hAnsi="Tahoma" w:cs="Tahoma"/>
      <w:sz w:val="16"/>
      <w:szCs w:val="16"/>
      <w:lang w:eastAsia="en-US"/>
    </w:rPr>
  </w:style>
  <w:style w:type="character" w:customStyle="1" w:styleId="HChGChar">
    <w:name w:val="_ H _Ch_G Char"/>
    <w:link w:val="HChG"/>
    <w:locked/>
    <w:rsid w:val="00967489"/>
    <w:rPr>
      <w:rFonts w:ascii="Times New Roman" w:hAnsi="Times New Roman" w:cs="Times New Roman"/>
      <w:b/>
      <w:sz w:val="28"/>
      <w:szCs w:val="20"/>
      <w:lang w:eastAsia="en-US"/>
    </w:rPr>
  </w:style>
  <w:style w:type="character" w:customStyle="1" w:styleId="H1GChar">
    <w:name w:val="_ H_1_G Char"/>
    <w:link w:val="H1G"/>
    <w:locked/>
    <w:rsid w:val="00967489"/>
    <w:rPr>
      <w:rFonts w:ascii="Times New Roman" w:hAnsi="Times New Roman" w:cs="Times New Roman"/>
      <w:b/>
      <w:sz w:val="24"/>
      <w:szCs w:val="20"/>
      <w:lang w:eastAsia="en-US"/>
    </w:rPr>
  </w:style>
  <w:style w:type="character" w:customStyle="1" w:styleId="SingleTxtGChar">
    <w:name w:val="_ Single Txt_G Char"/>
    <w:link w:val="SingleTxtG"/>
    <w:rsid w:val="00BF7B86"/>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E/ECE/324/Rev.1/Add.43/Rev.3/Amend.4</vt:lpstr>
      <vt:lpstr>E/ECE/324/Rev.1/Add.43/Rev.3/Amend.4</vt:lpstr>
    </vt:vector>
  </TitlesOfParts>
  <Company>DCM</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E/ECE/324/Rev.1/Add.43/Rev.3/Amend.4</dc:title>
  <dc:creator>DESCHAMPS</dc:creator>
  <cp:keywords>E/ECE/TRANS/505/Rev.1/Add.43/Rev.3/Amend.4</cp:keywords>
  <cp:lastModifiedBy>Benedicte Boudol</cp:lastModifiedBy>
  <cp:revision>2</cp:revision>
  <cp:lastPrinted>2017-05-11T09:19:00Z</cp:lastPrinted>
  <dcterms:created xsi:type="dcterms:W3CDTF">2017-05-15T09:10:00Z</dcterms:created>
  <dcterms:modified xsi:type="dcterms:W3CDTF">2017-05-15T09:10:00Z</dcterms:modified>
</cp:coreProperties>
</file>