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75496677" w:rsidR="0064636E" w:rsidRPr="00D47EEA" w:rsidRDefault="0064636E" w:rsidP="00DD0532">
            <w:pPr>
              <w:jc w:val="right"/>
            </w:pPr>
            <w:r w:rsidRPr="00014D07">
              <w:rPr>
                <w:sz w:val="40"/>
              </w:rPr>
              <w:t>E</w:t>
            </w:r>
            <w:r>
              <w:t>/ECE/324</w:t>
            </w:r>
            <w:r w:rsidR="00616B23">
              <w:t>/</w:t>
            </w:r>
            <w:r w:rsidR="00D508A0" w:rsidRPr="00D508A0">
              <w:t>Rev.1/</w:t>
            </w:r>
            <w:r w:rsidR="00DD0532" w:rsidRPr="00DD0532">
              <w:t>Add.40/Rev.2/Amend.5</w:t>
            </w:r>
            <w:r>
              <w:t>−</w:t>
            </w:r>
            <w:r w:rsidRPr="00014D07">
              <w:rPr>
                <w:sz w:val="40"/>
              </w:rPr>
              <w:t>E</w:t>
            </w:r>
            <w:r>
              <w:t>/ECE/TRANS/505</w:t>
            </w:r>
            <w:r w:rsidR="00841EB5">
              <w:t>/</w:t>
            </w:r>
            <w:r w:rsidR="00D508A0" w:rsidRPr="00D508A0">
              <w:t>Rev.1/</w:t>
            </w:r>
            <w:r w:rsidR="00DD0532" w:rsidRPr="00DD0532">
              <w:t>Add.40/Rev.2/Amend.5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52DAA08" w:rsidR="00C84414" w:rsidRDefault="00B829C5" w:rsidP="003C3936">
            <w:pPr>
              <w:spacing w:before="120"/>
            </w:pPr>
            <w:r>
              <w:t>22</w:t>
            </w:r>
            <w:r w:rsidR="006F702B" w:rsidRPr="006F702B">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1F8F5061" w:rsidR="0064636E" w:rsidRDefault="0064636E" w:rsidP="00A41529">
      <w:pPr>
        <w:pStyle w:val="H1G"/>
        <w:spacing w:before="240" w:after="120"/>
      </w:pPr>
      <w:r>
        <w:tab/>
      </w:r>
      <w:r>
        <w:tab/>
        <w:t xml:space="preserve">Addendum </w:t>
      </w:r>
      <w:r w:rsidR="00DD0532">
        <w:t>40</w:t>
      </w:r>
      <w:r>
        <w:t xml:space="preserve"> – Regulation No.</w:t>
      </w:r>
      <w:r w:rsidR="00271A7F">
        <w:t xml:space="preserve"> </w:t>
      </w:r>
      <w:r w:rsidR="00DD0532">
        <w:t>41</w:t>
      </w:r>
    </w:p>
    <w:p w14:paraId="4E272B2A" w14:textId="71891616" w:rsidR="0064636E" w:rsidRPr="00014D07" w:rsidRDefault="0064636E" w:rsidP="00A41529">
      <w:pPr>
        <w:pStyle w:val="H1G"/>
        <w:spacing w:before="240"/>
      </w:pPr>
      <w:r>
        <w:tab/>
      </w:r>
      <w:r>
        <w:tab/>
      </w:r>
      <w:r w:rsidRPr="00014D07">
        <w:t xml:space="preserve">Revision </w:t>
      </w:r>
      <w:r w:rsidR="00DD0532">
        <w:t>2</w:t>
      </w:r>
      <w:r w:rsidR="00DE5D62">
        <w:t xml:space="preserve"> </w:t>
      </w:r>
      <w:r w:rsidRPr="00014D07">
        <w:t xml:space="preserve">- </w:t>
      </w:r>
      <w:r w:rsidR="00D623A7">
        <w:t>Amendment</w:t>
      </w:r>
      <w:r w:rsidRPr="00014D07">
        <w:t xml:space="preserve"> </w:t>
      </w:r>
      <w:r w:rsidR="00DD0532">
        <w:t>5</w:t>
      </w:r>
    </w:p>
    <w:p w14:paraId="4FAFC05A" w14:textId="3B77B497" w:rsidR="0064636E" w:rsidRPr="00272880" w:rsidRDefault="00AA271E" w:rsidP="0064636E">
      <w:pPr>
        <w:pStyle w:val="SingleTxtG"/>
        <w:spacing w:after="360"/>
        <w:rPr>
          <w:spacing w:val="-2"/>
        </w:rPr>
      </w:pPr>
      <w:r>
        <w:rPr>
          <w:spacing w:val="-2"/>
        </w:rPr>
        <w:t xml:space="preserve">Supplement </w:t>
      </w:r>
      <w:proofErr w:type="gramStart"/>
      <w:r w:rsidR="00DD0532">
        <w:rPr>
          <w:spacing w:val="-2"/>
        </w:rPr>
        <w:t>5</w:t>
      </w:r>
      <w:proofErr w:type="gramEnd"/>
      <w:r>
        <w:rPr>
          <w:spacing w:val="-2"/>
        </w:rPr>
        <w:t xml:space="preserve"> to the 0</w:t>
      </w:r>
      <w:r w:rsidR="00DD0532">
        <w:rPr>
          <w:spacing w:val="-2"/>
        </w:rPr>
        <w:t>4</w:t>
      </w:r>
      <w:r w:rsidR="00D623A7">
        <w:rPr>
          <w:spacing w:val="-2"/>
        </w:rPr>
        <w:t xml:space="preserve"> series of amendments</w:t>
      </w:r>
      <w:r w:rsidR="0064636E" w:rsidRPr="00272880">
        <w:rPr>
          <w:spacing w:val="-2"/>
        </w:rPr>
        <w:t xml:space="preserve"> – Date of entry into force: </w:t>
      </w:r>
      <w:r w:rsidR="006F702B" w:rsidRPr="006F702B">
        <w:t>9 February 2017</w:t>
      </w:r>
    </w:p>
    <w:p w14:paraId="24730B39" w14:textId="15099EB2" w:rsidR="0064636E" w:rsidRDefault="0064636E" w:rsidP="00DD0532">
      <w:pPr>
        <w:pStyle w:val="H1G"/>
        <w:spacing w:before="120" w:after="120" w:line="240" w:lineRule="exact"/>
        <w:rPr>
          <w:lang w:val="en-US"/>
        </w:rPr>
      </w:pPr>
      <w:r>
        <w:rPr>
          <w:lang w:val="en-US"/>
        </w:rPr>
        <w:tab/>
      </w:r>
      <w:r>
        <w:rPr>
          <w:lang w:val="en-US"/>
        </w:rPr>
        <w:tab/>
      </w:r>
      <w:r w:rsidR="00DD0532" w:rsidRPr="00DD0532">
        <w:rPr>
          <w:lang w:val="en-US"/>
        </w:rPr>
        <w:t>Uniform provisions concerning the approval of motor cycles with regard to noise</w:t>
      </w:r>
    </w:p>
    <w:p w14:paraId="6C824AF8" w14:textId="3A351C7B"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DD0532">
        <w:rPr>
          <w:spacing w:val="-6"/>
          <w:lang w:eastAsia="en-GB"/>
        </w:rPr>
        <w:t>46</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21802C44" w14:textId="77777777" w:rsidR="006F702B" w:rsidRDefault="00D5540C" w:rsidP="00DD0532">
      <w:pPr>
        <w:widowControl w:val="0"/>
        <w:suppressAutoHyphens w:val="0"/>
        <w:spacing w:after="120"/>
        <w:ind w:leftChars="567" w:left="1700" w:right="1183" w:hangingChars="283" w:hanging="566"/>
        <w:jc w:val="both"/>
        <w:rPr>
          <w:rFonts w:eastAsia="MS Mincho"/>
          <w:i/>
          <w:color w:val="000000"/>
          <w:kern w:val="2"/>
          <w:lang w:val="en-US" w:eastAsia="ja-JP"/>
        </w:rPr>
      </w:pPr>
      <w:r>
        <w:br w:type="page"/>
      </w:r>
      <w:r w:rsidR="00DD0532" w:rsidRPr="002F4D46">
        <w:rPr>
          <w:rFonts w:eastAsia="MS Mincho"/>
          <w:i/>
          <w:color w:val="000000"/>
          <w:kern w:val="2"/>
          <w:lang w:val="en-US" w:eastAsia="ja-JP"/>
        </w:rPr>
        <w:lastRenderedPageBreak/>
        <w:t xml:space="preserve">Annex </w:t>
      </w:r>
      <w:proofErr w:type="gramStart"/>
      <w:r w:rsidR="00DD0532" w:rsidRPr="002F4D46">
        <w:rPr>
          <w:rFonts w:eastAsia="MS Mincho"/>
          <w:i/>
          <w:color w:val="000000"/>
          <w:kern w:val="2"/>
          <w:lang w:val="en-US" w:eastAsia="ja-JP"/>
        </w:rPr>
        <w:t>5</w:t>
      </w:r>
      <w:proofErr w:type="gramEnd"/>
      <w:r w:rsidR="00DD0532" w:rsidRPr="002F4D46">
        <w:rPr>
          <w:rFonts w:eastAsia="MS Mincho"/>
          <w:i/>
          <w:color w:val="000000"/>
          <w:kern w:val="2"/>
          <w:lang w:val="en-US" w:eastAsia="ja-JP"/>
        </w:rPr>
        <w:t xml:space="preserve">, </w:t>
      </w:r>
    </w:p>
    <w:p w14:paraId="69BBD6E7" w14:textId="2BCBA336" w:rsidR="00DD0532" w:rsidRPr="002F4D46" w:rsidRDefault="006F702B" w:rsidP="00DD0532">
      <w:pPr>
        <w:widowControl w:val="0"/>
        <w:suppressAutoHyphens w:val="0"/>
        <w:spacing w:after="120"/>
        <w:ind w:leftChars="567" w:left="1700" w:right="1183" w:hangingChars="283" w:hanging="566"/>
        <w:jc w:val="both"/>
        <w:rPr>
          <w:rFonts w:eastAsia="MS Mincho"/>
          <w:color w:val="000000"/>
          <w:kern w:val="2"/>
          <w:lang w:val="en-US" w:eastAsia="ja-JP"/>
        </w:rPr>
      </w:pPr>
      <w:r>
        <w:rPr>
          <w:rFonts w:eastAsia="MS Mincho"/>
          <w:i/>
          <w:color w:val="000000"/>
          <w:kern w:val="2"/>
          <w:lang w:val="en-US" w:eastAsia="ja-JP"/>
        </w:rPr>
        <w:t>P</w:t>
      </w:r>
      <w:r w:rsidR="00DD0532" w:rsidRPr="002F4D46">
        <w:rPr>
          <w:rFonts w:eastAsia="MS Mincho"/>
          <w:i/>
          <w:color w:val="000000"/>
          <w:kern w:val="2"/>
          <w:lang w:val="en-US" w:eastAsia="ja-JP"/>
        </w:rPr>
        <w:t xml:space="preserve">aragraph </w:t>
      </w:r>
      <w:proofErr w:type="gramStart"/>
      <w:r w:rsidR="00DD0532" w:rsidRPr="002F4D46">
        <w:rPr>
          <w:rFonts w:eastAsia="MS Mincho"/>
          <w:i/>
          <w:color w:val="000000"/>
          <w:kern w:val="2"/>
          <w:lang w:val="en-US" w:eastAsia="ja-JP"/>
        </w:rPr>
        <w:t>1</w:t>
      </w:r>
      <w:r w:rsidR="00DD0532" w:rsidRPr="002F4D46">
        <w:rPr>
          <w:rFonts w:eastAsia="MS Mincho"/>
          <w:color w:val="000000"/>
          <w:kern w:val="2"/>
          <w:lang w:val="en-US" w:eastAsia="ja-JP"/>
        </w:rPr>
        <w:t>.,</w:t>
      </w:r>
      <w:proofErr w:type="gramEnd"/>
      <w:r w:rsidR="00DD0532" w:rsidRPr="002F4D46">
        <w:rPr>
          <w:rFonts w:eastAsia="MS Mincho"/>
          <w:color w:val="000000"/>
          <w:kern w:val="2"/>
          <w:lang w:val="en-US" w:eastAsia="ja-JP"/>
        </w:rPr>
        <w:t xml:space="preserve"> amend to read:</w:t>
      </w:r>
    </w:p>
    <w:p w14:paraId="66305214" w14:textId="77777777" w:rsidR="00DD0532" w:rsidRPr="002F4D46" w:rsidRDefault="00DD0532" w:rsidP="00DD0532">
      <w:pPr>
        <w:widowControl w:val="0"/>
        <w:suppressAutoHyphens w:val="0"/>
        <w:spacing w:after="120"/>
        <w:ind w:leftChars="567" w:left="2268" w:right="1183" w:hangingChars="567" w:hanging="1134"/>
        <w:jc w:val="both"/>
        <w:rPr>
          <w:rFonts w:eastAsia="MS Mincho"/>
          <w:color w:val="000000"/>
          <w:kern w:val="2"/>
          <w:lang w:val="en-US" w:eastAsia="ja-JP"/>
        </w:rPr>
      </w:pPr>
      <w:proofErr w:type="gramStart"/>
      <w:r w:rsidRPr="002F4D46">
        <w:rPr>
          <w:rFonts w:eastAsia="MS Mincho"/>
          <w:color w:val="000000"/>
          <w:kern w:val="2"/>
          <w:lang w:val="en-US" w:eastAsia="ja-JP"/>
        </w:rPr>
        <w:t>"1.</w:t>
      </w:r>
      <w:r w:rsidRPr="002F4D46">
        <w:rPr>
          <w:rFonts w:eastAsia="MS Mincho"/>
          <w:color w:val="000000"/>
          <w:kern w:val="2"/>
          <w:lang w:val="en-US" w:eastAsia="ja-JP"/>
        </w:rPr>
        <w:tab/>
      </w:r>
      <w:r w:rsidRPr="002F4D46">
        <w:rPr>
          <w:rFonts w:eastAsia="MS Mincho"/>
          <w:color w:val="000000"/>
          <w:kern w:val="2"/>
          <w:lang w:val="en-US" w:eastAsia="ja-JP"/>
        </w:rPr>
        <w:tab/>
        <w:t>Fibrous absorbent material shall be asbestos-free and may be used in the construction of the exhaust or silencing system only if suitable devices ensure that the fibrous material is kept in place for the whole time that the exhaust or silencing system is being used and the exhaust or silencing system meets the requirements of any one of paragraphs 1.1., 1.2.</w:t>
      </w:r>
      <w:r w:rsidRPr="002F4D46">
        <w:rPr>
          <w:rFonts w:eastAsia="MS Mincho"/>
          <w:i/>
          <w:color w:val="000000"/>
          <w:kern w:val="2"/>
          <w:lang w:val="en-US" w:eastAsia="ja-JP"/>
        </w:rPr>
        <w:t>,</w:t>
      </w:r>
      <w:r w:rsidRPr="002F4D46">
        <w:rPr>
          <w:rFonts w:eastAsia="MS Mincho"/>
          <w:color w:val="000000"/>
          <w:kern w:val="2"/>
          <w:lang w:val="en-US" w:eastAsia="ja-JP"/>
        </w:rPr>
        <w:t>1.3.</w:t>
      </w:r>
      <w:proofErr w:type="gramEnd"/>
      <w:r w:rsidRPr="002F4D46">
        <w:rPr>
          <w:rFonts w:eastAsia="MS Mincho"/>
          <w:color w:val="000000"/>
          <w:kern w:val="2"/>
          <w:lang w:val="en-US" w:eastAsia="ja-JP"/>
        </w:rPr>
        <w:t xml:space="preserve"> </w:t>
      </w:r>
      <w:proofErr w:type="gramStart"/>
      <w:r w:rsidRPr="002F4D46">
        <w:rPr>
          <w:rFonts w:eastAsia="MS Mincho"/>
          <w:color w:val="000000"/>
          <w:kern w:val="2"/>
          <w:lang w:val="en-US" w:eastAsia="ja-JP"/>
        </w:rPr>
        <w:t>or</w:t>
      </w:r>
      <w:proofErr w:type="gramEnd"/>
      <w:r w:rsidRPr="002F4D46">
        <w:rPr>
          <w:rFonts w:eastAsia="MS Mincho"/>
          <w:color w:val="000000"/>
          <w:kern w:val="2"/>
          <w:lang w:val="en-US" w:eastAsia="ja-JP"/>
        </w:rPr>
        <w:t xml:space="preserve"> 1.4.:"</w:t>
      </w:r>
    </w:p>
    <w:p w14:paraId="66C9B443" w14:textId="642FE862" w:rsidR="00DD0532" w:rsidRPr="002F4D46" w:rsidRDefault="006F702B" w:rsidP="00DD0532">
      <w:pPr>
        <w:pStyle w:val="SingleTxtG"/>
        <w:rPr>
          <w:rFonts w:eastAsia="MS Mincho"/>
          <w:lang w:val="en-US" w:eastAsia="ja-JP"/>
        </w:rPr>
      </w:pPr>
      <w:r w:rsidRPr="006F702B">
        <w:rPr>
          <w:rFonts w:eastAsia="MS Mincho"/>
          <w:lang w:val="en-US" w:eastAsia="ja-JP"/>
        </w:rPr>
        <w:t>I</w:t>
      </w:r>
      <w:r w:rsidR="00DD0532" w:rsidRPr="002F4D46">
        <w:rPr>
          <w:rFonts w:eastAsia="MS Mincho"/>
          <w:lang w:val="en-US" w:eastAsia="ja-JP"/>
        </w:rPr>
        <w:t xml:space="preserve">nsert a new paragraph 1.4. </w:t>
      </w:r>
      <w:proofErr w:type="gramStart"/>
      <w:r w:rsidR="00DD0532" w:rsidRPr="002F4D46">
        <w:rPr>
          <w:rFonts w:eastAsia="MS Mincho"/>
          <w:lang w:val="en-US" w:eastAsia="ja-JP"/>
        </w:rPr>
        <w:t>to</w:t>
      </w:r>
      <w:proofErr w:type="gramEnd"/>
      <w:r w:rsidR="00DD0532" w:rsidRPr="002F4D46">
        <w:rPr>
          <w:rFonts w:eastAsia="MS Mincho"/>
          <w:lang w:val="en-US" w:eastAsia="ja-JP"/>
        </w:rPr>
        <w:t xml:space="preserve"> read:</w:t>
      </w:r>
    </w:p>
    <w:p w14:paraId="631556DD" w14:textId="1CF2D6FD" w:rsidR="00DD0532" w:rsidRPr="002F4D46" w:rsidRDefault="00DD0532" w:rsidP="00DD0532">
      <w:pPr>
        <w:widowControl w:val="0"/>
        <w:suppressAutoHyphens w:val="0"/>
        <w:spacing w:after="120"/>
        <w:ind w:leftChars="567" w:left="2262" w:right="1183" w:hangingChars="564" w:hanging="1128"/>
        <w:jc w:val="both"/>
        <w:rPr>
          <w:rFonts w:eastAsia="MS Mincho"/>
          <w:color w:val="000000"/>
          <w:kern w:val="2"/>
          <w:lang w:val="en-US" w:eastAsia="ja-JP"/>
        </w:rPr>
      </w:pPr>
      <w:r w:rsidRPr="002F4D46">
        <w:rPr>
          <w:rFonts w:eastAsia="MS Mincho"/>
          <w:color w:val="000000"/>
          <w:kern w:val="2"/>
          <w:lang w:val="en-US" w:eastAsia="ja-JP"/>
        </w:rPr>
        <w:t>"1.4.</w:t>
      </w:r>
      <w:r w:rsidRPr="002F4D46">
        <w:rPr>
          <w:rFonts w:eastAsia="MS Mincho"/>
          <w:color w:val="000000"/>
          <w:kern w:val="2"/>
          <w:lang w:val="en-US" w:eastAsia="ja-JP"/>
        </w:rPr>
        <w:tab/>
        <w:t>Exhaust gases are not in contact with fibrous materials and fibrous materials are not under the influence of pressure variations."</w:t>
      </w:r>
    </w:p>
    <w:p w14:paraId="41583DC5" w14:textId="77777777" w:rsidR="006F702B" w:rsidRDefault="00DD0532" w:rsidP="00DD0532">
      <w:pPr>
        <w:pStyle w:val="SingleTxtG"/>
        <w:rPr>
          <w:rFonts w:eastAsia="Calibri"/>
          <w:i/>
          <w:lang w:val="en-US"/>
        </w:rPr>
      </w:pPr>
      <w:r w:rsidRPr="002F4D46">
        <w:rPr>
          <w:rFonts w:eastAsia="Calibri"/>
          <w:i/>
          <w:lang w:val="en-US"/>
        </w:rPr>
        <w:t xml:space="preserve">Annex </w:t>
      </w:r>
      <w:proofErr w:type="gramStart"/>
      <w:r w:rsidRPr="002F4D46">
        <w:rPr>
          <w:rFonts w:eastAsia="Calibri"/>
          <w:i/>
          <w:lang w:val="en-US"/>
        </w:rPr>
        <w:t>7</w:t>
      </w:r>
      <w:proofErr w:type="gramEnd"/>
      <w:r w:rsidRPr="002F4D46">
        <w:rPr>
          <w:rFonts w:eastAsia="Calibri"/>
          <w:i/>
          <w:lang w:val="en-US"/>
        </w:rPr>
        <w:t xml:space="preserve">, </w:t>
      </w:r>
    </w:p>
    <w:p w14:paraId="44B24509" w14:textId="2B2E6427" w:rsidR="00DD0532" w:rsidRPr="002F4D46" w:rsidRDefault="006F702B" w:rsidP="00DD0532">
      <w:pPr>
        <w:pStyle w:val="SingleTxtG"/>
        <w:rPr>
          <w:rFonts w:eastAsia="Calibri"/>
          <w:lang w:val="en-US"/>
        </w:rPr>
      </w:pPr>
      <w:r>
        <w:rPr>
          <w:rFonts w:eastAsia="Calibri"/>
          <w:i/>
          <w:lang w:val="en-US"/>
        </w:rPr>
        <w:t>P</w:t>
      </w:r>
      <w:r w:rsidR="00DD0532" w:rsidRPr="002F4D46">
        <w:rPr>
          <w:rFonts w:eastAsia="Calibri"/>
          <w:i/>
          <w:lang w:val="en-US"/>
        </w:rPr>
        <w:t>aragraph 2.5.</w:t>
      </w:r>
      <w:proofErr w:type="gramStart"/>
      <w:r w:rsidR="00DD0532" w:rsidRPr="002F4D46">
        <w:rPr>
          <w:rFonts w:eastAsia="Calibri"/>
          <w:i/>
          <w:lang w:val="en-US"/>
        </w:rPr>
        <w:t>,</w:t>
      </w:r>
      <w:proofErr w:type="gramEnd"/>
      <w:r w:rsidR="00DD0532" w:rsidRPr="002F4D46">
        <w:rPr>
          <w:rFonts w:eastAsia="Calibri"/>
          <w:lang w:val="en-US"/>
        </w:rPr>
        <w:t xml:space="preserve"> add a note at the end to read:</w:t>
      </w:r>
    </w:p>
    <w:p w14:paraId="060F4191" w14:textId="77777777" w:rsidR="00DD0532" w:rsidRPr="002F4D46" w:rsidRDefault="00DD0532" w:rsidP="00DD0532">
      <w:pPr>
        <w:pStyle w:val="SingleTxtG"/>
        <w:rPr>
          <w:rFonts w:eastAsia="Calibri"/>
          <w:lang w:val="en-US"/>
        </w:rPr>
      </w:pPr>
      <w:r w:rsidRPr="002F4D46">
        <w:rPr>
          <w:rFonts w:eastAsia="Calibri"/>
          <w:lang w:val="en-US"/>
        </w:rPr>
        <w:t>"2.5.</w:t>
      </w:r>
      <w:r w:rsidRPr="002F4D46">
        <w:rPr>
          <w:rFonts w:eastAsia="Calibri"/>
          <w:lang w:val="en-US"/>
        </w:rPr>
        <w:tab/>
      </w:r>
      <w:r w:rsidRPr="002F4D46">
        <w:rPr>
          <w:rFonts w:eastAsia="Calibri"/>
          <w:lang w:val="en-US"/>
        </w:rPr>
        <w:tab/>
        <w:t xml:space="preserve">ASEP control range </w:t>
      </w:r>
    </w:p>
    <w:p w14:paraId="1252FC3E" w14:textId="77777777" w:rsidR="00DD0532" w:rsidRPr="002F4D46" w:rsidRDefault="00DD0532" w:rsidP="00DD0532">
      <w:pPr>
        <w:pStyle w:val="SingleTxtG"/>
        <w:rPr>
          <w:rFonts w:eastAsia="Calibri"/>
          <w:lang w:val="en-US"/>
        </w:rPr>
      </w:pPr>
      <w:r w:rsidRPr="002F4D46">
        <w:rPr>
          <w:rFonts w:eastAsia="Calibri"/>
          <w:lang w:val="en-US"/>
        </w:rPr>
        <w:tab/>
      </w:r>
      <w:r w:rsidRPr="002F4D46">
        <w:rPr>
          <w:rFonts w:eastAsia="Calibri"/>
          <w:lang w:val="en-US"/>
        </w:rPr>
        <w:tab/>
      </w:r>
      <w:r>
        <w:rPr>
          <w:rFonts w:eastAsia="Calibri"/>
          <w:lang w:val="en-US"/>
        </w:rPr>
        <w:tab/>
      </w:r>
      <w:r w:rsidRPr="002F4D46">
        <w:rPr>
          <w:rFonts w:eastAsia="Calibri"/>
          <w:lang w:val="en-US"/>
        </w:rPr>
        <w:t xml:space="preserve">… </w:t>
      </w:r>
      <w:r w:rsidRPr="002F4D46">
        <w:rPr>
          <w:rFonts w:eastAsia="Calibri"/>
          <w:lang w:val="en-US"/>
        </w:rPr>
        <w:tab/>
      </w:r>
    </w:p>
    <w:p w14:paraId="14A3A294" w14:textId="77777777" w:rsidR="00DD0532" w:rsidRPr="002F4D46" w:rsidRDefault="00DD0532" w:rsidP="00DD0532">
      <w:pPr>
        <w:suppressAutoHyphens w:val="0"/>
        <w:spacing w:after="240" w:line="240" w:lineRule="auto"/>
        <w:ind w:left="2268" w:right="1183"/>
        <w:rPr>
          <w:rFonts w:eastAsia="Calibri"/>
          <w:lang w:val="en-US"/>
        </w:rPr>
      </w:pPr>
      <w:r w:rsidRPr="001227DE">
        <w:rPr>
          <w:rFonts w:eastAsia="Calibri"/>
          <w:i/>
          <w:lang w:val="en-US"/>
        </w:rPr>
        <w:t>Note</w:t>
      </w:r>
      <w:r w:rsidRPr="002F4D46">
        <w:rPr>
          <w:rFonts w:eastAsia="Calibri"/>
          <w:lang w:val="en-US"/>
        </w:rPr>
        <w:t xml:space="preserve">: </w:t>
      </w:r>
      <w:r w:rsidRPr="002F4D46">
        <w:rPr>
          <w:rFonts w:eastAsia="Calibri"/>
          <w:lang w:val="en-US"/>
        </w:rPr>
        <w:tab/>
        <w:t>If the vehicle has more than one gear, the first gear shall not be used."</w:t>
      </w:r>
    </w:p>
    <w:p w14:paraId="64A0C940" w14:textId="77777777" w:rsidR="00DD0532" w:rsidRPr="00AF2205" w:rsidRDefault="00DD0532" w:rsidP="00DD0532">
      <w:pPr>
        <w:spacing w:before="240"/>
        <w:ind w:left="1134" w:right="1134"/>
        <w:jc w:val="center"/>
        <w:rPr>
          <w:u w:val="single"/>
        </w:rPr>
      </w:pPr>
      <w:r w:rsidRPr="00EB72C9">
        <w:rPr>
          <w:u w:val="single"/>
        </w:rPr>
        <w:tab/>
      </w:r>
      <w:r w:rsidRPr="00EB72C9">
        <w:rPr>
          <w:u w:val="single"/>
        </w:rPr>
        <w:tab/>
      </w:r>
      <w:r w:rsidRPr="00EB72C9">
        <w:rPr>
          <w:u w:val="single"/>
        </w:rPr>
        <w:tab/>
      </w:r>
    </w:p>
    <w:p w14:paraId="36014A03" w14:textId="5EA414B0" w:rsidR="00DE5D62" w:rsidRPr="001A5741" w:rsidRDefault="00DE5D62" w:rsidP="00DD0532">
      <w:pPr>
        <w:pStyle w:val="SingleTxtG"/>
        <w:rPr>
          <w:bCs/>
          <w:u w:val="single"/>
        </w:rPr>
      </w:pPr>
    </w:p>
    <w:sectPr w:rsidR="00DE5D62" w:rsidRPr="001A5741"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8F5F33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4620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039AA4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053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D7C6" w14:textId="7459188F" w:rsidR="004E0799" w:rsidRDefault="004E0799" w:rsidP="004E0799">
    <w:pPr>
      <w:pStyle w:val="Footer"/>
    </w:pPr>
    <w:r>
      <w:rPr>
        <w:rFonts w:ascii="C39T30Lfz" w:hAnsi="C39T30Lfz"/>
        <w:noProof/>
        <w:sz w:val="56"/>
        <w:lang w:eastAsia="en-GB"/>
      </w:rPr>
      <w:drawing>
        <wp:anchor distT="0" distB="0" distL="114300" distR="114300" simplePos="0" relativeHeight="251660288" behindDoc="0" locked="0" layoutInCell="1" allowOverlap="1" wp14:anchorId="5D2E5F7C" wp14:editId="19101B5D">
          <wp:simplePos x="0" y="0"/>
          <wp:positionH relativeFrom="column">
            <wp:posOffset>5506085</wp:posOffset>
          </wp:positionH>
          <wp:positionV relativeFrom="paragraph">
            <wp:posOffset>5715</wp:posOffset>
          </wp:positionV>
          <wp:extent cx="638175" cy="638175"/>
          <wp:effectExtent l="0" t="0" r="9525" b="9525"/>
          <wp:wrapNone/>
          <wp:docPr id="2" name="Picture 1" descr="http://undocs.org/m2/QRCode.ashx?DS=E/ECE/324/Rev.1/Add.40/Rev.2/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40/Rev.2/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9F5B2" w14:textId="4ACABF0E" w:rsidR="004E0799" w:rsidRDefault="004E0799" w:rsidP="004E0799">
    <w:pPr>
      <w:pStyle w:val="Footer"/>
      <w:ind w:right="1134"/>
      <w:rPr>
        <w:sz w:val="20"/>
      </w:rPr>
    </w:pPr>
    <w:r>
      <w:rPr>
        <w:sz w:val="20"/>
      </w:rPr>
      <w:t>GE.17-01780(E)</w:t>
    </w:r>
  </w:p>
  <w:p w14:paraId="0D65106E" w14:textId="5F10509A" w:rsidR="004E0799" w:rsidRPr="004E0799" w:rsidRDefault="004E0799" w:rsidP="004E0799">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3B63A5CC" wp14:editId="0FF11FF4">
          <wp:simplePos x="0" y="0"/>
          <wp:positionH relativeFrom="margin">
            <wp:posOffset>4312920</wp:posOffset>
          </wp:positionH>
          <wp:positionV relativeFrom="margin">
            <wp:posOffset>8176260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27D6B06A" w:rsidR="00B701B3" w:rsidRDefault="00B701B3">
    <w:pPr>
      <w:pStyle w:val="Header"/>
    </w:pPr>
    <w:r w:rsidRPr="00D623A7">
      <w:t>E/ECE/324</w:t>
    </w:r>
    <w:r w:rsidRPr="00841EB5">
      <w:t>/</w:t>
    </w:r>
    <w:r w:rsidR="00FB03A9" w:rsidRPr="00FB03A9">
      <w:t>Rev.1/</w:t>
    </w:r>
    <w:r w:rsidR="00DD0532" w:rsidRPr="00DD0532">
      <w:t>Add.40/Rev.2/Amend.5</w:t>
    </w:r>
    <w:r>
      <w:br/>
    </w:r>
    <w:r w:rsidRPr="00D623A7">
      <w:t>E/ECE/TRANS/505</w:t>
    </w:r>
    <w:r w:rsidRPr="00841EB5">
      <w:t>/</w:t>
    </w:r>
    <w:r w:rsidR="00FB03A9" w:rsidRPr="00FB03A9">
      <w:t>Rev.1/</w:t>
    </w:r>
    <w:r w:rsidR="00DD0532" w:rsidRPr="00DD0532">
      <w:t>Add.40/Rev.2/Amend.5</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4F2C07DE" w:rsidR="00B701B3" w:rsidRDefault="00B701B3" w:rsidP="00776D12">
    <w:pPr>
      <w:pStyle w:val="Header"/>
      <w:jc w:val="right"/>
    </w:pPr>
    <w:r w:rsidRPr="00D623A7">
      <w:t>E/ECE/324/</w:t>
    </w:r>
    <w:r w:rsidR="00D508A0" w:rsidRPr="00D508A0">
      <w:t>Rev.1/</w:t>
    </w:r>
    <w:r w:rsidR="00132249" w:rsidRPr="00132249">
      <w:t>Add.15/Rev.8/Amend.2</w:t>
    </w:r>
    <w:r>
      <w:br/>
    </w:r>
    <w:r w:rsidRPr="00D623A7">
      <w:t>E/ECE/TRANS/505/</w:t>
    </w:r>
    <w:r w:rsidR="00D508A0" w:rsidRPr="00D508A0">
      <w:t>Rev.1/</w:t>
    </w:r>
    <w:r w:rsidR="00132249" w:rsidRPr="00132249">
      <w:t>Add.15/Rev.8/Amend.2</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207"/>
    <w:rsid w:val="00446DE4"/>
    <w:rsid w:val="004A41CA"/>
    <w:rsid w:val="004E0799"/>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6F702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63CBA"/>
    <w:rsid w:val="00974A8D"/>
    <w:rsid w:val="00991261"/>
    <w:rsid w:val="009F3A17"/>
    <w:rsid w:val="00A1427D"/>
    <w:rsid w:val="00A41529"/>
    <w:rsid w:val="00A569D6"/>
    <w:rsid w:val="00A72F22"/>
    <w:rsid w:val="00A748A6"/>
    <w:rsid w:val="00A85956"/>
    <w:rsid w:val="00A879A4"/>
    <w:rsid w:val="00AA271E"/>
    <w:rsid w:val="00B30179"/>
    <w:rsid w:val="00B32121"/>
    <w:rsid w:val="00B33EC0"/>
    <w:rsid w:val="00B701B3"/>
    <w:rsid w:val="00B73257"/>
    <w:rsid w:val="00B81E12"/>
    <w:rsid w:val="00B829C5"/>
    <w:rsid w:val="00BC2683"/>
    <w:rsid w:val="00BC358D"/>
    <w:rsid w:val="00BC74E9"/>
    <w:rsid w:val="00BD2146"/>
    <w:rsid w:val="00BD538F"/>
    <w:rsid w:val="00BE4F74"/>
    <w:rsid w:val="00BE618E"/>
    <w:rsid w:val="00BF4A36"/>
    <w:rsid w:val="00C17699"/>
    <w:rsid w:val="00C41A28"/>
    <w:rsid w:val="00C463DD"/>
    <w:rsid w:val="00C47ABC"/>
    <w:rsid w:val="00C711C7"/>
    <w:rsid w:val="00C71A58"/>
    <w:rsid w:val="00C745C3"/>
    <w:rsid w:val="00C84414"/>
    <w:rsid w:val="00CA1FD0"/>
    <w:rsid w:val="00CD7E5B"/>
    <w:rsid w:val="00CE4A8F"/>
    <w:rsid w:val="00CE5E33"/>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5D62"/>
    <w:rsid w:val="00DF12F7"/>
    <w:rsid w:val="00DF3A2D"/>
    <w:rsid w:val="00E02C81"/>
    <w:rsid w:val="00E130AB"/>
    <w:rsid w:val="00E22011"/>
    <w:rsid w:val="00E506F0"/>
    <w:rsid w:val="00E53330"/>
    <w:rsid w:val="00E7260F"/>
    <w:rsid w:val="00E8553E"/>
    <w:rsid w:val="00E87921"/>
    <w:rsid w:val="00E96630"/>
    <w:rsid w:val="00EA0ED6"/>
    <w:rsid w:val="00EA264E"/>
    <w:rsid w:val="00EA52B7"/>
    <w:rsid w:val="00ED7A2A"/>
    <w:rsid w:val="00EF1D7F"/>
    <w:rsid w:val="00F408D8"/>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1701780</vt:lpstr>
      <vt:lpstr/>
    </vt:vector>
  </TitlesOfParts>
  <Company>CSD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1701780</dc:title>
  <dc:subject>E/ECE/324/Rev.1/Add.40/Rev.2/Amend.5</dc:subject>
  <dc:creator>Caillot</dc:creator>
  <cp:lastModifiedBy>Benedicte Boudol</cp:lastModifiedBy>
  <cp:revision>2</cp:revision>
  <cp:lastPrinted>2015-05-06T11:39:00Z</cp:lastPrinted>
  <dcterms:created xsi:type="dcterms:W3CDTF">2017-05-15T12:22:00Z</dcterms:created>
  <dcterms:modified xsi:type="dcterms:W3CDTF">2017-05-15T12:22:00Z</dcterms:modified>
</cp:coreProperties>
</file>