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37EAD" w:rsidTr="00A27C92">
        <w:trPr>
          <w:trHeight w:hRule="exact" w:val="851"/>
        </w:trPr>
        <w:tc>
          <w:tcPr>
            <w:tcW w:w="9639" w:type="dxa"/>
            <w:gridSpan w:val="2"/>
            <w:tcBorders>
              <w:bottom w:val="single" w:sz="4" w:space="0" w:color="auto"/>
            </w:tcBorders>
            <w:shd w:val="clear" w:color="auto" w:fill="auto"/>
            <w:vAlign w:val="bottom"/>
          </w:tcPr>
          <w:p w:rsidR="00D31871" w:rsidRPr="00D31871" w:rsidRDefault="00D31871" w:rsidP="00D31871">
            <w:pPr>
              <w:jc w:val="right"/>
              <w:rPr>
                <w:lang w:val="en-GB"/>
              </w:rPr>
            </w:pPr>
            <w:bookmarkStart w:id="0" w:name="_GoBack"/>
            <w:bookmarkEnd w:id="0"/>
            <w:r w:rsidRPr="00D31871">
              <w:rPr>
                <w:sz w:val="40"/>
                <w:lang w:val="en-GB"/>
              </w:rPr>
              <w:t>E</w:t>
            </w:r>
            <w:r w:rsidRPr="00D31871">
              <w:rPr>
                <w:lang w:val="en-GB"/>
              </w:rPr>
              <w:t>/ECE/324/Rev.1/Add.36/Rev.7/Amend.8−</w:t>
            </w:r>
            <w:r w:rsidRPr="00D31871">
              <w:rPr>
                <w:sz w:val="40"/>
                <w:lang w:val="en-GB"/>
              </w:rPr>
              <w:t>E</w:t>
            </w:r>
            <w:r w:rsidRPr="00D31871">
              <w:rPr>
                <w:lang w:val="en-GB"/>
              </w:rPr>
              <w:t>/ECE/TRANS/505/Rev.1/Add.36/Rev.7/Amend.8</w:t>
            </w:r>
          </w:p>
        </w:tc>
      </w:tr>
      <w:tr w:rsidR="00421A10" w:rsidRPr="00A37EAD" w:rsidTr="00A27C92">
        <w:trPr>
          <w:trHeight w:hRule="exact" w:val="2835"/>
        </w:trPr>
        <w:tc>
          <w:tcPr>
            <w:tcW w:w="6804" w:type="dxa"/>
            <w:tcBorders>
              <w:top w:val="single" w:sz="4" w:space="0" w:color="auto"/>
              <w:bottom w:val="single" w:sz="12" w:space="0" w:color="auto"/>
            </w:tcBorders>
            <w:shd w:val="clear" w:color="auto" w:fill="auto"/>
          </w:tcPr>
          <w:p w:rsidR="00421A10" w:rsidRPr="00D31871"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31871" w:rsidRDefault="00974627" w:rsidP="00C65629">
            <w:pPr>
              <w:spacing w:before="960" w:line="240" w:lineRule="exact"/>
              <w:rPr>
                <w:lang w:val="en-GB"/>
              </w:rPr>
            </w:pPr>
            <w:r>
              <w:rPr>
                <w:lang w:val="en-GB"/>
              </w:rPr>
              <w:t>24 juillet 2017</w:t>
            </w:r>
          </w:p>
        </w:tc>
      </w:tr>
    </w:tbl>
    <w:p w:rsidR="00421A10" w:rsidRPr="006549FF" w:rsidRDefault="0029791D" w:rsidP="0029791D">
      <w:pPr>
        <w:pStyle w:val="HChG"/>
      </w:pPr>
      <w:r w:rsidRPr="00D31871">
        <w:rPr>
          <w:lang w:val="en-GB"/>
        </w:rPr>
        <w:tab/>
      </w:r>
      <w:r w:rsidRPr="00D31871">
        <w:rPr>
          <w:lang w:val="en-GB"/>
        </w:rP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A37EAD">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D31871">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D31871">
        <w:t>36</w:t>
      </w:r>
      <w:r w:rsidR="00974627">
        <w:t xml:space="preserve"> − </w:t>
      </w:r>
      <w:r w:rsidR="00421A10" w:rsidRPr="006549FF">
        <w:t>Règlement</w:t>
      </w:r>
      <w:r w:rsidR="00421A10">
        <w:t xml:space="preserve"> </w:t>
      </w:r>
      <w:r w:rsidR="00421A10" w:rsidRPr="00B371BF">
        <w:t>n</w:t>
      </w:r>
      <w:r w:rsidR="00421A10" w:rsidRPr="00B371BF">
        <w:rPr>
          <w:vertAlign w:val="superscript"/>
        </w:rPr>
        <w:t>o</w:t>
      </w:r>
      <w:r w:rsidR="00421A10">
        <w:t> </w:t>
      </w:r>
      <w:r w:rsidR="00D31871">
        <w:t>37</w:t>
      </w:r>
    </w:p>
    <w:p w:rsidR="00421A10" w:rsidRPr="006549FF" w:rsidRDefault="0029791D" w:rsidP="0029791D">
      <w:pPr>
        <w:pStyle w:val="H1G"/>
      </w:pPr>
      <w:r>
        <w:tab/>
      </w:r>
      <w:r>
        <w:tab/>
      </w:r>
      <w:r w:rsidR="00421A10" w:rsidRPr="006549FF">
        <w:t xml:space="preserve">Révision </w:t>
      </w:r>
      <w:r w:rsidR="00D31871">
        <w:t>7 − Amendement 8</w:t>
      </w:r>
    </w:p>
    <w:p w:rsidR="00D31871" w:rsidRPr="0029791D" w:rsidRDefault="00D31871" w:rsidP="00D31871">
      <w:pPr>
        <w:pStyle w:val="SingleTxtG"/>
      </w:pPr>
      <w:r w:rsidRPr="009A07F0">
        <w:rPr>
          <w:spacing w:val="-2"/>
        </w:rPr>
        <w:t>Complément 45 à la série 03 d</w:t>
      </w:r>
      <w:r>
        <w:rPr>
          <w:spacing w:val="-2"/>
        </w:rPr>
        <w:t>’</w:t>
      </w:r>
      <w:r w:rsidRPr="009A07F0">
        <w:rPr>
          <w:spacing w:val="-2"/>
        </w:rPr>
        <w:t xml:space="preserve">amendements </w:t>
      </w:r>
      <w:r w:rsidR="00494725">
        <w:rPr>
          <w:spacing w:val="-2"/>
        </w:rPr>
        <w:t>−</w:t>
      </w:r>
      <w:r w:rsidRPr="009A07F0">
        <w:rPr>
          <w:spacing w:val="-2"/>
        </w:rPr>
        <w:t xml:space="preserve"> Date d</w:t>
      </w:r>
      <w:r>
        <w:rPr>
          <w:spacing w:val="-2"/>
        </w:rPr>
        <w:t>’</w:t>
      </w:r>
      <w:r w:rsidRPr="009A07F0">
        <w:rPr>
          <w:spacing w:val="-2"/>
        </w:rPr>
        <w:t>entrée en vigueur</w:t>
      </w:r>
      <w:r w:rsidR="00974627">
        <w:rPr>
          <w:spacing w:val="-2"/>
        </w:rPr>
        <w:t> </w:t>
      </w:r>
      <w:r w:rsidRPr="009A07F0">
        <w:rPr>
          <w:spacing w:val="-2"/>
        </w:rPr>
        <w:t xml:space="preserve">: </w:t>
      </w:r>
      <w:r w:rsidRPr="009A07F0">
        <w:t>22 juin 2017</w:t>
      </w:r>
    </w:p>
    <w:p w:rsidR="00421A10" w:rsidRDefault="0029791D" w:rsidP="0029791D">
      <w:pPr>
        <w:pStyle w:val="H1G"/>
      </w:pPr>
      <w:r>
        <w:tab/>
      </w:r>
      <w:r>
        <w:tab/>
      </w:r>
      <w:r w:rsidR="00421A10" w:rsidRPr="007619D3">
        <w:t xml:space="preserve">Prescriptions uniformes relatives </w:t>
      </w:r>
      <w:r w:rsidR="00D31871" w:rsidRPr="00351B31">
        <w:t>à l</w:t>
      </w:r>
      <w:r w:rsidR="00D31871">
        <w:t>’</w:t>
      </w:r>
      <w:r w:rsidR="00974627">
        <w:t>homologation des lampes</w:t>
      </w:r>
      <w:r w:rsidR="00974627">
        <w:br/>
      </w:r>
      <w:r w:rsidR="00D31871" w:rsidRPr="00351B31">
        <w:t>à incandescence destinées à être uti</w:t>
      </w:r>
      <w:r w:rsidR="00974627">
        <w:t>lisées dans les feux homologués</w:t>
      </w:r>
      <w:r w:rsidR="00974627">
        <w:br/>
      </w:r>
      <w:r w:rsidR="00D31871" w:rsidRPr="00351B31">
        <w:t>des véhicules à moteur et de leurs remorques</w:t>
      </w:r>
    </w:p>
    <w:p w:rsidR="00D31871" w:rsidRDefault="00D31871" w:rsidP="00D31871">
      <w:pPr>
        <w:pStyle w:val="SingleTxtG"/>
        <w:ind w:firstLine="567"/>
        <w:rPr>
          <w:spacing w:val="-6"/>
          <w:lang w:eastAsia="en-GB"/>
        </w:rPr>
      </w:pPr>
      <w:r w:rsidRPr="00124B90">
        <w:rPr>
          <w:lang w:eastAsia="en-GB"/>
        </w:rPr>
        <w:t>Le présent document est communiqué uniquement à titre d</w:t>
      </w:r>
      <w:r>
        <w:rPr>
          <w:lang w:eastAsia="en-GB"/>
        </w:rPr>
        <w:t>’</w:t>
      </w:r>
      <w:r w:rsidRPr="00124B90">
        <w:rPr>
          <w:lang w:eastAsia="en-GB"/>
        </w:rPr>
        <w:t xml:space="preserve">information. Le texte authentique, juridiquement contraignant, est celui du document </w:t>
      </w:r>
      <w:r w:rsidRPr="00124B90">
        <w:rPr>
          <w:spacing w:val="-6"/>
          <w:lang w:eastAsia="en-GB"/>
        </w:rPr>
        <w:t>ECE/TRANS/WP.29/</w:t>
      </w:r>
      <w:r>
        <w:rPr>
          <w:spacing w:val="-6"/>
          <w:lang w:eastAsia="en-GB"/>
        </w:rPr>
        <w:t xml:space="preserve"> </w:t>
      </w:r>
      <w:r w:rsidRPr="00124B90">
        <w:rPr>
          <w:spacing w:val="-6"/>
          <w:lang w:eastAsia="en-GB"/>
        </w:rPr>
        <w:t>2016/76.</w:t>
      </w:r>
    </w:p>
    <w:p w:rsidR="00D31871" w:rsidRDefault="00D31871" w:rsidP="00D31871">
      <w:pPr>
        <w:pStyle w:val="SingleTxtG"/>
        <w:ind w:firstLine="567"/>
        <w:rPr>
          <w:spacing w:val="-6"/>
          <w:lang w:eastAsia="en-GB"/>
        </w:rPr>
      </w:pPr>
      <w:r>
        <w:rPr>
          <w:noProof/>
          <w:lang w:val="en-GB" w:eastAsia="en-GB"/>
        </w:rPr>
        <mc:AlternateContent>
          <mc:Choice Requires="wps">
            <w:drawing>
              <wp:anchor distT="0" distB="0" distL="114300" distR="114300" simplePos="0" relativeHeight="251657728" behindDoc="0" locked="0" layoutInCell="1" allowOverlap="1" wp14:anchorId="3517A9AF" wp14:editId="67D57125">
                <wp:simplePos x="0" y="0"/>
                <wp:positionH relativeFrom="margin">
                  <wp:posOffset>0</wp:posOffset>
                </wp:positionH>
                <wp:positionV relativeFrom="margin">
                  <wp:posOffset>6376924</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812A19" w:rsidRPr="0029791D" w:rsidRDefault="00812A19" w:rsidP="00D31871">
                            <w:pPr>
                              <w:ind w:left="1134" w:right="1134"/>
                              <w:jc w:val="center"/>
                            </w:pPr>
                            <w:r>
                              <w:t>_______________</w:t>
                            </w:r>
                          </w:p>
                          <w:p w:rsidR="00812A19" w:rsidRDefault="00812A19" w:rsidP="00D31871">
                            <w:pPr>
                              <w:jc w:val="center"/>
                              <w:rPr>
                                <w:b/>
                                <w:bCs/>
                                <w:sz w:val="22"/>
                              </w:rPr>
                            </w:pPr>
                            <w:r>
                              <w:rPr>
                                <w:noProof/>
                                <w:lang w:val="en-GB" w:eastAsia="en-GB"/>
                              </w:rPr>
                              <w:drawing>
                                <wp:inline distT="0" distB="0" distL="0" distR="0" wp14:anchorId="6428180C" wp14:editId="712F6CC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812A19" w:rsidRDefault="00812A19" w:rsidP="00D31871">
                            <w:pPr>
                              <w:jc w:val="center"/>
                              <w:rPr>
                                <w:b/>
                                <w:bCs/>
                                <w:sz w:val="24"/>
                                <w:szCs w:val="24"/>
                              </w:rPr>
                            </w:pPr>
                            <w:r w:rsidRPr="0029791D">
                              <w:rPr>
                                <w:b/>
                                <w:bCs/>
                                <w:sz w:val="24"/>
                                <w:szCs w:val="24"/>
                              </w:rPr>
                              <w:t>Nations Unies</w:t>
                            </w:r>
                          </w:p>
                          <w:p w:rsidR="00494725" w:rsidRDefault="00494725" w:rsidP="00D3187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7A9AF" id="_x0000_t202" coordsize="21600,21600" o:spt="202" path="m,l,21600r21600,l21600,xe">
                <v:stroke joinstyle="miter"/>
                <v:path gradientshapeok="t" o:connecttype="rect"/>
              </v:shapetype>
              <v:shape id="Zone de texte 4" o:spid="_x0000_s1026" type="#_x0000_t202" style="position:absolute;left:0;text-align:left;margin-left:0;margin-top:502.1pt;width:481.9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" stroked="f">
                <v:textbox inset="0,0,0,0">
                  <w:txbxContent>
                    <w:p w:rsidR="00812A19" w:rsidRPr="0029791D" w:rsidRDefault="00812A19" w:rsidP="00D31871">
                      <w:pPr>
                        <w:ind w:left="1134" w:right="1134"/>
                        <w:jc w:val="center"/>
                      </w:pPr>
                      <w:r>
                        <w:t>_______________</w:t>
                      </w:r>
                    </w:p>
                    <w:p w:rsidR="00812A19" w:rsidRDefault="00812A19" w:rsidP="00D31871">
                      <w:pPr>
                        <w:jc w:val="center"/>
                        <w:rPr>
                          <w:b/>
                          <w:bCs/>
                          <w:sz w:val="22"/>
                        </w:rPr>
                      </w:pPr>
                      <w:r>
                        <w:rPr>
                          <w:noProof/>
                          <w:lang w:val="en-GB" w:eastAsia="en-GB"/>
                        </w:rPr>
                        <w:drawing>
                          <wp:inline distT="0" distB="0" distL="0" distR="0" wp14:anchorId="6428180C" wp14:editId="712F6CC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812A19" w:rsidRDefault="00812A19" w:rsidP="00D31871">
                      <w:pPr>
                        <w:jc w:val="center"/>
                        <w:rPr>
                          <w:b/>
                          <w:bCs/>
                          <w:sz w:val="24"/>
                          <w:szCs w:val="24"/>
                        </w:rPr>
                      </w:pPr>
                      <w:r w:rsidRPr="0029791D">
                        <w:rPr>
                          <w:b/>
                          <w:bCs/>
                          <w:sz w:val="24"/>
                          <w:szCs w:val="24"/>
                        </w:rPr>
                        <w:t>Nations Unies</w:t>
                      </w:r>
                    </w:p>
                    <w:p w:rsidR="00494725" w:rsidRDefault="00494725" w:rsidP="00D31871">
                      <w:pPr>
                        <w:jc w:val="center"/>
                      </w:pPr>
                    </w:p>
                  </w:txbxContent>
                </v:textbox>
                <w10:wrap anchorx="margin" anchory="margin"/>
              </v:shape>
            </w:pict>
          </mc:Fallback>
        </mc:AlternateContent>
      </w:r>
    </w:p>
    <w:p w:rsidR="00D31871" w:rsidRDefault="00D31871" w:rsidP="00D31871">
      <w:pPr>
        <w:pStyle w:val="SingleTxtG"/>
        <w:ind w:firstLine="567"/>
        <w:rPr>
          <w:spacing w:val="-6"/>
          <w:lang w:eastAsia="en-GB"/>
        </w:rPr>
      </w:pPr>
    </w:p>
    <w:p w:rsidR="00D31871" w:rsidRDefault="00D31871" w:rsidP="00D31871">
      <w:pPr>
        <w:pStyle w:val="SingleTxtG"/>
        <w:ind w:firstLine="567"/>
        <w:rPr>
          <w:spacing w:val="-6"/>
          <w:lang w:eastAsia="en-GB"/>
        </w:rPr>
      </w:pPr>
    </w:p>
    <w:p w:rsidR="00D31871" w:rsidRPr="00D31871" w:rsidRDefault="00D31871" w:rsidP="00D31871">
      <w:pPr>
        <w:pStyle w:val="SingleTxtG"/>
        <w:ind w:firstLine="567"/>
      </w:pPr>
    </w:p>
    <w:p w:rsidR="00D31871" w:rsidRDefault="00D31871" w:rsidP="005F0207">
      <w:pPr>
        <w:sectPr w:rsidR="00D31871" w:rsidSect="00D31871">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417" w:right="1134" w:bottom="1134" w:left="1134" w:header="680" w:footer="567" w:gutter="0"/>
          <w:cols w:space="720"/>
          <w:titlePg/>
          <w:docGrid w:linePitch="272"/>
        </w:sectPr>
      </w:pPr>
      <w:r>
        <w:br w:type="page"/>
      </w:r>
    </w:p>
    <w:p w:rsidR="00D31871" w:rsidRPr="005C7F77" w:rsidRDefault="00D31871" w:rsidP="00D31871">
      <w:pPr>
        <w:pStyle w:val="SingleTxtG"/>
        <w:rPr>
          <w:lang w:val="fr-FR"/>
        </w:rPr>
      </w:pPr>
      <w:r w:rsidRPr="00D31871">
        <w:rPr>
          <w:i/>
          <w:lang w:val="fr-FR"/>
        </w:rPr>
        <w:lastRenderedPageBreak/>
        <w:t>Règlement n</w:t>
      </w:r>
      <w:r w:rsidRPr="00D31871">
        <w:rPr>
          <w:i/>
          <w:vertAlign w:val="superscript"/>
          <w:lang w:val="fr-FR"/>
        </w:rPr>
        <w:t>o</w:t>
      </w:r>
      <w:r w:rsidRPr="00D31871">
        <w:rPr>
          <w:i/>
          <w:lang w:val="fr-FR"/>
        </w:rPr>
        <w:t> 37</w:t>
      </w:r>
      <w:r w:rsidRPr="005C7F77">
        <w:rPr>
          <w:lang w:val="fr-FR"/>
        </w:rPr>
        <w:t>, lire</w:t>
      </w:r>
      <w:r>
        <w:rPr>
          <w:lang w:val="fr-FR"/>
        </w:rPr>
        <w:t> :</w:t>
      </w:r>
    </w:p>
    <w:p w:rsidR="00D31871" w:rsidRPr="005C7F77" w:rsidRDefault="00D31871" w:rsidP="00D31871">
      <w:pPr>
        <w:pStyle w:val="HChG"/>
        <w:rPr>
          <w:lang w:val="fr-FR"/>
        </w:rPr>
      </w:pPr>
      <w:bookmarkStart w:id="1" w:name="_Toc405886499"/>
      <w:r w:rsidRPr="00D31871">
        <w:rPr>
          <w:b w:val="0"/>
          <w:sz w:val="20"/>
          <w:lang w:val="fr-FR"/>
        </w:rPr>
        <w:t>« </w:t>
      </w:r>
      <w:r w:rsidRPr="005C7F77">
        <w:rPr>
          <w:lang w:val="fr-FR"/>
        </w:rPr>
        <w:t>Règlement n</w:t>
      </w:r>
      <w:r w:rsidRPr="005C7F77">
        <w:rPr>
          <w:vertAlign w:val="superscript"/>
          <w:lang w:val="fr-FR"/>
        </w:rPr>
        <w:t>o</w:t>
      </w:r>
      <w:r w:rsidRPr="005C7F77">
        <w:rPr>
          <w:lang w:val="fr-FR"/>
        </w:rPr>
        <w:t> 37</w:t>
      </w:r>
      <w:bookmarkEnd w:id="1"/>
    </w:p>
    <w:p w:rsidR="00D31871" w:rsidRDefault="00D31871" w:rsidP="00D31871">
      <w:pPr>
        <w:pStyle w:val="HChG"/>
        <w:rPr>
          <w:lang w:val="fr-FR"/>
        </w:rPr>
      </w:pPr>
      <w:r>
        <w:rPr>
          <w:lang w:val="fr-FR"/>
        </w:rPr>
        <w:tab/>
      </w:r>
      <w:r>
        <w:rPr>
          <w:lang w:val="fr-FR"/>
        </w:rPr>
        <w:tab/>
      </w:r>
      <w:r w:rsidRPr="005C7F77">
        <w:rPr>
          <w:lang w:val="fr-FR"/>
        </w:rPr>
        <w:t>Prescriptions uniformes relatives à l</w:t>
      </w:r>
      <w:r>
        <w:rPr>
          <w:lang w:val="fr-FR"/>
        </w:rPr>
        <w:t xml:space="preserve">’homologation des </w:t>
      </w:r>
      <w:r w:rsidRPr="005C7F77">
        <w:rPr>
          <w:lang w:val="fr-FR"/>
        </w:rPr>
        <w:t>sources lumineuses à incandescence destinées à être utilisées dans les feux homologués des véhicules à moteur et</w:t>
      </w:r>
      <w:r>
        <w:rPr>
          <w:lang w:val="fr-FR"/>
        </w:rPr>
        <w:t xml:space="preserve"> </w:t>
      </w:r>
      <w:r w:rsidRPr="005C7F77">
        <w:rPr>
          <w:lang w:val="fr-FR"/>
        </w:rPr>
        <w:t xml:space="preserve">de leurs remorques </w:t>
      </w:r>
    </w:p>
    <w:p w:rsidR="00D31871" w:rsidRPr="00D31871" w:rsidRDefault="00D31871" w:rsidP="00D31871">
      <w:pPr>
        <w:spacing w:after="120"/>
        <w:rPr>
          <w:sz w:val="28"/>
        </w:rPr>
      </w:pPr>
      <w:r w:rsidRPr="00D31871">
        <w:rPr>
          <w:sz w:val="28"/>
        </w:rPr>
        <w:t>Table des matières</w:t>
      </w:r>
    </w:p>
    <w:p w:rsidR="00D31871" w:rsidRDefault="00D31871" w:rsidP="00D31871">
      <w:r>
        <w:t>Règlement</w:t>
      </w:r>
    </w:p>
    <w:p w:rsidR="00D31871" w:rsidRPr="00D31871" w:rsidRDefault="00D31871" w:rsidP="00D31871">
      <w:pPr>
        <w:tabs>
          <w:tab w:val="right" w:pos="9638"/>
        </w:tabs>
        <w:spacing w:after="120"/>
        <w:ind w:left="283"/>
        <w:rPr>
          <w:i/>
          <w:sz w:val="18"/>
        </w:rPr>
      </w:pPr>
      <w:r w:rsidRPr="00D31871">
        <w:rPr>
          <w:i/>
          <w:sz w:val="18"/>
        </w:rPr>
        <w:tab/>
        <w:t>Page</w:t>
      </w:r>
      <w:r w:rsidRPr="00D31871">
        <w:rPr>
          <w:rStyle w:val="FootnoteReference"/>
          <w:i/>
          <w:sz w:val="20"/>
          <w:vertAlign w:val="baseline"/>
        </w:rPr>
        <w:footnoteReference w:customMarkFollows="1" w:id="3"/>
        <w:t>**</w:t>
      </w:r>
    </w:p>
    <w:p w:rsidR="00D31871" w:rsidRDefault="00D31871" w:rsidP="00D31871">
      <w:pPr>
        <w:tabs>
          <w:tab w:val="right" w:pos="850"/>
          <w:tab w:val="right" w:leader="dot" w:pos="8787"/>
          <w:tab w:val="right" w:pos="9638"/>
        </w:tabs>
        <w:spacing w:after="120"/>
        <w:ind w:left="1134" w:hanging="1134"/>
      </w:pPr>
      <w:r>
        <w:tab/>
      </w:r>
      <w:r w:rsidR="001A4CDC">
        <w:t>1</w:t>
      </w:r>
      <w:r>
        <w:t>.</w:t>
      </w:r>
      <w:r>
        <w:tab/>
      </w:r>
      <w:r w:rsidR="001A4CDC">
        <w:rPr>
          <w:lang w:val="fr-FR"/>
        </w:rPr>
        <w:t>Domaine d’application</w:t>
      </w:r>
      <w:r>
        <w:tab/>
      </w:r>
      <w:r w:rsidR="001A4CDC">
        <w:tab/>
      </w:r>
    </w:p>
    <w:p w:rsidR="001A4CDC" w:rsidRDefault="001A4CDC" w:rsidP="00D31871">
      <w:pPr>
        <w:tabs>
          <w:tab w:val="right" w:pos="850"/>
          <w:tab w:val="right" w:leader="dot" w:pos="8787"/>
          <w:tab w:val="right" w:pos="9638"/>
        </w:tabs>
        <w:spacing w:after="120"/>
        <w:ind w:left="1134" w:hanging="1134"/>
        <w:rPr>
          <w:lang w:val="fr-FR"/>
        </w:rPr>
      </w:pPr>
      <w:r>
        <w:tab/>
        <w:t>2.</w:t>
      </w:r>
      <w:r>
        <w:tab/>
      </w:r>
      <w:r w:rsidRPr="001A4CDC">
        <w:t xml:space="preserve">Prescriptions </w:t>
      </w:r>
      <w:r>
        <w:rPr>
          <w:lang w:val="fr-FR"/>
        </w:rPr>
        <w:t>administratives</w:t>
      </w:r>
      <w:r>
        <w:rPr>
          <w:lang w:val="fr-FR"/>
        </w:rPr>
        <w:tab/>
      </w:r>
      <w:r>
        <w:rPr>
          <w:lang w:val="fr-FR"/>
        </w:rPr>
        <w:tab/>
      </w:r>
    </w:p>
    <w:p w:rsidR="001A4CDC" w:rsidRDefault="001A4CDC" w:rsidP="00D31871">
      <w:pPr>
        <w:tabs>
          <w:tab w:val="right" w:pos="850"/>
          <w:tab w:val="right" w:leader="dot" w:pos="8787"/>
          <w:tab w:val="right" w:pos="9638"/>
        </w:tabs>
        <w:spacing w:after="120"/>
        <w:ind w:left="1134" w:hanging="1134"/>
        <w:rPr>
          <w:lang w:val="fr-FR"/>
        </w:rPr>
      </w:pPr>
      <w:r>
        <w:rPr>
          <w:lang w:val="fr-FR"/>
        </w:rPr>
        <w:tab/>
        <w:t>3.</w:t>
      </w:r>
      <w:r>
        <w:rPr>
          <w:lang w:val="fr-FR"/>
        </w:rPr>
        <w:tab/>
        <w:t>Prescrip</w:t>
      </w:r>
      <w:r w:rsidRPr="008269AC">
        <w:rPr>
          <w:lang w:val="fr-FR"/>
        </w:rPr>
        <w:t>tions techniques</w:t>
      </w:r>
      <w:r>
        <w:rPr>
          <w:lang w:val="fr-FR"/>
        </w:rPr>
        <w:tab/>
      </w:r>
      <w:r>
        <w:rPr>
          <w:lang w:val="fr-FR"/>
        </w:rPr>
        <w:tab/>
      </w:r>
    </w:p>
    <w:p w:rsidR="001A4CDC" w:rsidRDefault="001A4CDC" w:rsidP="001A4CDC">
      <w:pPr>
        <w:tabs>
          <w:tab w:val="right" w:pos="850"/>
          <w:tab w:val="right" w:leader="dot" w:pos="8787"/>
          <w:tab w:val="right" w:pos="9638"/>
        </w:tabs>
        <w:spacing w:after="120"/>
        <w:ind w:left="1134" w:hanging="1134"/>
        <w:rPr>
          <w:lang w:val="fr-FR"/>
        </w:rPr>
      </w:pPr>
      <w:r>
        <w:rPr>
          <w:lang w:val="fr-FR"/>
        </w:rPr>
        <w:tab/>
        <w:t>4.</w:t>
      </w:r>
      <w:r>
        <w:rPr>
          <w:lang w:val="fr-FR"/>
        </w:rPr>
        <w:tab/>
        <w:t>Conformité de la production</w:t>
      </w:r>
      <w:r>
        <w:rPr>
          <w:lang w:val="fr-FR"/>
        </w:rPr>
        <w:tab/>
      </w:r>
      <w:r>
        <w:rPr>
          <w:lang w:val="fr-FR"/>
        </w:rPr>
        <w:tab/>
      </w:r>
    </w:p>
    <w:p w:rsidR="001A4CDC" w:rsidRDefault="001A4CDC" w:rsidP="001A4CDC">
      <w:pPr>
        <w:tabs>
          <w:tab w:val="right" w:pos="850"/>
          <w:tab w:val="right" w:leader="dot" w:pos="8787"/>
          <w:tab w:val="right" w:pos="9638"/>
        </w:tabs>
        <w:spacing w:after="120"/>
        <w:ind w:left="1134" w:hanging="1134"/>
        <w:rPr>
          <w:lang w:val="fr-FR"/>
        </w:rPr>
      </w:pPr>
      <w:r>
        <w:rPr>
          <w:lang w:val="fr-FR"/>
        </w:rPr>
        <w:tab/>
        <w:t>5.</w:t>
      </w:r>
      <w:r>
        <w:rPr>
          <w:lang w:val="fr-FR"/>
        </w:rPr>
        <w:tab/>
      </w:r>
      <w:r w:rsidRPr="00426E7C">
        <w:rPr>
          <w:lang w:val="fr-FR"/>
        </w:rPr>
        <w:t>Sanctions pour non-conformité de la production</w:t>
      </w:r>
      <w:r w:rsidR="00CC6063">
        <w:rPr>
          <w:lang w:val="fr-FR"/>
        </w:rPr>
        <w:tab/>
      </w:r>
      <w:r w:rsidR="00CC6063">
        <w:rPr>
          <w:lang w:val="fr-FR"/>
        </w:rPr>
        <w:tab/>
      </w:r>
    </w:p>
    <w:p w:rsidR="00CC6063" w:rsidRDefault="00CC6063" w:rsidP="001A4CDC">
      <w:pPr>
        <w:tabs>
          <w:tab w:val="right" w:pos="850"/>
          <w:tab w:val="right" w:leader="dot" w:pos="8787"/>
          <w:tab w:val="right" w:pos="9638"/>
        </w:tabs>
        <w:spacing w:after="120"/>
        <w:ind w:left="1134" w:hanging="1134"/>
        <w:rPr>
          <w:lang w:val="fr-FR"/>
        </w:rPr>
      </w:pPr>
      <w:r>
        <w:rPr>
          <w:lang w:val="fr-FR"/>
        </w:rPr>
        <w:tab/>
        <w:t>6.</w:t>
      </w:r>
      <w:r>
        <w:rPr>
          <w:lang w:val="fr-FR"/>
        </w:rPr>
        <w:tab/>
      </w:r>
      <w:r w:rsidRPr="00426E7C">
        <w:rPr>
          <w:lang w:val="fr-FR"/>
        </w:rPr>
        <w:t>Arrêt définitif de la production</w:t>
      </w:r>
      <w:r>
        <w:rPr>
          <w:lang w:val="fr-FR"/>
        </w:rPr>
        <w:tab/>
      </w:r>
      <w:r>
        <w:rPr>
          <w:lang w:val="fr-FR"/>
        </w:rPr>
        <w:tab/>
      </w:r>
    </w:p>
    <w:p w:rsidR="00CC6063" w:rsidRDefault="00CC6063" w:rsidP="001A4CDC">
      <w:pPr>
        <w:tabs>
          <w:tab w:val="right" w:pos="850"/>
          <w:tab w:val="right" w:leader="dot" w:pos="8787"/>
          <w:tab w:val="right" w:pos="9638"/>
        </w:tabs>
        <w:spacing w:after="120"/>
        <w:ind w:left="1134" w:hanging="1134"/>
        <w:rPr>
          <w:lang w:val="fr-FR"/>
        </w:rPr>
      </w:pPr>
      <w:r>
        <w:rPr>
          <w:lang w:val="fr-FR"/>
        </w:rPr>
        <w:tab/>
        <w:t>7.</w:t>
      </w:r>
      <w:r>
        <w:rPr>
          <w:lang w:val="fr-FR"/>
        </w:rPr>
        <w:tab/>
      </w:r>
      <w:r w:rsidRPr="00426E7C">
        <w:rPr>
          <w:lang w:val="fr-FR"/>
        </w:rPr>
        <w:t>Noms et adresses des services techniques chargés des essais d’homologation et des autorités d’homologation de type</w:t>
      </w:r>
      <w:r>
        <w:rPr>
          <w:lang w:val="fr-FR"/>
        </w:rPr>
        <w:tab/>
      </w:r>
      <w:r>
        <w:rPr>
          <w:lang w:val="fr-FR"/>
        </w:rPr>
        <w:tab/>
      </w:r>
    </w:p>
    <w:p w:rsidR="00CC6063" w:rsidRDefault="00CC6063" w:rsidP="001A4CDC">
      <w:pPr>
        <w:tabs>
          <w:tab w:val="right" w:pos="850"/>
          <w:tab w:val="right" w:leader="dot" w:pos="8787"/>
          <w:tab w:val="right" w:pos="9638"/>
        </w:tabs>
        <w:spacing w:after="120"/>
        <w:ind w:left="1134" w:hanging="1134"/>
      </w:pPr>
      <w:r>
        <w:rPr>
          <w:lang w:val="fr-FR"/>
        </w:rPr>
        <w:tab/>
        <w:t>8.</w:t>
      </w:r>
      <w:r>
        <w:rPr>
          <w:lang w:val="fr-FR"/>
        </w:rPr>
        <w:tab/>
      </w:r>
      <w:r w:rsidRPr="00426E7C">
        <w:rPr>
          <w:lang w:val="fr-FR"/>
        </w:rPr>
        <w:t>Dispositions transitoires</w:t>
      </w:r>
      <w:r>
        <w:rPr>
          <w:lang w:val="fr-FR"/>
        </w:rPr>
        <w:tab/>
      </w:r>
      <w:r>
        <w:rPr>
          <w:lang w:val="fr-FR"/>
        </w:rPr>
        <w:tab/>
      </w:r>
    </w:p>
    <w:p w:rsidR="00D31871" w:rsidRPr="00D31871" w:rsidRDefault="00D31871" w:rsidP="00D31871">
      <w:pPr>
        <w:tabs>
          <w:tab w:val="right" w:pos="850"/>
        </w:tabs>
        <w:spacing w:after="120"/>
      </w:pPr>
      <w:r>
        <w:tab/>
        <w:t>Annexes</w:t>
      </w:r>
    </w:p>
    <w:p w:rsidR="00D31871" w:rsidRDefault="00D31871" w:rsidP="00D31871">
      <w:pPr>
        <w:tabs>
          <w:tab w:val="right" w:pos="850"/>
          <w:tab w:val="right" w:leader="dot" w:pos="8787"/>
          <w:tab w:val="right" w:pos="9638"/>
        </w:tabs>
        <w:spacing w:after="120"/>
        <w:ind w:left="1134" w:hanging="1134"/>
      </w:pPr>
      <w:r>
        <w:tab/>
      </w:r>
      <w:r w:rsidR="00CC6063">
        <w:t>1.</w:t>
      </w:r>
      <w:r>
        <w:tab/>
      </w:r>
      <w:r w:rsidR="00CC6063" w:rsidRPr="007C7809">
        <w:rPr>
          <w:lang w:val="fr-FR"/>
        </w:rPr>
        <w:t>Feuilles relatives aux sources lumineuses à incandescenc</w:t>
      </w:r>
      <w:r w:rsidR="00CC6063">
        <w:rPr>
          <w:lang w:val="fr-FR"/>
        </w:rPr>
        <w:t>e</w:t>
      </w:r>
      <w:r>
        <w:tab/>
      </w:r>
      <w:r w:rsidR="00CC6063">
        <w:tab/>
      </w:r>
    </w:p>
    <w:p w:rsidR="00CC6063" w:rsidRDefault="00CC6063" w:rsidP="00D31871">
      <w:pPr>
        <w:tabs>
          <w:tab w:val="right" w:pos="850"/>
          <w:tab w:val="right" w:leader="dot" w:pos="8787"/>
          <w:tab w:val="right" w:pos="9638"/>
        </w:tabs>
        <w:spacing w:after="120"/>
        <w:ind w:left="1134" w:hanging="1134"/>
        <w:rPr>
          <w:lang w:val="fr-FR"/>
        </w:rPr>
      </w:pPr>
      <w:r>
        <w:tab/>
        <w:t>2.</w:t>
      </w:r>
      <w:r>
        <w:tab/>
      </w:r>
      <w:r w:rsidRPr="005F0655">
        <w:rPr>
          <w:lang w:val="fr-FR"/>
        </w:rPr>
        <w:t>Communication</w:t>
      </w:r>
      <w:r>
        <w:rPr>
          <w:lang w:val="fr-FR"/>
        </w:rPr>
        <w:tab/>
      </w:r>
      <w:r>
        <w:rPr>
          <w:lang w:val="fr-FR"/>
        </w:rPr>
        <w:tab/>
      </w:r>
    </w:p>
    <w:p w:rsidR="00CC6063" w:rsidRDefault="00CC6063" w:rsidP="00D31871">
      <w:pPr>
        <w:tabs>
          <w:tab w:val="right" w:pos="850"/>
          <w:tab w:val="right" w:leader="dot" w:pos="8787"/>
          <w:tab w:val="right" w:pos="9638"/>
        </w:tabs>
        <w:spacing w:after="120"/>
        <w:ind w:left="1134" w:hanging="1134"/>
        <w:rPr>
          <w:lang w:val="fr-FR"/>
        </w:rPr>
      </w:pPr>
      <w:r>
        <w:rPr>
          <w:lang w:val="fr-FR"/>
        </w:rPr>
        <w:tab/>
        <w:t>3.</w:t>
      </w:r>
      <w:r>
        <w:rPr>
          <w:lang w:val="fr-FR"/>
        </w:rPr>
        <w:tab/>
      </w:r>
      <w:r w:rsidRPr="005F0655">
        <w:rPr>
          <w:lang w:val="fr-FR"/>
        </w:rPr>
        <w:t>Exemple de marque d</w:t>
      </w:r>
      <w:r>
        <w:rPr>
          <w:lang w:val="fr-FR"/>
        </w:rPr>
        <w:t>’</w:t>
      </w:r>
      <w:r w:rsidRPr="005F0655">
        <w:rPr>
          <w:lang w:val="fr-FR"/>
        </w:rPr>
        <w:t>homologation</w:t>
      </w:r>
      <w:r>
        <w:rPr>
          <w:lang w:val="fr-FR"/>
        </w:rPr>
        <w:tab/>
      </w:r>
      <w:r>
        <w:rPr>
          <w:lang w:val="fr-FR"/>
        </w:rPr>
        <w:tab/>
      </w:r>
    </w:p>
    <w:p w:rsidR="00CC6063" w:rsidRDefault="00CC6063" w:rsidP="00D31871">
      <w:pPr>
        <w:tabs>
          <w:tab w:val="right" w:pos="850"/>
          <w:tab w:val="right" w:leader="dot" w:pos="8787"/>
          <w:tab w:val="right" w:pos="9638"/>
        </w:tabs>
        <w:spacing w:after="120"/>
        <w:ind w:left="1134" w:hanging="1134"/>
        <w:rPr>
          <w:lang w:val="fr-FR"/>
        </w:rPr>
      </w:pPr>
      <w:r>
        <w:rPr>
          <w:lang w:val="fr-FR"/>
        </w:rPr>
        <w:tab/>
        <w:t>4.</w:t>
      </w:r>
      <w:r>
        <w:rPr>
          <w:lang w:val="fr-FR"/>
        </w:rPr>
        <w:tab/>
      </w:r>
      <w:r w:rsidRPr="00D248F3">
        <w:rPr>
          <w:lang w:val="fr-FR"/>
        </w:rPr>
        <w:t>Centre de gravité lumineux et formes des filaments des</w:t>
      </w:r>
      <w:r>
        <w:rPr>
          <w:lang w:val="fr-FR"/>
        </w:rPr>
        <w:t xml:space="preserve"> </w:t>
      </w:r>
      <w:r w:rsidRPr="00D248F3">
        <w:rPr>
          <w:lang w:val="fr-FR"/>
        </w:rPr>
        <w:t>sources lumineuses à incandescence</w:t>
      </w:r>
      <w:r>
        <w:rPr>
          <w:lang w:val="fr-FR"/>
        </w:rPr>
        <w:tab/>
      </w:r>
      <w:r>
        <w:rPr>
          <w:lang w:val="fr-FR"/>
        </w:rPr>
        <w:tab/>
      </w:r>
    </w:p>
    <w:p w:rsidR="00CC6063" w:rsidRDefault="00CC6063" w:rsidP="00D31871">
      <w:pPr>
        <w:tabs>
          <w:tab w:val="right" w:pos="850"/>
          <w:tab w:val="right" w:leader="dot" w:pos="8787"/>
          <w:tab w:val="right" w:pos="9638"/>
        </w:tabs>
        <w:spacing w:after="120"/>
        <w:ind w:left="1134" w:hanging="1134"/>
        <w:rPr>
          <w:lang w:val="fr-FR"/>
        </w:rPr>
      </w:pPr>
      <w:r>
        <w:rPr>
          <w:lang w:val="fr-FR"/>
        </w:rPr>
        <w:tab/>
        <w:t>5.</w:t>
      </w:r>
      <w:r>
        <w:rPr>
          <w:lang w:val="fr-FR"/>
        </w:rPr>
        <w:tab/>
      </w:r>
      <w:r w:rsidRPr="002860FF">
        <w:rPr>
          <w:lang w:val="fr-FR"/>
        </w:rPr>
        <w:t>Contrôle de la couleur des sources lumineuses à incandescence</w:t>
      </w:r>
      <w:r>
        <w:rPr>
          <w:lang w:val="fr-FR"/>
        </w:rPr>
        <w:tab/>
      </w:r>
      <w:r>
        <w:rPr>
          <w:lang w:val="fr-FR"/>
        </w:rPr>
        <w:tab/>
      </w:r>
    </w:p>
    <w:p w:rsidR="00CC6063" w:rsidRDefault="00CC6063" w:rsidP="00D31871">
      <w:pPr>
        <w:tabs>
          <w:tab w:val="right" w:pos="850"/>
          <w:tab w:val="right" w:leader="dot" w:pos="8787"/>
          <w:tab w:val="right" w:pos="9638"/>
        </w:tabs>
        <w:spacing w:after="120"/>
        <w:ind w:left="1134" w:hanging="1134"/>
        <w:rPr>
          <w:lang w:val="fr-FR"/>
        </w:rPr>
      </w:pPr>
      <w:r>
        <w:rPr>
          <w:lang w:val="fr-FR"/>
        </w:rPr>
        <w:tab/>
        <w:t>6.</w:t>
      </w:r>
      <w:r>
        <w:rPr>
          <w:lang w:val="fr-FR"/>
        </w:rPr>
        <w:tab/>
      </w:r>
      <w:r w:rsidRPr="00D60D1B">
        <w:rPr>
          <w:snapToGrid w:val="0"/>
          <w:lang w:val="fr-FR"/>
        </w:rPr>
        <w:t xml:space="preserve">Prescriptions minimales concernant les procédures de contrôle de la qualité suivies </w:t>
      </w:r>
      <w:r>
        <w:rPr>
          <w:snapToGrid w:val="0"/>
          <w:lang w:val="fr-FR"/>
        </w:rPr>
        <w:br/>
      </w:r>
      <w:r w:rsidRPr="00D60D1B">
        <w:rPr>
          <w:snapToGrid w:val="0"/>
          <w:lang w:val="fr-FR"/>
        </w:rPr>
        <w:t>par le fabrican</w:t>
      </w:r>
      <w:r>
        <w:rPr>
          <w:snapToGrid w:val="0"/>
          <w:lang w:val="fr-FR"/>
        </w:rPr>
        <w:t>t</w:t>
      </w:r>
      <w:r>
        <w:rPr>
          <w:lang w:val="fr-FR"/>
        </w:rPr>
        <w:tab/>
      </w:r>
      <w:r>
        <w:rPr>
          <w:lang w:val="fr-FR"/>
        </w:rPr>
        <w:tab/>
      </w:r>
    </w:p>
    <w:p w:rsidR="00CC6063" w:rsidRDefault="00CC6063" w:rsidP="00D31871">
      <w:pPr>
        <w:tabs>
          <w:tab w:val="right" w:pos="850"/>
          <w:tab w:val="right" w:leader="dot" w:pos="8787"/>
          <w:tab w:val="right" w:pos="9638"/>
        </w:tabs>
        <w:spacing w:after="120"/>
        <w:ind w:left="1134" w:hanging="1134"/>
        <w:rPr>
          <w:lang w:val="fr-FR"/>
        </w:rPr>
      </w:pPr>
      <w:r>
        <w:rPr>
          <w:lang w:val="fr-FR"/>
        </w:rPr>
        <w:tab/>
        <w:t>7.</w:t>
      </w:r>
      <w:r>
        <w:rPr>
          <w:lang w:val="fr-FR"/>
        </w:rPr>
        <w:tab/>
      </w:r>
      <w:r w:rsidRPr="008C682F">
        <w:rPr>
          <w:lang w:val="fr-FR"/>
        </w:rPr>
        <w:t>Échantillonnage et niveaux de conformité en ce qui concerne les procès-verbaux d</w:t>
      </w:r>
      <w:r>
        <w:rPr>
          <w:lang w:val="fr-FR"/>
        </w:rPr>
        <w:t>’</w:t>
      </w:r>
      <w:r w:rsidRPr="008C682F">
        <w:rPr>
          <w:lang w:val="fr-FR"/>
        </w:rPr>
        <w:t xml:space="preserve">essai </w:t>
      </w:r>
      <w:r>
        <w:rPr>
          <w:lang w:val="fr-FR"/>
        </w:rPr>
        <w:br/>
      </w:r>
      <w:r w:rsidRPr="008C682F">
        <w:rPr>
          <w:lang w:val="fr-FR"/>
        </w:rPr>
        <w:t>du fabricant</w:t>
      </w:r>
      <w:r>
        <w:rPr>
          <w:lang w:val="fr-FR"/>
        </w:rPr>
        <w:tab/>
      </w:r>
      <w:r>
        <w:rPr>
          <w:lang w:val="fr-FR"/>
        </w:rPr>
        <w:tab/>
      </w:r>
    </w:p>
    <w:p w:rsidR="00CC6063" w:rsidRDefault="00CC6063" w:rsidP="00D31871">
      <w:pPr>
        <w:tabs>
          <w:tab w:val="right" w:pos="850"/>
          <w:tab w:val="right" w:leader="dot" w:pos="8787"/>
          <w:tab w:val="right" w:pos="9638"/>
        </w:tabs>
        <w:spacing w:after="120"/>
        <w:ind w:left="1134" w:hanging="1134"/>
        <w:rPr>
          <w:lang w:val="fr-FR"/>
        </w:rPr>
      </w:pPr>
      <w:r>
        <w:rPr>
          <w:lang w:val="fr-FR"/>
        </w:rPr>
        <w:tab/>
        <w:t>8.</w:t>
      </w:r>
      <w:r>
        <w:rPr>
          <w:lang w:val="fr-FR"/>
        </w:rPr>
        <w:tab/>
      </w:r>
      <w:r w:rsidRPr="005F0655">
        <w:rPr>
          <w:lang w:val="fr-FR"/>
        </w:rPr>
        <w:t>Prescriptions minimales concernant les contrôles par sondage effectués par l</w:t>
      </w:r>
      <w:r>
        <w:rPr>
          <w:lang w:val="fr-FR"/>
        </w:rPr>
        <w:t>’</w:t>
      </w:r>
      <w:r w:rsidRPr="005F0655">
        <w:rPr>
          <w:lang w:val="fr-FR"/>
        </w:rPr>
        <w:t xml:space="preserve">autorité </w:t>
      </w:r>
      <w:r>
        <w:rPr>
          <w:lang w:val="fr-FR"/>
        </w:rPr>
        <w:br/>
      </w:r>
      <w:r w:rsidRPr="005F0655">
        <w:rPr>
          <w:lang w:val="fr-FR"/>
        </w:rPr>
        <w:t>d</w:t>
      </w:r>
      <w:r>
        <w:rPr>
          <w:lang w:val="fr-FR"/>
        </w:rPr>
        <w:t>’</w:t>
      </w:r>
      <w:r w:rsidRPr="005F0655">
        <w:rPr>
          <w:lang w:val="fr-FR"/>
        </w:rPr>
        <w:t>homologation de type</w:t>
      </w:r>
      <w:r>
        <w:rPr>
          <w:lang w:val="fr-FR"/>
        </w:rPr>
        <w:tab/>
      </w:r>
      <w:r>
        <w:rPr>
          <w:lang w:val="fr-FR"/>
        </w:rPr>
        <w:tab/>
      </w:r>
    </w:p>
    <w:p w:rsidR="00CC6063" w:rsidRDefault="00CC6063" w:rsidP="00D31871">
      <w:pPr>
        <w:tabs>
          <w:tab w:val="right" w:pos="850"/>
          <w:tab w:val="right" w:leader="dot" w:pos="8787"/>
          <w:tab w:val="right" w:pos="9638"/>
        </w:tabs>
        <w:spacing w:after="120"/>
        <w:ind w:left="1134" w:hanging="1134"/>
      </w:pPr>
      <w:r>
        <w:rPr>
          <w:lang w:val="fr-FR"/>
        </w:rPr>
        <w:tab/>
        <w:t>9.</w:t>
      </w:r>
      <w:r>
        <w:rPr>
          <w:lang w:val="fr-FR"/>
        </w:rPr>
        <w:tab/>
      </w:r>
      <w:r w:rsidRPr="005F0655">
        <w:rPr>
          <w:lang w:val="fr-FR"/>
        </w:rPr>
        <w:t>Vérification de la conformité de la production par des contrôles inopinés</w:t>
      </w:r>
      <w:r>
        <w:rPr>
          <w:lang w:val="fr-FR"/>
        </w:rPr>
        <w:tab/>
      </w:r>
      <w:r>
        <w:rPr>
          <w:lang w:val="fr-FR"/>
        </w:rPr>
        <w:tab/>
      </w:r>
    </w:p>
    <w:p w:rsidR="00D31871" w:rsidRPr="00B911D2" w:rsidRDefault="00D31871" w:rsidP="00482FD9">
      <w:pPr>
        <w:pStyle w:val="HChG"/>
        <w:rPr>
          <w:lang w:val="fr-FR"/>
        </w:rPr>
      </w:pPr>
      <w:r>
        <w:br w:type="page"/>
      </w:r>
      <w:r w:rsidR="00494725">
        <w:lastRenderedPageBreak/>
        <w:tab/>
      </w:r>
      <w:r w:rsidR="00494725">
        <w:tab/>
      </w:r>
      <w:r w:rsidR="00482FD9">
        <w:t>1.</w:t>
      </w:r>
      <w:r w:rsidR="00482FD9">
        <w:tab/>
      </w:r>
      <w:r w:rsidR="00482FD9">
        <w:tab/>
      </w:r>
      <w:r w:rsidR="00482FD9" w:rsidRPr="00482FD9">
        <w:t>Domaine</w:t>
      </w:r>
      <w:r w:rsidR="00482FD9">
        <w:t xml:space="preserve"> d’application</w:t>
      </w:r>
    </w:p>
    <w:p w:rsidR="00D31871" w:rsidRPr="00B911D2" w:rsidRDefault="00D31871" w:rsidP="00D31871">
      <w:pPr>
        <w:pStyle w:val="SingleTxtG"/>
        <w:ind w:left="2268" w:hanging="1134"/>
        <w:rPr>
          <w:lang w:val="fr-FR"/>
        </w:rPr>
      </w:pPr>
      <w:r>
        <w:rPr>
          <w:lang w:val="fr-FR"/>
        </w:rPr>
        <w:tab/>
      </w:r>
      <w:r w:rsidRPr="00B911D2">
        <w:rPr>
          <w:lang w:val="fr-FR"/>
        </w:rPr>
        <w:t>Le présent Règlement s</w:t>
      </w:r>
      <w:r>
        <w:rPr>
          <w:lang w:val="fr-FR"/>
        </w:rPr>
        <w:t>’</w:t>
      </w:r>
      <w:r w:rsidRPr="00B911D2">
        <w:rPr>
          <w:lang w:val="fr-FR"/>
        </w:rPr>
        <w:t>applique aux sources lumineuses à incandescence visées à l</w:t>
      </w:r>
      <w:r>
        <w:rPr>
          <w:lang w:val="fr-FR"/>
        </w:rPr>
        <w:t>’</w:t>
      </w:r>
      <w:r w:rsidRPr="00B911D2">
        <w:rPr>
          <w:lang w:val="fr-FR"/>
        </w:rPr>
        <w:t>annexe 1 et destinées à être utilisées dans les feux homologués des véhicules à moteur et de leurs remorques.</w:t>
      </w:r>
    </w:p>
    <w:p w:rsidR="00D31871" w:rsidRPr="00D42884" w:rsidRDefault="00D31871" w:rsidP="00D31871">
      <w:pPr>
        <w:pStyle w:val="HChG"/>
        <w:rPr>
          <w:lang w:val="fr-FR"/>
        </w:rPr>
      </w:pPr>
      <w:r>
        <w:rPr>
          <w:lang w:val="fr-FR"/>
        </w:rPr>
        <w:tab/>
      </w:r>
      <w:r>
        <w:rPr>
          <w:lang w:val="fr-FR"/>
        </w:rPr>
        <w:tab/>
      </w:r>
      <w:r w:rsidRPr="00D42884">
        <w:rPr>
          <w:lang w:val="fr-FR"/>
        </w:rPr>
        <w:t>2.</w:t>
      </w:r>
      <w:r w:rsidRPr="00D42884">
        <w:rPr>
          <w:lang w:val="fr-FR"/>
        </w:rPr>
        <w:tab/>
      </w:r>
      <w:r>
        <w:rPr>
          <w:lang w:val="fr-FR"/>
        </w:rPr>
        <w:tab/>
      </w:r>
      <w:r w:rsidRPr="00D42884">
        <w:rPr>
          <w:lang w:val="fr-FR"/>
        </w:rPr>
        <w:t xml:space="preserve">Prescriptions administratives </w:t>
      </w:r>
    </w:p>
    <w:p w:rsidR="00D31871" w:rsidRDefault="00D31871" w:rsidP="00EB0DF5">
      <w:pPr>
        <w:pStyle w:val="SingleTxtG"/>
        <w:keepNext/>
        <w:ind w:left="2268" w:hanging="1134"/>
        <w:rPr>
          <w:lang w:val="fr-FR"/>
        </w:rPr>
      </w:pPr>
      <w:r>
        <w:rPr>
          <w:lang w:val="fr-FR"/>
        </w:rPr>
        <w:t>2.1</w:t>
      </w:r>
      <w:r>
        <w:rPr>
          <w:lang w:val="fr-FR"/>
        </w:rPr>
        <w:tab/>
      </w:r>
      <w:r>
        <w:rPr>
          <w:lang w:val="fr-FR"/>
        </w:rPr>
        <w:tab/>
      </w:r>
      <w:r w:rsidRPr="00B911D2">
        <w:rPr>
          <w:lang w:val="fr-FR"/>
        </w:rPr>
        <w:t>Définitions</w:t>
      </w:r>
    </w:p>
    <w:p w:rsidR="00D31871" w:rsidRPr="00B911D2" w:rsidRDefault="00D31871" w:rsidP="00EB0DF5">
      <w:pPr>
        <w:pStyle w:val="SingleTxtG"/>
        <w:keepNext/>
        <w:ind w:left="2268" w:hanging="1134"/>
        <w:rPr>
          <w:lang w:val="fr-FR"/>
        </w:rPr>
      </w:pPr>
      <w:r>
        <w:rPr>
          <w:lang w:val="fr-FR"/>
        </w:rPr>
        <w:t>2.1.1</w:t>
      </w:r>
      <w:r w:rsidRPr="00B911D2">
        <w:rPr>
          <w:lang w:val="fr-FR"/>
        </w:rPr>
        <w:tab/>
        <w:t>Définition de la notion de “</w:t>
      </w:r>
      <w:r w:rsidRPr="001B7871">
        <w:rPr>
          <w:i/>
          <w:lang w:val="fr-FR"/>
        </w:rPr>
        <w:t>catégorie</w:t>
      </w:r>
      <w:r w:rsidRPr="00B911D2">
        <w:rPr>
          <w:lang w:val="fr-FR"/>
        </w:rPr>
        <w:t>”</w:t>
      </w:r>
    </w:p>
    <w:p w:rsidR="00D31871" w:rsidRPr="00B911D2" w:rsidRDefault="00235E5E" w:rsidP="00EB0DF5">
      <w:pPr>
        <w:pStyle w:val="SingleTxtG"/>
        <w:keepNext/>
        <w:ind w:left="2268" w:hanging="1134"/>
        <w:rPr>
          <w:lang w:val="fr-FR"/>
        </w:rPr>
      </w:pPr>
      <w:r>
        <w:rPr>
          <w:lang w:val="fr-FR"/>
        </w:rPr>
        <w:tab/>
      </w:r>
      <w:r w:rsidR="00D31871" w:rsidRPr="00B911D2">
        <w:rPr>
          <w:lang w:val="fr-FR"/>
        </w:rPr>
        <w:t>Le terme “catégorie” est employé dans le présent Règlement pour décrire des sources lumineuses à incandescence normalisées de conceptions fondamentales différentes. À chaque catégorie correspond une désignation spécifique telle que, par exemple : “H4”, “P21W”, “T4W”</w:t>
      </w:r>
      <w:r w:rsidR="00D31871" w:rsidRPr="00B911D2">
        <w:rPr>
          <w:bCs/>
          <w:lang w:val="fr-FR"/>
        </w:rPr>
        <w:t>, “PY21W”</w:t>
      </w:r>
      <w:r w:rsidR="001B7871">
        <w:rPr>
          <w:bCs/>
          <w:lang w:val="fr-FR"/>
        </w:rPr>
        <w:t xml:space="preserve"> </w:t>
      </w:r>
      <w:r w:rsidR="00D31871" w:rsidRPr="00B911D2">
        <w:rPr>
          <w:bCs/>
          <w:lang w:val="fr-FR"/>
        </w:rPr>
        <w:t>ou “RR10W”</w:t>
      </w:r>
      <w:r w:rsidR="00D31871" w:rsidRPr="00B911D2">
        <w:rPr>
          <w:lang w:val="fr-FR"/>
        </w:rPr>
        <w:t>.</w:t>
      </w:r>
    </w:p>
    <w:p w:rsidR="00D31871" w:rsidRPr="00B911D2" w:rsidRDefault="00D31871" w:rsidP="00EB0DF5">
      <w:pPr>
        <w:pStyle w:val="SingleTxtG"/>
        <w:keepNext/>
        <w:ind w:left="2268" w:hanging="1134"/>
        <w:rPr>
          <w:lang w:val="fr-FR"/>
        </w:rPr>
      </w:pPr>
      <w:r>
        <w:rPr>
          <w:lang w:val="fr-FR"/>
        </w:rPr>
        <w:t>2.1.2</w:t>
      </w:r>
      <w:r w:rsidRPr="00B911D2">
        <w:rPr>
          <w:lang w:val="fr-FR"/>
        </w:rPr>
        <w:tab/>
        <w:t>Définition de la notion de “</w:t>
      </w:r>
      <w:r w:rsidRPr="00B911D2">
        <w:rPr>
          <w:i/>
          <w:lang w:val="fr-FR"/>
        </w:rPr>
        <w:t>type</w:t>
      </w:r>
      <w:r w:rsidRPr="00B911D2">
        <w:rPr>
          <w:lang w:val="fr-FR"/>
        </w:rPr>
        <w:t>”</w:t>
      </w:r>
    </w:p>
    <w:p w:rsidR="00D31871" w:rsidRPr="00B911D2" w:rsidRDefault="00D31871" w:rsidP="00EB0DF5">
      <w:pPr>
        <w:pStyle w:val="SingleTxtG"/>
        <w:keepNext/>
        <w:ind w:left="2268" w:hanging="1134"/>
        <w:rPr>
          <w:lang w:val="fr-FR"/>
        </w:rPr>
      </w:pPr>
      <w:r>
        <w:rPr>
          <w:lang w:val="fr-FR"/>
        </w:rPr>
        <w:tab/>
      </w:r>
      <w:r w:rsidRPr="00B911D2">
        <w:rPr>
          <w:lang w:val="fr-FR"/>
        </w:rPr>
        <w:t>Par sources lumineuses à incandescence de “types” différents</w:t>
      </w:r>
      <w:r w:rsidRPr="009E2890">
        <w:rPr>
          <w:rStyle w:val="FootnoteReference"/>
        </w:rPr>
        <w:footnoteReference w:id="4"/>
      </w:r>
      <w:r w:rsidRPr="00B911D2">
        <w:rPr>
          <w:bCs/>
          <w:lang w:val="fr-FR"/>
        </w:rPr>
        <w:t xml:space="preserve"> </w:t>
      </w:r>
      <w:r w:rsidRPr="00B911D2">
        <w:rPr>
          <w:lang w:val="fr-FR"/>
        </w:rPr>
        <w:t>on entend des sources lumineuses</w:t>
      </w:r>
      <w:r w:rsidRPr="00B911D2">
        <w:rPr>
          <w:b/>
          <w:lang w:val="fr-FR"/>
        </w:rPr>
        <w:t xml:space="preserve"> </w:t>
      </w:r>
      <w:r w:rsidRPr="00B911D2">
        <w:rPr>
          <w:lang w:val="fr-FR"/>
        </w:rPr>
        <w:t>de même catégorie qui présentent entre elles des différences essentielles pouvant notamment porter sur :</w:t>
      </w:r>
    </w:p>
    <w:p w:rsidR="00D31871" w:rsidRDefault="00D31871" w:rsidP="00D31871">
      <w:pPr>
        <w:pStyle w:val="SingleTxtG"/>
        <w:ind w:left="2268" w:hanging="1134"/>
        <w:rPr>
          <w:lang w:val="fr-FR"/>
        </w:rPr>
      </w:pPr>
      <w:r>
        <w:rPr>
          <w:lang w:val="fr-FR"/>
        </w:rPr>
        <w:t>2.1.2.1</w:t>
      </w:r>
      <w:r>
        <w:rPr>
          <w:lang w:val="fr-FR"/>
        </w:rPr>
        <w:tab/>
      </w:r>
      <w:r w:rsidRPr="00B911D2">
        <w:rPr>
          <w:lang w:val="fr-FR"/>
        </w:rPr>
        <w:tab/>
        <w:t>La marque de fabrique ou de commerce (des sources lumineuses à incandescence portant la même marque de fabrique ou de commerce, mais produites par des fabricants différents, sont considérées comme étant de types différents. Des sources lumineuses à incandescence produites par le même fabricant, ne différant entre elles que par la marque de fabrique ou de commerce, peuvent être considérées comme étant du même type)</w:t>
      </w:r>
      <w:r>
        <w:rPr>
          <w:lang w:val="fr-FR"/>
        </w:rPr>
        <w:t> </w:t>
      </w:r>
      <w:r w:rsidRPr="00B911D2">
        <w:rPr>
          <w:lang w:val="fr-FR"/>
        </w:rPr>
        <w:t xml:space="preserve">; </w:t>
      </w:r>
    </w:p>
    <w:p w:rsidR="00D31871" w:rsidRDefault="00D31871" w:rsidP="00D31871">
      <w:pPr>
        <w:pStyle w:val="SingleTxtG"/>
        <w:ind w:left="2268" w:hanging="1134"/>
        <w:rPr>
          <w:lang w:val="fr-FR"/>
        </w:rPr>
      </w:pPr>
      <w:r>
        <w:rPr>
          <w:lang w:val="fr-FR"/>
        </w:rPr>
        <w:t>2.1.2.2</w:t>
      </w:r>
      <w:r w:rsidRPr="00B911D2">
        <w:rPr>
          <w:lang w:val="fr-FR"/>
        </w:rPr>
        <w:tab/>
        <w:t>La conception de l</w:t>
      </w:r>
      <w:r>
        <w:rPr>
          <w:lang w:val="fr-FR"/>
        </w:rPr>
        <w:t>’</w:t>
      </w:r>
      <w:r w:rsidRPr="00B911D2">
        <w:rPr>
          <w:lang w:val="fr-FR"/>
        </w:rPr>
        <w:t>ampoule et/ou du culot, pour autant que ces différences affectent les résultats optiques</w:t>
      </w:r>
      <w:r>
        <w:rPr>
          <w:lang w:val="fr-FR"/>
        </w:rPr>
        <w:t> ;</w:t>
      </w:r>
    </w:p>
    <w:p w:rsidR="00D31871" w:rsidRDefault="00D31871" w:rsidP="00D31871">
      <w:pPr>
        <w:pStyle w:val="SingleTxtG"/>
        <w:ind w:left="2268" w:hanging="1134"/>
        <w:rPr>
          <w:lang w:val="fr-FR"/>
        </w:rPr>
      </w:pPr>
      <w:r w:rsidRPr="00B911D2">
        <w:rPr>
          <w:lang w:val="fr-FR"/>
        </w:rPr>
        <w:t>2.1.2.3</w:t>
      </w:r>
      <w:r w:rsidRPr="00B911D2">
        <w:rPr>
          <w:lang w:val="fr-FR"/>
        </w:rPr>
        <w:tab/>
        <w:t>La tension nominale</w:t>
      </w:r>
      <w:r>
        <w:rPr>
          <w:lang w:val="fr-FR"/>
        </w:rPr>
        <w:t> </w:t>
      </w:r>
      <w:r w:rsidRPr="00B911D2">
        <w:rPr>
          <w:lang w:val="fr-FR"/>
        </w:rPr>
        <w:t>;</w:t>
      </w:r>
    </w:p>
    <w:p w:rsidR="00D31871" w:rsidRDefault="00D31871" w:rsidP="00D31871">
      <w:pPr>
        <w:pStyle w:val="SingleTxtG"/>
        <w:ind w:left="2268" w:hanging="1134"/>
        <w:rPr>
          <w:lang w:val="fr-FR"/>
        </w:rPr>
      </w:pPr>
      <w:r w:rsidRPr="00B911D2">
        <w:rPr>
          <w:lang w:val="fr-FR"/>
        </w:rPr>
        <w:t>2.1.2.4</w:t>
      </w:r>
      <w:r w:rsidRPr="00B911D2">
        <w:rPr>
          <w:lang w:val="fr-FR"/>
        </w:rPr>
        <w:tab/>
        <w:t>Le principe de fonctionnement à halogène.</w:t>
      </w:r>
    </w:p>
    <w:p w:rsidR="00D31871" w:rsidRDefault="00D31871" w:rsidP="00D31871">
      <w:pPr>
        <w:pStyle w:val="SingleTxtG"/>
        <w:ind w:left="2268" w:hanging="1134"/>
        <w:rPr>
          <w:lang w:val="fr-FR"/>
        </w:rPr>
      </w:pPr>
      <w:r>
        <w:rPr>
          <w:lang w:val="fr-FR"/>
        </w:rPr>
        <w:t>2.2</w:t>
      </w:r>
      <w:r w:rsidRPr="00B911D2">
        <w:rPr>
          <w:lang w:val="fr-FR"/>
        </w:rPr>
        <w:tab/>
        <w:t>Demande d</w:t>
      </w:r>
      <w:r>
        <w:rPr>
          <w:lang w:val="fr-FR"/>
        </w:rPr>
        <w:t>’</w:t>
      </w:r>
      <w:r w:rsidRPr="00B911D2">
        <w:rPr>
          <w:lang w:val="fr-FR"/>
        </w:rPr>
        <w:t xml:space="preserve">homologation </w:t>
      </w:r>
    </w:p>
    <w:p w:rsidR="00D31871" w:rsidRDefault="00D31871" w:rsidP="00D31871">
      <w:pPr>
        <w:pStyle w:val="SingleTxtG"/>
        <w:ind w:left="2268" w:hanging="1134"/>
        <w:rPr>
          <w:lang w:val="fr-FR"/>
        </w:rPr>
      </w:pPr>
      <w:r>
        <w:rPr>
          <w:lang w:val="fr-FR"/>
        </w:rPr>
        <w:t>2.2.1</w:t>
      </w:r>
      <w:r w:rsidRPr="00B911D2">
        <w:rPr>
          <w:lang w:val="fr-FR"/>
        </w:rPr>
        <w:tab/>
        <w:t>La demande d</w:t>
      </w:r>
      <w:r>
        <w:rPr>
          <w:lang w:val="fr-FR"/>
        </w:rPr>
        <w:t>’</w:t>
      </w:r>
      <w:r w:rsidRPr="00B911D2">
        <w:rPr>
          <w:lang w:val="fr-FR"/>
        </w:rPr>
        <w:t>homologation doit être présentée par le propriétaire de la marque de fabrique ou de commerce ou son représentant dûment accrédité.</w:t>
      </w:r>
    </w:p>
    <w:p w:rsidR="00D31871" w:rsidRDefault="00D31871" w:rsidP="00D31871">
      <w:pPr>
        <w:pStyle w:val="SingleTxtG"/>
        <w:ind w:left="2268" w:hanging="1134"/>
        <w:rPr>
          <w:lang w:val="fr-FR"/>
        </w:rPr>
      </w:pPr>
      <w:r>
        <w:rPr>
          <w:lang w:val="fr-FR"/>
        </w:rPr>
        <w:t>2.2.2</w:t>
      </w:r>
      <w:r w:rsidRPr="00B911D2">
        <w:rPr>
          <w:lang w:val="fr-FR"/>
        </w:rPr>
        <w:tab/>
        <w:t>Toute demande d</w:t>
      </w:r>
      <w:r>
        <w:rPr>
          <w:lang w:val="fr-FR"/>
        </w:rPr>
        <w:t>’</w:t>
      </w:r>
      <w:r w:rsidRPr="00B911D2">
        <w:rPr>
          <w:lang w:val="fr-FR"/>
        </w:rPr>
        <w:t xml:space="preserve">homologation doit être accompagnée (voir aussi par. 2.4.2) : </w:t>
      </w:r>
    </w:p>
    <w:p w:rsidR="00D31871" w:rsidRDefault="00D31871" w:rsidP="00D31871">
      <w:pPr>
        <w:pStyle w:val="SingleTxtG"/>
        <w:ind w:left="2268" w:hanging="1134"/>
        <w:rPr>
          <w:lang w:val="fr-FR"/>
        </w:rPr>
      </w:pPr>
      <w:r>
        <w:rPr>
          <w:lang w:val="fr-FR"/>
        </w:rPr>
        <w:t>2.2.2.1</w:t>
      </w:r>
      <w:r>
        <w:rPr>
          <w:lang w:val="fr-FR"/>
        </w:rPr>
        <w:tab/>
      </w:r>
      <w:r w:rsidRPr="00B911D2">
        <w:rPr>
          <w:lang w:val="fr-FR"/>
        </w:rPr>
        <w:t>De dessins, en trois exemplaires, suffisamment détaillés pour permettre l</w:t>
      </w:r>
      <w:r>
        <w:rPr>
          <w:lang w:val="fr-FR"/>
        </w:rPr>
        <w:t>’</w:t>
      </w:r>
      <w:r w:rsidRPr="00B911D2">
        <w:rPr>
          <w:lang w:val="fr-FR"/>
        </w:rPr>
        <w:t>identification du type</w:t>
      </w:r>
      <w:r>
        <w:rPr>
          <w:lang w:val="fr-FR"/>
        </w:rPr>
        <w:t> </w:t>
      </w:r>
      <w:r w:rsidRPr="00B911D2">
        <w:rPr>
          <w:lang w:val="fr-FR"/>
        </w:rPr>
        <w:t>;</w:t>
      </w:r>
    </w:p>
    <w:p w:rsidR="00D31871" w:rsidRDefault="00D31871" w:rsidP="00D31871">
      <w:pPr>
        <w:pStyle w:val="SingleTxtG"/>
        <w:ind w:left="2268" w:hanging="1134"/>
        <w:rPr>
          <w:lang w:val="fr-FR"/>
        </w:rPr>
      </w:pPr>
      <w:r w:rsidRPr="00B911D2">
        <w:rPr>
          <w:lang w:val="fr-FR"/>
        </w:rPr>
        <w:t>2.2.2.2</w:t>
      </w:r>
      <w:r w:rsidRPr="00B911D2">
        <w:rPr>
          <w:lang w:val="fr-FR"/>
        </w:rPr>
        <w:tab/>
        <w:t>D</w:t>
      </w:r>
      <w:r>
        <w:rPr>
          <w:lang w:val="fr-FR"/>
        </w:rPr>
        <w:t>’</w:t>
      </w:r>
      <w:r w:rsidRPr="00B911D2">
        <w:rPr>
          <w:lang w:val="fr-FR"/>
        </w:rPr>
        <w:t>une description technique succincte qui doit inclure la forme du filament s</w:t>
      </w:r>
      <w:r>
        <w:rPr>
          <w:lang w:val="fr-FR"/>
        </w:rPr>
        <w:t>’</w:t>
      </w:r>
      <w:r w:rsidRPr="00B911D2">
        <w:rPr>
          <w:lang w:val="fr-FR"/>
        </w:rPr>
        <w:t>il est indiqué sur la feuille de caractéristiques correspondante que le filament peut être droit ou en V</w:t>
      </w:r>
      <w:r>
        <w:rPr>
          <w:lang w:val="fr-FR"/>
        </w:rPr>
        <w:t> ;</w:t>
      </w:r>
    </w:p>
    <w:p w:rsidR="00D31871" w:rsidRDefault="00D31871" w:rsidP="00D31871">
      <w:pPr>
        <w:pStyle w:val="SingleTxtG"/>
        <w:ind w:left="2268" w:hanging="1134"/>
        <w:rPr>
          <w:lang w:val="fr-FR"/>
        </w:rPr>
      </w:pPr>
      <w:r w:rsidRPr="00B911D2">
        <w:rPr>
          <w:lang w:val="fr-FR"/>
        </w:rPr>
        <w:t>2.2.2.3</w:t>
      </w:r>
      <w:r w:rsidRPr="00B911D2">
        <w:rPr>
          <w:lang w:val="fr-FR"/>
        </w:rPr>
        <w:tab/>
        <w:t>De cinq échantillons de chaque couleur pour laquelle l</w:t>
      </w:r>
      <w:r>
        <w:rPr>
          <w:lang w:val="fr-FR"/>
        </w:rPr>
        <w:t>’</w:t>
      </w:r>
      <w:r w:rsidRPr="00B911D2">
        <w:rPr>
          <w:lang w:val="fr-FR"/>
        </w:rPr>
        <w:t>homologation a été demandée</w:t>
      </w:r>
      <w:r>
        <w:rPr>
          <w:lang w:val="fr-FR"/>
        </w:rPr>
        <w:t>.</w:t>
      </w:r>
    </w:p>
    <w:p w:rsidR="00D31871" w:rsidRDefault="00D31871" w:rsidP="00D31871">
      <w:pPr>
        <w:pStyle w:val="SingleTxtG"/>
        <w:ind w:left="2268" w:hanging="1134"/>
        <w:rPr>
          <w:lang w:val="fr-FR"/>
        </w:rPr>
      </w:pPr>
      <w:r>
        <w:rPr>
          <w:lang w:val="fr-FR"/>
        </w:rPr>
        <w:t>2.2.3</w:t>
      </w:r>
      <w:r>
        <w:rPr>
          <w:lang w:val="fr-FR"/>
        </w:rPr>
        <w:tab/>
      </w:r>
      <w:r w:rsidRPr="00B911D2">
        <w:rPr>
          <w:lang w:val="fr-FR"/>
        </w:rPr>
        <w:t>Lorsqu</w:t>
      </w:r>
      <w:r>
        <w:rPr>
          <w:lang w:val="fr-FR"/>
        </w:rPr>
        <w:t>’</w:t>
      </w:r>
      <w:r w:rsidRPr="00B911D2">
        <w:rPr>
          <w:lang w:val="fr-FR"/>
        </w:rPr>
        <w:t>il s</w:t>
      </w:r>
      <w:r>
        <w:rPr>
          <w:lang w:val="fr-FR"/>
        </w:rPr>
        <w:t>’</w:t>
      </w:r>
      <w:r w:rsidRPr="00B911D2">
        <w:rPr>
          <w:lang w:val="fr-FR"/>
        </w:rPr>
        <w:t>agit d</w:t>
      </w:r>
      <w:r>
        <w:rPr>
          <w:lang w:val="fr-FR"/>
        </w:rPr>
        <w:t>’</w:t>
      </w:r>
      <w:r w:rsidRPr="00B911D2">
        <w:rPr>
          <w:lang w:val="fr-FR"/>
        </w:rPr>
        <w:t>un type de source lumineuse à incandescence ne différant que par la marque de fabrique ou de commerce d</w:t>
      </w:r>
      <w:r>
        <w:rPr>
          <w:lang w:val="fr-FR"/>
        </w:rPr>
        <w:t>’</w:t>
      </w:r>
      <w:r w:rsidRPr="00B911D2">
        <w:rPr>
          <w:lang w:val="fr-FR"/>
        </w:rPr>
        <w:t>un type ayant été antérieurement homologué, il suffit de présenter :</w:t>
      </w:r>
    </w:p>
    <w:p w:rsidR="00D31871" w:rsidRDefault="00D31871" w:rsidP="00D31871">
      <w:pPr>
        <w:pStyle w:val="SingleTxtG"/>
        <w:ind w:left="2268" w:hanging="1134"/>
        <w:rPr>
          <w:lang w:val="fr-FR"/>
        </w:rPr>
      </w:pPr>
      <w:r w:rsidRPr="00B911D2">
        <w:rPr>
          <w:lang w:val="fr-FR"/>
        </w:rPr>
        <w:t>2.2.3.1</w:t>
      </w:r>
      <w:r w:rsidRPr="00B911D2">
        <w:rPr>
          <w:lang w:val="fr-FR"/>
        </w:rPr>
        <w:tab/>
        <w:t>Une déclaration du fabricant de la source lumineuse précisant que le type soumis est identique (sauf quant à la marque de fabrique ou de commerce) et provient du même fabricant que le type déjà homologué, ce dernier étant identifié par son code d</w:t>
      </w:r>
      <w:r>
        <w:rPr>
          <w:lang w:val="fr-FR"/>
        </w:rPr>
        <w:t>’</w:t>
      </w:r>
      <w:r w:rsidRPr="00B911D2">
        <w:rPr>
          <w:lang w:val="fr-FR"/>
        </w:rPr>
        <w:t>homologation</w:t>
      </w:r>
      <w:r>
        <w:rPr>
          <w:lang w:val="fr-FR"/>
        </w:rPr>
        <w:t> ;</w:t>
      </w:r>
    </w:p>
    <w:p w:rsidR="00D31871" w:rsidRDefault="00D31871" w:rsidP="00D31871">
      <w:pPr>
        <w:pStyle w:val="SingleTxtG"/>
        <w:ind w:left="2268" w:hanging="1134"/>
        <w:rPr>
          <w:lang w:val="fr-FR"/>
        </w:rPr>
      </w:pPr>
      <w:r w:rsidRPr="00B911D2">
        <w:rPr>
          <w:lang w:val="fr-FR"/>
        </w:rPr>
        <w:t>2.2.3.2</w:t>
      </w:r>
      <w:r w:rsidRPr="00B911D2">
        <w:rPr>
          <w:lang w:val="fr-FR"/>
        </w:rPr>
        <w:tab/>
        <w:t>Deux échantillons portant la nouvelle marque de fabrique ou de commerce.</w:t>
      </w:r>
    </w:p>
    <w:p w:rsidR="00D31871" w:rsidRDefault="00D31871" w:rsidP="00D31871">
      <w:pPr>
        <w:pStyle w:val="SingleTxtG"/>
        <w:ind w:left="2268" w:hanging="1134"/>
        <w:rPr>
          <w:lang w:val="fr-FR"/>
        </w:rPr>
      </w:pPr>
      <w:r>
        <w:rPr>
          <w:lang w:val="fr-FR"/>
        </w:rPr>
        <w:t>2.2.4</w:t>
      </w:r>
      <w:r w:rsidRPr="00B911D2">
        <w:rPr>
          <w:lang w:val="fr-FR"/>
        </w:rPr>
        <w:tab/>
        <w:t>L</w:t>
      </w:r>
      <w:r>
        <w:rPr>
          <w:lang w:val="fr-FR"/>
        </w:rPr>
        <w:t>’</w:t>
      </w:r>
      <w:r w:rsidRPr="00B911D2">
        <w:rPr>
          <w:lang w:val="fr-FR"/>
        </w:rPr>
        <w:t>autorité d</w:t>
      </w:r>
      <w:r>
        <w:rPr>
          <w:lang w:val="fr-FR"/>
        </w:rPr>
        <w:t>’</w:t>
      </w:r>
      <w:r w:rsidRPr="00B911D2">
        <w:rPr>
          <w:lang w:val="fr-FR"/>
        </w:rPr>
        <w:t>homologation de type doit vérifier qu</w:t>
      </w:r>
      <w:r>
        <w:rPr>
          <w:lang w:val="fr-FR"/>
        </w:rPr>
        <w:t>’</w:t>
      </w:r>
      <w:r w:rsidRPr="00B911D2">
        <w:rPr>
          <w:lang w:val="fr-FR"/>
        </w:rPr>
        <w:t>il existe des arrangements satisfaisants pour assurer un contrôle efficace de la conformité de la production avant d</w:t>
      </w:r>
      <w:r>
        <w:rPr>
          <w:lang w:val="fr-FR"/>
        </w:rPr>
        <w:t>’</w:t>
      </w:r>
      <w:r w:rsidRPr="00B911D2">
        <w:rPr>
          <w:lang w:val="fr-FR"/>
        </w:rPr>
        <w:t>accorder l</w:t>
      </w:r>
      <w:r>
        <w:rPr>
          <w:lang w:val="fr-FR"/>
        </w:rPr>
        <w:t>’</w:t>
      </w:r>
      <w:r w:rsidRPr="00B911D2">
        <w:rPr>
          <w:lang w:val="fr-FR"/>
        </w:rPr>
        <w:t>homologation de type.</w:t>
      </w:r>
    </w:p>
    <w:p w:rsidR="00D31871" w:rsidRDefault="00D31871" w:rsidP="00EB0DF5">
      <w:pPr>
        <w:pStyle w:val="SingleTxtG"/>
        <w:keepNext/>
        <w:ind w:left="2268" w:hanging="1134"/>
        <w:rPr>
          <w:lang w:val="fr-FR"/>
        </w:rPr>
      </w:pPr>
      <w:r>
        <w:rPr>
          <w:lang w:val="fr-FR"/>
        </w:rPr>
        <w:t>2.3</w:t>
      </w:r>
      <w:r w:rsidRPr="00B911D2">
        <w:rPr>
          <w:lang w:val="fr-FR"/>
        </w:rPr>
        <w:tab/>
        <w:t>Inscriptions</w:t>
      </w:r>
    </w:p>
    <w:p w:rsidR="00D31871" w:rsidRDefault="00D31871" w:rsidP="00EB0DF5">
      <w:pPr>
        <w:pStyle w:val="SingleTxtG"/>
        <w:keepNext/>
        <w:ind w:left="2268" w:hanging="1134"/>
        <w:rPr>
          <w:lang w:val="fr-FR"/>
        </w:rPr>
      </w:pPr>
      <w:r>
        <w:rPr>
          <w:lang w:val="fr-FR"/>
        </w:rPr>
        <w:t>2.3.1</w:t>
      </w:r>
      <w:r>
        <w:rPr>
          <w:lang w:val="fr-FR"/>
        </w:rPr>
        <w:tab/>
      </w:r>
      <w:r w:rsidRPr="00B911D2">
        <w:rPr>
          <w:lang w:val="fr-FR"/>
        </w:rPr>
        <w:t>Les sources lumineuses à incandescence présentées à l</w:t>
      </w:r>
      <w:r>
        <w:rPr>
          <w:lang w:val="fr-FR"/>
        </w:rPr>
        <w:t>’</w:t>
      </w:r>
      <w:r w:rsidRPr="00B911D2">
        <w:rPr>
          <w:lang w:val="fr-FR"/>
        </w:rPr>
        <w:t>homologation doivent porter sur le culot ou sur l</w:t>
      </w:r>
      <w:r>
        <w:rPr>
          <w:lang w:val="fr-FR"/>
        </w:rPr>
        <w:t>’</w:t>
      </w:r>
      <w:r w:rsidRPr="00B911D2">
        <w:rPr>
          <w:lang w:val="fr-FR"/>
        </w:rPr>
        <w:t>ampoule</w:t>
      </w:r>
      <w:r w:rsidRPr="009E2890">
        <w:rPr>
          <w:rStyle w:val="FootnoteReference"/>
        </w:rPr>
        <w:footnoteReference w:id="5"/>
      </w:r>
      <w:r w:rsidRPr="00B911D2">
        <w:rPr>
          <w:lang w:val="fr-FR"/>
        </w:rPr>
        <w:t> :</w:t>
      </w:r>
    </w:p>
    <w:p w:rsidR="00D31871" w:rsidRDefault="00D31871" w:rsidP="00EB0DF5">
      <w:pPr>
        <w:pStyle w:val="SingleTxtG"/>
        <w:keepNext/>
        <w:ind w:left="2268" w:hanging="1134"/>
        <w:rPr>
          <w:lang w:val="fr-FR"/>
        </w:rPr>
      </w:pPr>
      <w:r w:rsidRPr="00B911D2">
        <w:rPr>
          <w:lang w:val="fr-FR"/>
        </w:rPr>
        <w:t>2.3.1.1</w:t>
      </w:r>
      <w:r w:rsidRPr="00B911D2">
        <w:rPr>
          <w:lang w:val="fr-FR"/>
        </w:rPr>
        <w:tab/>
        <w:t>La marque de fabrique ou de commerce du demandeur</w:t>
      </w:r>
      <w:r>
        <w:rPr>
          <w:lang w:val="fr-FR"/>
        </w:rPr>
        <w:t> ;</w:t>
      </w:r>
    </w:p>
    <w:p w:rsidR="00D31871" w:rsidRDefault="00D31871" w:rsidP="00D31871">
      <w:pPr>
        <w:pStyle w:val="SingleTxtG"/>
        <w:ind w:left="2268" w:hanging="1134"/>
        <w:rPr>
          <w:lang w:val="fr-FR"/>
        </w:rPr>
      </w:pPr>
      <w:r w:rsidRPr="00B911D2">
        <w:rPr>
          <w:lang w:val="fr-FR"/>
        </w:rPr>
        <w:t>2.3.1.2</w:t>
      </w:r>
      <w:r w:rsidRPr="00B911D2">
        <w:rPr>
          <w:lang w:val="fr-FR"/>
        </w:rPr>
        <w:tab/>
        <w:t>La tension nominale, sauf les sources lumineuses à incandescence normalisées uniquement en 12</w:t>
      </w:r>
      <w:r>
        <w:rPr>
          <w:lang w:val="fr-FR"/>
        </w:rPr>
        <w:t> </w:t>
      </w:r>
      <w:r w:rsidRPr="00B911D2">
        <w:rPr>
          <w:lang w:val="fr-FR"/>
        </w:rPr>
        <w:t>V ou dont l</w:t>
      </w:r>
      <w:r>
        <w:rPr>
          <w:lang w:val="fr-FR"/>
        </w:rPr>
        <w:t>’</w:t>
      </w:r>
      <w:r w:rsidRPr="00B911D2">
        <w:rPr>
          <w:lang w:val="fr-FR"/>
        </w:rPr>
        <w:t>ampoule a un diamètre maximal autorisé de 7,5 mm</w:t>
      </w:r>
      <w:r>
        <w:rPr>
          <w:lang w:val="fr-FR"/>
        </w:rPr>
        <w:t> ;</w:t>
      </w:r>
    </w:p>
    <w:p w:rsidR="00D31871" w:rsidRDefault="00D31871" w:rsidP="00D31871">
      <w:pPr>
        <w:pStyle w:val="SingleTxtG"/>
        <w:ind w:left="2268" w:hanging="1134"/>
        <w:rPr>
          <w:lang w:val="fr-FR"/>
        </w:rPr>
      </w:pPr>
      <w:r w:rsidRPr="00B911D2">
        <w:rPr>
          <w:lang w:val="fr-FR"/>
        </w:rPr>
        <w:t>2.3.1.3</w:t>
      </w:r>
      <w:r w:rsidRPr="00B911D2">
        <w:rPr>
          <w:lang w:val="fr-FR"/>
        </w:rPr>
        <w:tab/>
        <w:t>La désignation internationale de la catégorie correspondante, sauf la puissance “W” si le diamètre maximal autorisé de l</w:t>
      </w:r>
      <w:r>
        <w:rPr>
          <w:lang w:val="fr-FR"/>
        </w:rPr>
        <w:t>’</w:t>
      </w:r>
      <w:r w:rsidRPr="00B911D2">
        <w:rPr>
          <w:lang w:val="fr-FR"/>
        </w:rPr>
        <w:t>ampoule de la source lumineuse à incandescence ne dépasse pas 7,5 mm</w:t>
      </w:r>
      <w:r>
        <w:rPr>
          <w:lang w:val="fr-FR"/>
        </w:rPr>
        <w:t> ;</w:t>
      </w:r>
    </w:p>
    <w:p w:rsidR="00D31871" w:rsidRDefault="00D31871" w:rsidP="00D31871">
      <w:pPr>
        <w:pStyle w:val="SingleTxtG"/>
        <w:ind w:left="2268" w:hanging="1134"/>
        <w:rPr>
          <w:lang w:val="fr-FR"/>
        </w:rPr>
      </w:pPr>
      <w:r w:rsidRPr="00B911D2">
        <w:rPr>
          <w:lang w:val="fr-FR"/>
        </w:rPr>
        <w:t>2.3.1.4</w:t>
      </w:r>
      <w:r w:rsidRPr="00B911D2">
        <w:rPr>
          <w:lang w:val="fr-FR"/>
        </w:rPr>
        <w:tab/>
        <w:t>La puissance nominale (dans l</w:t>
      </w:r>
      <w:r>
        <w:rPr>
          <w:lang w:val="fr-FR"/>
        </w:rPr>
        <w:t>’</w:t>
      </w:r>
      <w:r w:rsidRPr="00B911D2">
        <w:rPr>
          <w:lang w:val="fr-FR"/>
        </w:rPr>
        <w:t>ordre filament principal/filament auxiliaire pour les sources lumineuses à deux filaments)</w:t>
      </w:r>
      <w:r>
        <w:rPr>
          <w:lang w:val="fr-FR"/>
        </w:rPr>
        <w:t> ;</w:t>
      </w:r>
      <w:r w:rsidRPr="00B911D2">
        <w:rPr>
          <w:lang w:val="fr-FR"/>
        </w:rPr>
        <w:t xml:space="preserve"> elle ne doit pas être indiquée séparément si elle fait partie de la désignation internationale de la catégorie correspondante de sources lumineuses à incandescence</w:t>
      </w:r>
      <w:r>
        <w:rPr>
          <w:lang w:val="fr-FR"/>
        </w:rPr>
        <w:t> ;</w:t>
      </w:r>
    </w:p>
    <w:p w:rsidR="00D31871" w:rsidRDefault="00D31871" w:rsidP="00D31871">
      <w:pPr>
        <w:pStyle w:val="SingleTxtG"/>
        <w:ind w:left="2268" w:hanging="1134"/>
        <w:rPr>
          <w:lang w:val="fr-FR"/>
        </w:rPr>
      </w:pPr>
      <w:r w:rsidRPr="00B911D2">
        <w:rPr>
          <w:lang w:val="fr-FR"/>
        </w:rPr>
        <w:t>2.3.1.5</w:t>
      </w:r>
      <w:r w:rsidRPr="00B911D2">
        <w:rPr>
          <w:lang w:val="fr-FR"/>
        </w:rPr>
        <w:tab/>
        <w:t>Un emplacement de grandeur suffisante pour la marque d</w:t>
      </w:r>
      <w:r>
        <w:rPr>
          <w:lang w:val="fr-FR"/>
        </w:rPr>
        <w:t>’</w:t>
      </w:r>
      <w:r w:rsidRPr="00B911D2">
        <w:rPr>
          <w:lang w:val="fr-FR"/>
        </w:rPr>
        <w:t>homologation.</w:t>
      </w:r>
    </w:p>
    <w:p w:rsidR="00D31871" w:rsidRDefault="00D31871" w:rsidP="00D31871">
      <w:pPr>
        <w:pStyle w:val="SingleTxtG"/>
        <w:ind w:left="2268" w:hanging="1134"/>
        <w:rPr>
          <w:lang w:val="fr-FR"/>
        </w:rPr>
      </w:pPr>
      <w:r>
        <w:rPr>
          <w:lang w:val="fr-FR"/>
        </w:rPr>
        <w:t>2.3.2</w:t>
      </w:r>
      <w:r w:rsidRPr="00B911D2">
        <w:rPr>
          <w:lang w:val="fr-FR"/>
        </w:rPr>
        <w:tab/>
        <w:t>L</w:t>
      </w:r>
      <w:r>
        <w:rPr>
          <w:lang w:val="fr-FR"/>
        </w:rPr>
        <w:t>’</w:t>
      </w:r>
      <w:r w:rsidRPr="00B911D2">
        <w:rPr>
          <w:lang w:val="fr-FR"/>
        </w:rPr>
        <w:t>emplacement visé au paragraphe</w:t>
      </w:r>
      <w:r>
        <w:rPr>
          <w:lang w:val="fr-FR"/>
        </w:rPr>
        <w:t> </w:t>
      </w:r>
      <w:r w:rsidRPr="00B911D2">
        <w:rPr>
          <w:lang w:val="fr-FR"/>
        </w:rPr>
        <w:t>2.3.1.5 ci-dessus doit être indiqué sur les dessins accompagnant la demande d</w:t>
      </w:r>
      <w:r>
        <w:rPr>
          <w:lang w:val="fr-FR"/>
        </w:rPr>
        <w:t>’</w:t>
      </w:r>
      <w:r w:rsidRPr="00B911D2">
        <w:rPr>
          <w:lang w:val="fr-FR"/>
        </w:rPr>
        <w:t>homologation.</w:t>
      </w:r>
    </w:p>
    <w:p w:rsidR="00D31871" w:rsidRDefault="00D31871" w:rsidP="00D31871">
      <w:pPr>
        <w:pStyle w:val="SingleTxtG"/>
        <w:ind w:left="2268" w:hanging="1134"/>
        <w:rPr>
          <w:lang w:val="fr-FR"/>
        </w:rPr>
      </w:pPr>
      <w:r>
        <w:rPr>
          <w:lang w:val="fr-FR"/>
        </w:rPr>
        <w:t>2.3.3</w:t>
      </w:r>
      <w:r w:rsidRPr="00B911D2">
        <w:rPr>
          <w:lang w:val="fr-FR"/>
        </w:rPr>
        <w:tab/>
        <w:t>Les sources lumineuses à incandescence à halogène conformes aux prescriptions du paragraphe</w:t>
      </w:r>
      <w:r>
        <w:rPr>
          <w:lang w:val="fr-FR"/>
        </w:rPr>
        <w:t> </w:t>
      </w:r>
      <w:r w:rsidRPr="00B911D2">
        <w:rPr>
          <w:lang w:val="fr-FR"/>
        </w:rPr>
        <w:t>3.7 ci-après doivent être marquées de la lettre “U”.</w:t>
      </w:r>
    </w:p>
    <w:p w:rsidR="00D31871" w:rsidRDefault="00D31871" w:rsidP="00D31871">
      <w:pPr>
        <w:pStyle w:val="SingleTxtG"/>
        <w:ind w:left="2268" w:hanging="1134"/>
        <w:rPr>
          <w:lang w:val="fr-FR"/>
        </w:rPr>
      </w:pPr>
      <w:r>
        <w:rPr>
          <w:lang w:val="fr-FR"/>
        </w:rPr>
        <w:t>2.3.4</w:t>
      </w:r>
      <w:r w:rsidRPr="00B911D2">
        <w:rPr>
          <w:lang w:val="fr-FR"/>
        </w:rPr>
        <w:tab/>
        <w:t>D</w:t>
      </w:r>
      <w:r>
        <w:rPr>
          <w:lang w:val="fr-FR"/>
        </w:rPr>
        <w:t>’</w:t>
      </w:r>
      <w:r w:rsidRPr="00B911D2">
        <w:rPr>
          <w:lang w:val="fr-FR"/>
        </w:rPr>
        <w:t>autres inscriptions que celles qui sont prévues aux paragraphes</w:t>
      </w:r>
      <w:r>
        <w:rPr>
          <w:lang w:val="fr-FR"/>
        </w:rPr>
        <w:t> </w:t>
      </w:r>
      <w:r w:rsidRPr="00B911D2">
        <w:rPr>
          <w:lang w:val="fr-FR"/>
        </w:rPr>
        <w:t>2.3.1 et</w:t>
      </w:r>
      <w:r>
        <w:rPr>
          <w:lang w:val="fr-FR"/>
        </w:rPr>
        <w:t> </w:t>
      </w:r>
      <w:r w:rsidRPr="00B911D2">
        <w:rPr>
          <w:lang w:val="fr-FR"/>
        </w:rPr>
        <w:t>2.4.3 peuvent être portées, à condition qu</w:t>
      </w:r>
      <w:r>
        <w:rPr>
          <w:lang w:val="fr-FR"/>
        </w:rPr>
        <w:t>’</w:t>
      </w:r>
      <w:r w:rsidRPr="00B911D2">
        <w:rPr>
          <w:lang w:val="fr-FR"/>
        </w:rPr>
        <w:t>elles n</w:t>
      </w:r>
      <w:r>
        <w:rPr>
          <w:lang w:val="fr-FR"/>
        </w:rPr>
        <w:t>’</w:t>
      </w:r>
      <w:r w:rsidRPr="00B911D2">
        <w:rPr>
          <w:lang w:val="fr-FR"/>
        </w:rPr>
        <w:t>altèrent pas les caractéristiques lumineuses.</w:t>
      </w:r>
    </w:p>
    <w:p w:rsidR="00D31871" w:rsidRDefault="00D31871" w:rsidP="00D31871">
      <w:pPr>
        <w:pStyle w:val="SingleTxtG"/>
        <w:ind w:left="2268" w:hanging="1134"/>
        <w:rPr>
          <w:lang w:val="fr-FR"/>
        </w:rPr>
      </w:pPr>
      <w:r>
        <w:rPr>
          <w:lang w:val="fr-FR"/>
        </w:rPr>
        <w:t>2.4</w:t>
      </w:r>
      <w:r>
        <w:rPr>
          <w:lang w:val="fr-FR"/>
        </w:rPr>
        <w:tab/>
      </w:r>
      <w:r w:rsidRPr="00B911D2">
        <w:rPr>
          <w:lang w:val="fr-FR"/>
        </w:rPr>
        <w:t>Homologation</w:t>
      </w:r>
    </w:p>
    <w:p w:rsidR="00D31871" w:rsidRDefault="00D31871" w:rsidP="00D31871">
      <w:pPr>
        <w:pStyle w:val="SingleTxtG"/>
        <w:ind w:left="2268" w:hanging="1134"/>
        <w:rPr>
          <w:lang w:val="fr-FR"/>
        </w:rPr>
      </w:pPr>
      <w:r>
        <w:rPr>
          <w:lang w:val="fr-FR"/>
        </w:rPr>
        <w:t>2.4.1</w:t>
      </w:r>
      <w:r>
        <w:rPr>
          <w:lang w:val="fr-FR"/>
        </w:rPr>
        <w:tab/>
      </w:r>
      <w:r w:rsidRPr="00B911D2">
        <w:rPr>
          <w:lang w:val="fr-FR"/>
        </w:rPr>
        <w:t>Si tous les échantillons d</w:t>
      </w:r>
      <w:r>
        <w:rPr>
          <w:lang w:val="fr-FR"/>
        </w:rPr>
        <w:t>’</w:t>
      </w:r>
      <w:r w:rsidRPr="00B911D2">
        <w:rPr>
          <w:lang w:val="fr-FR"/>
        </w:rPr>
        <w:t>un type de source lumineuse à incandescence présentés en application des paragraphes 2.2.2.3 et 2.2.3.2 ci-dessus satisfont aux prescriptions du présent Règlement, l</w:t>
      </w:r>
      <w:r>
        <w:rPr>
          <w:lang w:val="fr-FR"/>
        </w:rPr>
        <w:t>’</w:t>
      </w:r>
      <w:r w:rsidRPr="00B911D2">
        <w:rPr>
          <w:lang w:val="fr-FR"/>
        </w:rPr>
        <w:t>homologation doit être accordée.</w:t>
      </w:r>
    </w:p>
    <w:p w:rsidR="00D31871" w:rsidRDefault="00D31871" w:rsidP="00D31871">
      <w:pPr>
        <w:pStyle w:val="SingleTxtG"/>
        <w:ind w:left="2268" w:hanging="1134"/>
        <w:rPr>
          <w:lang w:val="fr-FR"/>
        </w:rPr>
      </w:pPr>
      <w:r>
        <w:rPr>
          <w:lang w:val="fr-FR"/>
        </w:rPr>
        <w:t>2.4.2</w:t>
      </w:r>
      <w:r w:rsidRPr="00B911D2">
        <w:rPr>
          <w:lang w:val="fr-FR"/>
        </w:rPr>
        <w:tab/>
        <w:t>Chaque homologation comporte l</w:t>
      </w:r>
      <w:r>
        <w:rPr>
          <w:lang w:val="fr-FR"/>
        </w:rPr>
        <w:t>’</w:t>
      </w:r>
      <w:r w:rsidRPr="00B911D2">
        <w:rPr>
          <w:lang w:val="fr-FR"/>
        </w:rPr>
        <w:t>attribution d</w:t>
      </w:r>
      <w:r>
        <w:rPr>
          <w:lang w:val="fr-FR"/>
        </w:rPr>
        <w:t>’</w:t>
      </w:r>
      <w:r w:rsidRPr="00B911D2">
        <w:rPr>
          <w:lang w:val="fr-FR"/>
        </w:rPr>
        <w:t>un code d</w:t>
      </w:r>
      <w:r>
        <w:rPr>
          <w:lang w:val="fr-FR"/>
        </w:rPr>
        <w:t>’</w:t>
      </w:r>
      <w:r w:rsidRPr="00B911D2">
        <w:rPr>
          <w:lang w:val="fr-FR"/>
        </w:rPr>
        <w:t>homologation dont le premier caractère (actuellement 2 correspondant à la série</w:t>
      </w:r>
      <w:r>
        <w:rPr>
          <w:lang w:val="fr-FR"/>
        </w:rPr>
        <w:t> </w:t>
      </w:r>
      <w:r w:rsidRPr="00B911D2">
        <w:rPr>
          <w:lang w:val="fr-FR"/>
        </w:rPr>
        <w:t>02 d</w:t>
      </w:r>
      <w:r>
        <w:rPr>
          <w:lang w:val="fr-FR"/>
        </w:rPr>
        <w:t>’</w:t>
      </w:r>
      <w:r w:rsidRPr="00B911D2">
        <w:rPr>
          <w:lang w:val="fr-FR"/>
        </w:rPr>
        <w:t>amendements entrée en vigueur le 27 octobre 1983 et à la série</w:t>
      </w:r>
      <w:r>
        <w:rPr>
          <w:lang w:val="fr-FR"/>
        </w:rPr>
        <w:t> </w:t>
      </w:r>
      <w:r w:rsidRPr="00B911D2">
        <w:rPr>
          <w:lang w:val="fr-FR"/>
        </w:rPr>
        <w:t>03 d</w:t>
      </w:r>
      <w:r>
        <w:rPr>
          <w:lang w:val="fr-FR"/>
        </w:rPr>
        <w:t>’</w:t>
      </w:r>
      <w:r w:rsidRPr="00B911D2">
        <w:rPr>
          <w:lang w:val="fr-FR"/>
        </w:rPr>
        <w:t>amendements (n</w:t>
      </w:r>
      <w:r>
        <w:rPr>
          <w:lang w:val="fr-FR"/>
        </w:rPr>
        <w:t>’</w:t>
      </w:r>
      <w:r w:rsidRPr="00B911D2">
        <w:rPr>
          <w:lang w:val="fr-FR"/>
        </w:rPr>
        <w:t>entraînant pas de changement dans le code d</w:t>
      </w:r>
      <w:r>
        <w:rPr>
          <w:lang w:val="fr-FR"/>
        </w:rPr>
        <w:t>’</w:t>
      </w:r>
      <w:r w:rsidRPr="00B911D2">
        <w:rPr>
          <w:lang w:val="fr-FR"/>
        </w:rPr>
        <w:t>homologation), entrée en vigueur le 1</w:t>
      </w:r>
      <w:r w:rsidRPr="00B911D2">
        <w:rPr>
          <w:vertAlign w:val="superscript"/>
          <w:lang w:val="fr-FR"/>
        </w:rPr>
        <w:t>er</w:t>
      </w:r>
      <w:r w:rsidRPr="00B911D2">
        <w:rPr>
          <w:lang w:val="fr-FR"/>
        </w:rPr>
        <w:t> juin 1984) indique la série d</w:t>
      </w:r>
      <w:r>
        <w:rPr>
          <w:lang w:val="fr-FR"/>
        </w:rPr>
        <w:t>’</w:t>
      </w:r>
      <w:r w:rsidRPr="00B911D2">
        <w:rPr>
          <w:lang w:val="fr-FR"/>
        </w:rPr>
        <w:t>amendements contenant les modifications techniques majeures les plus récentes apportées au Règlement à la date de délivrance de l</w:t>
      </w:r>
      <w:r>
        <w:rPr>
          <w:lang w:val="fr-FR"/>
        </w:rPr>
        <w:t>’</w:t>
      </w:r>
      <w:r w:rsidRPr="00B911D2">
        <w:rPr>
          <w:lang w:val="fr-FR"/>
        </w:rPr>
        <w:t>homologation. Il est suivi d</w:t>
      </w:r>
      <w:r>
        <w:rPr>
          <w:lang w:val="fr-FR"/>
        </w:rPr>
        <w:t>’</w:t>
      </w:r>
      <w:r w:rsidRPr="00B911D2">
        <w:rPr>
          <w:lang w:val="fr-FR"/>
        </w:rPr>
        <w:t>un code d</w:t>
      </w:r>
      <w:r>
        <w:rPr>
          <w:lang w:val="fr-FR"/>
        </w:rPr>
        <w:t>’</w:t>
      </w:r>
      <w:r w:rsidRPr="00B911D2">
        <w:rPr>
          <w:lang w:val="fr-FR"/>
        </w:rPr>
        <w:t>identification comprenant au maximum trois caractères. Seuls les chiffres arabes et les lettres majus</w:t>
      </w:r>
      <w:r>
        <w:rPr>
          <w:lang w:val="fr-FR"/>
        </w:rPr>
        <w:t>cules de la note de bas de page</w:t>
      </w:r>
      <w:r w:rsidRPr="009E2890">
        <w:rPr>
          <w:rStyle w:val="FootnoteReference"/>
        </w:rPr>
        <w:footnoteReference w:id="6"/>
      </w:r>
      <w:r w:rsidRPr="00B911D2">
        <w:rPr>
          <w:lang w:val="fr-FR"/>
        </w:rPr>
        <w:t xml:space="preserve"> peuvent être utilisés. Une même Partie contractante ne peut pas attribuer ce même code à un autre type de source lumineuse à incandescence. L</w:t>
      </w:r>
      <w:r>
        <w:rPr>
          <w:lang w:val="fr-FR"/>
        </w:rPr>
        <w:t>’</w:t>
      </w:r>
      <w:r w:rsidRPr="00B911D2">
        <w:rPr>
          <w:lang w:val="fr-FR"/>
        </w:rPr>
        <w:t>homologation, l</w:t>
      </w:r>
      <w:r>
        <w:rPr>
          <w:lang w:val="fr-FR"/>
        </w:rPr>
        <w:t>’</w:t>
      </w:r>
      <w:r w:rsidRPr="00B911D2">
        <w:rPr>
          <w:lang w:val="fr-FR"/>
        </w:rPr>
        <w:t>extension de l</w:t>
      </w:r>
      <w:r>
        <w:rPr>
          <w:lang w:val="fr-FR"/>
        </w:rPr>
        <w:t>’</w:t>
      </w:r>
      <w:r w:rsidRPr="00B911D2">
        <w:rPr>
          <w:lang w:val="fr-FR"/>
        </w:rPr>
        <w:t>homologation, le refus ou le retrait de l</w:t>
      </w:r>
      <w:r>
        <w:rPr>
          <w:lang w:val="fr-FR"/>
        </w:rPr>
        <w:t>’</w:t>
      </w:r>
      <w:r w:rsidRPr="00B911D2">
        <w:rPr>
          <w:lang w:val="fr-FR"/>
        </w:rPr>
        <w:t>homologation ou l</w:t>
      </w:r>
      <w:r>
        <w:rPr>
          <w:lang w:val="fr-FR"/>
        </w:rPr>
        <w:t>’</w:t>
      </w:r>
      <w:r w:rsidRPr="00B911D2">
        <w:rPr>
          <w:lang w:val="fr-FR"/>
        </w:rPr>
        <w:t>arrêt définitif de la production d</w:t>
      </w:r>
      <w:r>
        <w:rPr>
          <w:lang w:val="fr-FR"/>
        </w:rPr>
        <w:t>’</w:t>
      </w:r>
      <w:r w:rsidRPr="00B911D2">
        <w:rPr>
          <w:lang w:val="fr-FR"/>
        </w:rPr>
        <w:t>un type de source lumineuse à incandescence en application du présent Règlement est notifié aux Parties à l</w:t>
      </w:r>
      <w:r>
        <w:rPr>
          <w:lang w:val="fr-FR"/>
        </w:rPr>
        <w:t>’</w:t>
      </w:r>
      <w:r w:rsidRPr="00B911D2">
        <w:rPr>
          <w:lang w:val="fr-FR"/>
        </w:rPr>
        <w:t>Accord de 1958 appliquant le présent Règlement au moyen d</w:t>
      </w:r>
      <w:r>
        <w:rPr>
          <w:lang w:val="fr-FR"/>
        </w:rPr>
        <w:t>’</w:t>
      </w:r>
      <w:r w:rsidRPr="00B911D2">
        <w:rPr>
          <w:lang w:val="fr-FR"/>
        </w:rPr>
        <w:t>une fiche conforme au modèle visé à l</w:t>
      </w:r>
      <w:r>
        <w:rPr>
          <w:lang w:val="fr-FR"/>
        </w:rPr>
        <w:t>’</w:t>
      </w:r>
      <w:r w:rsidRPr="00B911D2">
        <w:rPr>
          <w:lang w:val="fr-FR"/>
        </w:rPr>
        <w:t>annexe 2 du présent Règlement et d</w:t>
      </w:r>
      <w:r>
        <w:rPr>
          <w:lang w:val="fr-FR"/>
        </w:rPr>
        <w:t>’</w:t>
      </w:r>
      <w:r w:rsidRPr="00B911D2">
        <w:rPr>
          <w:lang w:val="fr-FR"/>
        </w:rPr>
        <w:t>un dessin d</w:t>
      </w:r>
      <w:r>
        <w:rPr>
          <w:lang w:val="fr-FR"/>
        </w:rPr>
        <w:t>’</w:t>
      </w:r>
      <w:r w:rsidRPr="00B911D2">
        <w:rPr>
          <w:lang w:val="fr-FR"/>
        </w:rPr>
        <w:t>un format maximal A4 (210 x 297 mm) et à une échelle d</w:t>
      </w:r>
      <w:r>
        <w:rPr>
          <w:lang w:val="fr-FR"/>
        </w:rPr>
        <w:t>’</w:t>
      </w:r>
      <w:r w:rsidRPr="00B911D2">
        <w:rPr>
          <w:lang w:val="fr-FR"/>
        </w:rPr>
        <w:t>au moins 2</w:t>
      </w:r>
      <w:r>
        <w:rPr>
          <w:lang w:val="fr-FR"/>
        </w:rPr>
        <w:t>:</w:t>
      </w:r>
      <w:r w:rsidRPr="00B911D2">
        <w:rPr>
          <w:lang w:val="fr-FR"/>
        </w:rPr>
        <w:t>1 fourni pour l</w:t>
      </w:r>
      <w:r>
        <w:rPr>
          <w:lang w:val="fr-FR"/>
        </w:rPr>
        <w:t>’</w:t>
      </w:r>
      <w:r w:rsidRPr="00B911D2">
        <w:rPr>
          <w:lang w:val="fr-FR"/>
        </w:rPr>
        <w:t>homologation par le demandeur. Si le demandeur le désire, le même code d</w:t>
      </w:r>
      <w:r>
        <w:rPr>
          <w:lang w:val="fr-FR"/>
        </w:rPr>
        <w:t>’</w:t>
      </w:r>
      <w:r w:rsidRPr="00B911D2">
        <w:rPr>
          <w:lang w:val="fr-FR"/>
        </w:rPr>
        <w:t xml:space="preserve">homologation peut être assigné à la source lumineuse à incandescence émettant une lumière blanche et à la source lumineuse à incandescence émettant une lumière jaune sélectif (voir par. 2.1.2.3). </w:t>
      </w:r>
    </w:p>
    <w:p w:rsidR="00D31871" w:rsidRDefault="00D31871" w:rsidP="00D31871">
      <w:pPr>
        <w:pStyle w:val="SingleTxtG"/>
        <w:ind w:left="2268" w:hanging="1134"/>
        <w:rPr>
          <w:lang w:val="fr-FR"/>
        </w:rPr>
      </w:pPr>
      <w:r>
        <w:rPr>
          <w:lang w:val="fr-FR"/>
        </w:rPr>
        <w:t>2.4.3</w:t>
      </w:r>
      <w:r>
        <w:rPr>
          <w:lang w:val="fr-FR"/>
        </w:rPr>
        <w:tab/>
      </w:r>
      <w:r w:rsidRPr="00B911D2">
        <w:rPr>
          <w:lang w:val="fr-FR"/>
        </w:rPr>
        <w:t>Sur toute source lumineuse à incandescence conforme à un type homologué en application du présent Règlement, il faut apposer à l</w:t>
      </w:r>
      <w:r>
        <w:rPr>
          <w:lang w:val="fr-FR"/>
        </w:rPr>
        <w:t>’</w:t>
      </w:r>
      <w:r w:rsidRPr="00B911D2">
        <w:rPr>
          <w:lang w:val="fr-FR"/>
        </w:rPr>
        <w:t>emplacement visé au paragraphe 2.3.1.5, en plus des inscriptions requises dans le paragraphe 2.3.1, une marque d</w:t>
      </w:r>
      <w:r>
        <w:rPr>
          <w:lang w:val="fr-FR"/>
        </w:rPr>
        <w:t>’</w:t>
      </w:r>
      <w:r w:rsidRPr="00B911D2">
        <w:rPr>
          <w:lang w:val="fr-FR"/>
        </w:rPr>
        <w:t>homologation internationale, composée :</w:t>
      </w:r>
    </w:p>
    <w:p w:rsidR="00D31871" w:rsidRDefault="00D31871" w:rsidP="00D31871">
      <w:pPr>
        <w:pStyle w:val="SingleTxtG"/>
        <w:ind w:left="2268" w:hanging="1134"/>
        <w:rPr>
          <w:lang w:val="fr-FR"/>
        </w:rPr>
      </w:pPr>
      <w:r w:rsidRPr="00B911D2">
        <w:rPr>
          <w:lang w:val="fr-FR"/>
        </w:rPr>
        <w:t>2.4.3.1</w:t>
      </w:r>
      <w:r w:rsidRPr="00B911D2">
        <w:rPr>
          <w:lang w:val="fr-FR"/>
        </w:rPr>
        <w:tab/>
        <w:t>D</w:t>
      </w:r>
      <w:r>
        <w:rPr>
          <w:lang w:val="fr-FR"/>
        </w:rPr>
        <w:t>’</w:t>
      </w:r>
      <w:r w:rsidRPr="00B911D2">
        <w:rPr>
          <w:lang w:val="fr-FR"/>
        </w:rPr>
        <w:t>un cercle tronqué, à l</w:t>
      </w:r>
      <w:r>
        <w:rPr>
          <w:lang w:val="fr-FR"/>
        </w:rPr>
        <w:t>’</w:t>
      </w:r>
      <w:r w:rsidRPr="00B911D2">
        <w:rPr>
          <w:lang w:val="fr-FR"/>
        </w:rPr>
        <w:t>intérieur duquel est placée la lettre “E” suivie du numéro distinctif du pays qui a accordé l</w:t>
      </w:r>
      <w:r>
        <w:rPr>
          <w:lang w:val="fr-FR"/>
        </w:rPr>
        <w:t>’</w:t>
      </w:r>
      <w:r w:rsidRPr="00B911D2">
        <w:rPr>
          <w:lang w:val="fr-FR"/>
        </w:rPr>
        <w:t>homologation</w:t>
      </w:r>
      <w:r w:rsidRPr="009E2890">
        <w:rPr>
          <w:rStyle w:val="FootnoteReference"/>
        </w:rPr>
        <w:footnoteReference w:id="7"/>
      </w:r>
      <w:r>
        <w:rPr>
          <w:lang w:val="fr-FR"/>
        </w:rPr>
        <w:t> ;</w:t>
      </w:r>
      <w:r w:rsidRPr="00B911D2">
        <w:rPr>
          <w:lang w:val="fr-FR"/>
        </w:rPr>
        <w:t xml:space="preserve"> </w:t>
      </w:r>
    </w:p>
    <w:p w:rsidR="00D31871" w:rsidRDefault="00D31871" w:rsidP="00D31871">
      <w:pPr>
        <w:pStyle w:val="SingleTxtG"/>
        <w:ind w:left="2268" w:hanging="1134"/>
        <w:rPr>
          <w:lang w:val="fr-FR"/>
        </w:rPr>
      </w:pPr>
      <w:r w:rsidRPr="00B911D2">
        <w:rPr>
          <w:lang w:val="fr-FR"/>
        </w:rPr>
        <w:t>2.4.3.2</w:t>
      </w:r>
      <w:r w:rsidRPr="00B911D2">
        <w:rPr>
          <w:lang w:val="fr-FR"/>
        </w:rPr>
        <w:tab/>
        <w:t>Du code d</w:t>
      </w:r>
      <w:r>
        <w:rPr>
          <w:lang w:val="fr-FR"/>
        </w:rPr>
        <w:t>’</w:t>
      </w:r>
      <w:r w:rsidRPr="00B911D2">
        <w:rPr>
          <w:lang w:val="fr-FR"/>
        </w:rPr>
        <w:t>homologation, placé à proximité de ce cercle tronqué.</w:t>
      </w:r>
    </w:p>
    <w:p w:rsidR="00D31871" w:rsidRDefault="00D31871" w:rsidP="00D31871">
      <w:pPr>
        <w:pStyle w:val="SingleTxtG"/>
        <w:ind w:left="2268" w:hanging="1134"/>
        <w:rPr>
          <w:lang w:val="fr-FR"/>
        </w:rPr>
      </w:pPr>
      <w:r>
        <w:rPr>
          <w:lang w:val="fr-FR"/>
        </w:rPr>
        <w:t>2.4.4</w:t>
      </w:r>
      <w:r>
        <w:rPr>
          <w:lang w:val="fr-FR"/>
        </w:rPr>
        <w:tab/>
      </w:r>
      <w:r w:rsidRPr="00B911D2">
        <w:rPr>
          <w:lang w:val="fr-FR"/>
        </w:rPr>
        <w:t>Si le demandeur a obtenu le même code d</w:t>
      </w:r>
      <w:r>
        <w:rPr>
          <w:lang w:val="fr-FR"/>
        </w:rPr>
        <w:t>’</w:t>
      </w:r>
      <w:r w:rsidRPr="00B911D2">
        <w:rPr>
          <w:lang w:val="fr-FR"/>
        </w:rPr>
        <w:t>homologation pour différentes marques de fabrique ou de commerce, il suffit d</w:t>
      </w:r>
      <w:r>
        <w:rPr>
          <w:lang w:val="fr-FR"/>
        </w:rPr>
        <w:t>’</w:t>
      </w:r>
      <w:r w:rsidRPr="00B911D2">
        <w:rPr>
          <w:lang w:val="fr-FR"/>
        </w:rPr>
        <w:t>apposer une ou plusieurs d</w:t>
      </w:r>
      <w:r>
        <w:rPr>
          <w:lang w:val="fr-FR"/>
        </w:rPr>
        <w:t>’</w:t>
      </w:r>
      <w:r w:rsidRPr="00B911D2">
        <w:rPr>
          <w:lang w:val="fr-FR"/>
        </w:rPr>
        <w:t>entre elles pour satisfa</w:t>
      </w:r>
      <w:r w:rsidR="00EB0DF5">
        <w:rPr>
          <w:lang w:val="fr-FR"/>
        </w:rPr>
        <w:t>ire aux exigences du paragraphe </w:t>
      </w:r>
      <w:r w:rsidRPr="00B911D2">
        <w:rPr>
          <w:lang w:val="fr-FR"/>
        </w:rPr>
        <w:t>2.3.1.1.</w:t>
      </w:r>
    </w:p>
    <w:p w:rsidR="00D31871" w:rsidRDefault="00D31871" w:rsidP="00D31871">
      <w:pPr>
        <w:pStyle w:val="SingleTxtG"/>
        <w:ind w:left="2268" w:hanging="1134"/>
        <w:rPr>
          <w:lang w:val="fr-FR"/>
        </w:rPr>
      </w:pPr>
      <w:r>
        <w:rPr>
          <w:lang w:val="fr-FR"/>
        </w:rPr>
        <w:t>2.4.5</w:t>
      </w:r>
      <w:r>
        <w:rPr>
          <w:lang w:val="fr-FR"/>
        </w:rPr>
        <w:tab/>
      </w:r>
      <w:r w:rsidRPr="00B911D2">
        <w:rPr>
          <w:lang w:val="fr-FR"/>
        </w:rPr>
        <w:t>Les marques et inscr</w:t>
      </w:r>
      <w:r w:rsidR="00EB0DF5">
        <w:rPr>
          <w:lang w:val="fr-FR"/>
        </w:rPr>
        <w:t>iptions prévues aux paragraphes </w:t>
      </w:r>
      <w:r w:rsidRPr="00B911D2">
        <w:rPr>
          <w:lang w:val="fr-FR"/>
        </w:rPr>
        <w:t xml:space="preserve">2.3.1 et 2.4.3 doivent être nettement lisibles et indélébiles. </w:t>
      </w:r>
    </w:p>
    <w:p w:rsidR="00D31871" w:rsidRPr="00B911D2" w:rsidRDefault="00D31871" w:rsidP="00D31871">
      <w:pPr>
        <w:pStyle w:val="SingleTxtG"/>
        <w:ind w:left="2268" w:hanging="1134"/>
        <w:rPr>
          <w:lang w:val="fr-FR"/>
        </w:rPr>
      </w:pPr>
      <w:r>
        <w:rPr>
          <w:lang w:val="fr-FR"/>
        </w:rPr>
        <w:t>2.4.6</w:t>
      </w:r>
      <w:r>
        <w:rPr>
          <w:lang w:val="fr-FR"/>
        </w:rPr>
        <w:tab/>
      </w:r>
      <w:r w:rsidRPr="00B911D2">
        <w:rPr>
          <w:lang w:val="fr-FR"/>
        </w:rPr>
        <w:t>L</w:t>
      </w:r>
      <w:r>
        <w:rPr>
          <w:lang w:val="fr-FR"/>
        </w:rPr>
        <w:t>’</w:t>
      </w:r>
      <w:r w:rsidRPr="00B911D2">
        <w:rPr>
          <w:lang w:val="fr-FR"/>
        </w:rPr>
        <w:t>annexe</w:t>
      </w:r>
      <w:r>
        <w:rPr>
          <w:lang w:val="fr-FR"/>
        </w:rPr>
        <w:t> </w:t>
      </w:r>
      <w:r w:rsidRPr="00B911D2">
        <w:rPr>
          <w:lang w:val="fr-FR"/>
        </w:rPr>
        <w:t>3 du présent Règlement contient un exemple de marque d</w:t>
      </w:r>
      <w:r>
        <w:rPr>
          <w:lang w:val="fr-FR"/>
        </w:rPr>
        <w:t>’</w:t>
      </w:r>
      <w:r w:rsidRPr="00B911D2">
        <w:rPr>
          <w:lang w:val="fr-FR"/>
        </w:rPr>
        <w:t xml:space="preserve">homologation. </w:t>
      </w:r>
    </w:p>
    <w:p w:rsidR="00D31871" w:rsidRPr="008269AC" w:rsidRDefault="00235E5E" w:rsidP="00235E5E">
      <w:pPr>
        <w:pStyle w:val="HChG"/>
        <w:rPr>
          <w:lang w:val="fr-FR"/>
        </w:rPr>
      </w:pPr>
      <w:r>
        <w:rPr>
          <w:lang w:val="fr-FR"/>
        </w:rPr>
        <w:tab/>
      </w:r>
      <w:r>
        <w:rPr>
          <w:lang w:val="fr-FR"/>
        </w:rPr>
        <w:tab/>
      </w:r>
      <w:r w:rsidR="00D31871" w:rsidRPr="008269AC">
        <w:rPr>
          <w:lang w:val="fr-FR"/>
        </w:rPr>
        <w:t>3.</w:t>
      </w:r>
      <w:r w:rsidR="00D31871" w:rsidRPr="008269AC">
        <w:rPr>
          <w:lang w:val="fr-FR"/>
        </w:rPr>
        <w:tab/>
      </w:r>
      <w:r>
        <w:rPr>
          <w:lang w:val="fr-FR"/>
        </w:rPr>
        <w:tab/>
      </w:r>
      <w:r w:rsidR="00D31871" w:rsidRPr="008269AC">
        <w:rPr>
          <w:lang w:val="fr-FR"/>
        </w:rPr>
        <w:t>Prescriptions techniques</w:t>
      </w:r>
    </w:p>
    <w:p w:rsidR="00D31871" w:rsidRPr="00B911D2" w:rsidRDefault="00D31871" w:rsidP="00D31871">
      <w:pPr>
        <w:pStyle w:val="SingleTxtG"/>
        <w:ind w:left="2268" w:hanging="1134"/>
        <w:rPr>
          <w:lang w:val="fr-FR"/>
        </w:rPr>
      </w:pPr>
      <w:r>
        <w:rPr>
          <w:lang w:val="fr-FR"/>
        </w:rPr>
        <w:t>3.1</w:t>
      </w:r>
      <w:r>
        <w:rPr>
          <w:lang w:val="fr-FR"/>
        </w:rPr>
        <w:tab/>
      </w:r>
      <w:r w:rsidRPr="00B911D2">
        <w:rPr>
          <w:lang w:val="fr-FR"/>
        </w:rPr>
        <w:t>Définitions</w:t>
      </w:r>
    </w:p>
    <w:p w:rsidR="00D31871" w:rsidRPr="00B911D2" w:rsidRDefault="00D31871" w:rsidP="00D31871">
      <w:pPr>
        <w:pStyle w:val="SingleTxtG"/>
        <w:ind w:left="2268" w:hanging="1134"/>
        <w:rPr>
          <w:lang w:val="fr-FR"/>
        </w:rPr>
      </w:pPr>
      <w:r>
        <w:rPr>
          <w:lang w:val="fr-FR"/>
        </w:rPr>
        <w:tab/>
      </w:r>
      <w:r w:rsidRPr="00B911D2">
        <w:rPr>
          <w:lang w:val="fr-FR"/>
        </w:rPr>
        <w:t>Les définitions données dans la Résolution R.E.</w:t>
      </w:r>
      <w:r>
        <w:rPr>
          <w:lang w:val="fr-FR"/>
        </w:rPr>
        <w:t>5</w:t>
      </w:r>
      <w:r w:rsidRPr="00B911D2">
        <w:rPr>
          <w:lang w:val="fr-FR"/>
        </w:rPr>
        <w:t xml:space="preserve"> ou dans ses révisions ultérieures applicables au moment de la demande d</w:t>
      </w:r>
      <w:r>
        <w:rPr>
          <w:lang w:val="fr-FR"/>
        </w:rPr>
        <w:t>’</w:t>
      </w:r>
      <w:r w:rsidRPr="00B911D2">
        <w:rPr>
          <w:lang w:val="fr-FR"/>
        </w:rPr>
        <w:t>homologation de type s</w:t>
      </w:r>
      <w:r>
        <w:rPr>
          <w:lang w:val="fr-FR"/>
        </w:rPr>
        <w:t>’</w:t>
      </w:r>
      <w:r w:rsidRPr="00B911D2">
        <w:rPr>
          <w:lang w:val="fr-FR"/>
        </w:rPr>
        <w:t xml:space="preserve">appliquent. </w:t>
      </w:r>
    </w:p>
    <w:p w:rsidR="00D31871" w:rsidRDefault="00D31871" w:rsidP="00EB0DF5">
      <w:pPr>
        <w:pStyle w:val="SingleTxtG"/>
        <w:keepNext/>
        <w:ind w:left="2268" w:hanging="1134"/>
        <w:rPr>
          <w:lang w:val="fr-FR"/>
        </w:rPr>
      </w:pPr>
      <w:r>
        <w:rPr>
          <w:lang w:val="fr-FR"/>
        </w:rPr>
        <w:t>3.2</w:t>
      </w:r>
      <w:r w:rsidRPr="00B911D2">
        <w:rPr>
          <w:lang w:val="fr-FR"/>
        </w:rPr>
        <w:tab/>
        <w:t xml:space="preserve">Prescriptions générales </w:t>
      </w:r>
    </w:p>
    <w:p w:rsidR="00D31871" w:rsidRDefault="00D31871" w:rsidP="00EB0DF5">
      <w:pPr>
        <w:pStyle w:val="SingleTxtG"/>
        <w:keepNext/>
        <w:ind w:left="2268" w:hanging="1134"/>
        <w:rPr>
          <w:lang w:val="fr-FR"/>
        </w:rPr>
      </w:pPr>
      <w:r>
        <w:rPr>
          <w:lang w:val="fr-FR"/>
        </w:rPr>
        <w:t>3.2.1</w:t>
      </w:r>
      <w:r w:rsidRPr="00B911D2">
        <w:rPr>
          <w:lang w:val="fr-FR"/>
        </w:rPr>
        <w:tab/>
        <w:t>Chacun des échantillons doit être conforme aux spécifications pertinentes du présent Règlement.</w:t>
      </w:r>
    </w:p>
    <w:p w:rsidR="00D31871" w:rsidRDefault="00D31871" w:rsidP="00D31871">
      <w:pPr>
        <w:pStyle w:val="SingleTxtG"/>
        <w:ind w:left="2268" w:hanging="1134"/>
        <w:rPr>
          <w:lang w:val="fr-FR"/>
        </w:rPr>
      </w:pPr>
      <w:r>
        <w:rPr>
          <w:lang w:val="fr-FR"/>
        </w:rPr>
        <w:t>3.2.2</w:t>
      </w:r>
      <w:r w:rsidRPr="00B911D2">
        <w:rPr>
          <w:lang w:val="fr-FR"/>
        </w:rPr>
        <w:tab/>
        <w:t>La conception des sources lumineuses à incandescence doit être telle que leur bon fonctionnement soit et demeure assuré lorsqu</w:t>
      </w:r>
      <w:r>
        <w:rPr>
          <w:lang w:val="fr-FR"/>
        </w:rPr>
        <w:t>’</w:t>
      </w:r>
      <w:r w:rsidRPr="00B911D2">
        <w:rPr>
          <w:lang w:val="fr-FR"/>
        </w:rPr>
        <w:t>elles sont utilisées dans des conditions normales. Elles ne doivent présenter aucun vice de conception ou de fabrication.</w:t>
      </w:r>
    </w:p>
    <w:p w:rsidR="00D31871" w:rsidRDefault="00D31871" w:rsidP="00D31871">
      <w:pPr>
        <w:pStyle w:val="SingleTxtG"/>
        <w:ind w:left="2268" w:hanging="1134"/>
        <w:rPr>
          <w:lang w:val="fr-FR"/>
        </w:rPr>
      </w:pPr>
      <w:r>
        <w:rPr>
          <w:lang w:val="fr-FR"/>
        </w:rPr>
        <w:t>3.2.3</w:t>
      </w:r>
      <w:r>
        <w:rPr>
          <w:lang w:val="fr-FR"/>
        </w:rPr>
        <w:tab/>
      </w:r>
      <w:r w:rsidRPr="00B911D2">
        <w:rPr>
          <w:lang w:val="fr-FR"/>
        </w:rPr>
        <w:t>Le ou les filaments spécifiés doivent être les seuls éléments de la source lumineuse à incandescence qui produisent et émettent de la lumière lorsqu</w:t>
      </w:r>
      <w:r>
        <w:rPr>
          <w:lang w:val="fr-FR"/>
        </w:rPr>
        <w:t>’</w:t>
      </w:r>
      <w:r w:rsidRPr="00B911D2">
        <w:rPr>
          <w:lang w:val="fr-FR"/>
        </w:rPr>
        <w:t xml:space="preserve">ils sont mis sous tension. </w:t>
      </w:r>
    </w:p>
    <w:p w:rsidR="00D31871" w:rsidRDefault="00D31871" w:rsidP="00EB0DF5">
      <w:pPr>
        <w:pStyle w:val="SingleTxtG"/>
        <w:keepNext/>
        <w:ind w:left="2268" w:hanging="1134"/>
        <w:rPr>
          <w:lang w:val="fr-FR"/>
        </w:rPr>
      </w:pPr>
      <w:r>
        <w:rPr>
          <w:lang w:val="fr-FR"/>
        </w:rPr>
        <w:t>3.3</w:t>
      </w:r>
      <w:r w:rsidRPr="00B911D2">
        <w:rPr>
          <w:lang w:val="fr-FR"/>
        </w:rPr>
        <w:tab/>
        <w:t>Fabrication</w:t>
      </w:r>
    </w:p>
    <w:p w:rsidR="00D31871" w:rsidRDefault="00D31871" w:rsidP="00EB0DF5">
      <w:pPr>
        <w:pStyle w:val="SingleTxtG"/>
        <w:keepNext/>
        <w:ind w:left="2268" w:hanging="1134"/>
        <w:rPr>
          <w:lang w:val="fr-FR"/>
        </w:rPr>
      </w:pPr>
      <w:r>
        <w:rPr>
          <w:lang w:val="fr-FR"/>
        </w:rPr>
        <w:t>3.3.1</w:t>
      </w:r>
      <w:r>
        <w:rPr>
          <w:lang w:val="fr-FR"/>
        </w:rPr>
        <w:tab/>
      </w:r>
      <w:r w:rsidRPr="00B911D2">
        <w:rPr>
          <w:lang w:val="fr-FR"/>
        </w:rPr>
        <w:t>Les ampoules des sources lumineuses à incandescence ne doivent présenter ni stries ni taches ayant une influence défavorable sur leur bon fonctionnement et sur leurs performances optiques</w:t>
      </w:r>
      <w:r>
        <w:rPr>
          <w:lang w:val="fr-FR"/>
        </w:rPr>
        <w:t>.</w:t>
      </w:r>
    </w:p>
    <w:p w:rsidR="00D31871" w:rsidRDefault="00D31871" w:rsidP="00D31871">
      <w:pPr>
        <w:pStyle w:val="SingleTxtG"/>
        <w:ind w:left="2268" w:hanging="1134"/>
        <w:rPr>
          <w:lang w:val="fr-FR"/>
        </w:rPr>
      </w:pPr>
      <w:r>
        <w:rPr>
          <w:lang w:val="fr-FR"/>
        </w:rPr>
        <w:t>3.3.2</w:t>
      </w:r>
      <w:r>
        <w:rPr>
          <w:lang w:val="fr-FR"/>
        </w:rPr>
        <w:tab/>
      </w:r>
      <w:r w:rsidRPr="00B911D2">
        <w:rPr>
          <w:lang w:val="fr-FR"/>
        </w:rPr>
        <w:t>Les sources lumineuses à incandescence doivent être munies de culots normalisés conformément à la publication 60061 de la CEI, comme indiqué à la page correspondante de l</w:t>
      </w:r>
      <w:r>
        <w:rPr>
          <w:lang w:val="fr-FR"/>
        </w:rPr>
        <w:t>’</w:t>
      </w:r>
      <w:r w:rsidRPr="00B911D2">
        <w:rPr>
          <w:lang w:val="fr-FR"/>
        </w:rPr>
        <w:t>annexe 1.</w:t>
      </w:r>
    </w:p>
    <w:p w:rsidR="00D31871" w:rsidRDefault="00D31871" w:rsidP="00D31871">
      <w:pPr>
        <w:pStyle w:val="SingleTxtG"/>
        <w:ind w:left="2268" w:hanging="1134"/>
        <w:rPr>
          <w:lang w:val="fr-FR"/>
        </w:rPr>
      </w:pPr>
      <w:r>
        <w:rPr>
          <w:lang w:val="fr-FR"/>
        </w:rPr>
        <w:t>3.3.3</w:t>
      </w:r>
      <w:r>
        <w:rPr>
          <w:lang w:val="fr-FR"/>
        </w:rPr>
        <w:tab/>
      </w:r>
      <w:r w:rsidRPr="00B911D2">
        <w:rPr>
          <w:lang w:val="fr-FR"/>
        </w:rPr>
        <w:t>Le culot doit être robuste et solidement fixé sur l</w:t>
      </w:r>
      <w:r>
        <w:rPr>
          <w:lang w:val="fr-FR"/>
        </w:rPr>
        <w:t>’</w:t>
      </w:r>
      <w:r w:rsidRPr="00B911D2">
        <w:rPr>
          <w:lang w:val="fr-FR"/>
        </w:rPr>
        <w:t>ampoule.</w:t>
      </w:r>
    </w:p>
    <w:p w:rsidR="00D31871" w:rsidRDefault="00D31871" w:rsidP="00D31871">
      <w:pPr>
        <w:pStyle w:val="SingleTxtG"/>
        <w:ind w:left="2268" w:hanging="1134"/>
        <w:rPr>
          <w:lang w:val="fr-FR"/>
        </w:rPr>
      </w:pPr>
      <w:r>
        <w:rPr>
          <w:lang w:val="fr-FR"/>
        </w:rPr>
        <w:t>3.3.4</w:t>
      </w:r>
      <w:r>
        <w:rPr>
          <w:lang w:val="fr-FR"/>
        </w:rPr>
        <w:tab/>
      </w:r>
      <w:r w:rsidRPr="00B911D2">
        <w:rPr>
          <w:lang w:val="fr-FR"/>
        </w:rPr>
        <w:t>La vérification de la conformité au</w:t>
      </w:r>
      <w:r>
        <w:rPr>
          <w:lang w:val="fr-FR"/>
        </w:rPr>
        <w:t>x prescriptions des paragraphes </w:t>
      </w:r>
      <w:r w:rsidRPr="00B911D2">
        <w:rPr>
          <w:lang w:val="fr-FR"/>
        </w:rPr>
        <w:t>3.3.1 à</w:t>
      </w:r>
      <w:r>
        <w:rPr>
          <w:lang w:val="fr-FR"/>
        </w:rPr>
        <w:t> </w:t>
      </w:r>
      <w:r w:rsidRPr="00B911D2">
        <w:rPr>
          <w:lang w:val="fr-FR"/>
        </w:rPr>
        <w:t>3.3.3 ci-dessus doit être effectuée par inspection visuelle, par contrôle des dimensions et, s</w:t>
      </w:r>
      <w:r>
        <w:rPr>
          <w:lang w:val="fr-FR"/>
        </w:rPr>
        <w:t>’</w:t>
      </w:r>
      <w:r w:rsidRPr="00B911D2">
        <w:rPr>
          <w:lang w:val="fr-FR"/>
        </w:rPr>
        <w:t>il y a lieu, au moyen d</w:t>
      </w:r>
      <w:r>
        <w:rPr>
          <w:lang w:val="fr-FR"/>
        </w:rPr>
        <w:t>’</w:t>
      </w:r>
      <w:r w:rsidRPr="00B911D2">
        <w:rPr>
          <w:lang w:val="fr-FR"/>
        </w:rPr>
        <w:t>un montage d</w:t>
      </w:r>
      <w:r>
        <w:rPr>
          <w:lang w:val="fr-FR"/>
        </w:rPr>
        <w:t>’</w:t>
      </w:r>
      <w:r w:rsidRPr="00B911D2">
        <w:rPr>
          <w:lang w:val="fr-FR"/>
        </w:rPr>
        <w:t xml:space="preserve">essai. </w:t>
      </w:r>
    </w:p>
    <w:p w:rsidR="00D31871" w:rsidRDefault="00D31871" w:rsidP="00EB0DF5">
      <w:pPr>
        <w:pStyle w:val="SingleTxtG"/>
        <w:keepNext/>
        <w:ind w:left="2268" w:hanging="1134"/>
        <w:rPr>
          <w:lang w:val="fr-FR"/>
        </w:rPr>
      </w:pPr>
      <w:r>
        <w:rPr>
          <w:lang w:val="fr-FR"/>
        </w:rPr>
        <w:t>3.4</w:t>
      </w:r>
      <w:r>
        <w:rPr>
          <w:lang w:val="fr-FR"/>
        </w:rPr>
        <w:tab/>
      </w:r>
      <w:r w:rsidRPr="00B911D2">
        <w:rPr>
          <w:lang w:val="fr-FR"/>
        </w:rPr>
        <w:t>Essais</w:t>
      </w:r>
    </w:p>
    <w:p w:rsidR="00D31871" w:rsidRDefault="00D31871" w:rsidP="00EB0DF5">
      <w:pPr>
        <w:pStyle w:val="SingleTxtG"/>
        <w:keepNext/>
        <w:ind w:left="2268" w:hanging="1134"/>
        <w:rPr>
          <w:lang w:val="fr-FR"/>
        </w:rPr>
      </w:pPr>
      <w:r>
        <w:rPr>
          <w:lang w:val="fr-FR"/>
        </w:rPr>
        <w:t>3.4.1</w:t>
      </w:r>
      <w:r>
        <w:rPr>
          <w:lang w:val="fr-FR"/>
        </w:rPr>
        <w:tab/>
      </w:r>
      <w:r w:rsidRPr="00B911D2">
        <w:rPr>
          <w:lang w:val="fr-FR"/>
        </w:rPr>
        <w:t>Les sources lumineuses à incandescence doivent être préalablement vieillies pendant une heure environ à la tension d</w:t>
      </w:r>
      <w:r>
        <w:rPr>
          <w:lang w:val="fr-FR"/>
        </w:rPr>
        <w:t>’</w:t>
      </w:r>
      <w:r w:rsidRPr="00B911D2">
        <w:rPr>
          <w:lang w:val="fr-FR"/>
        </w:rPr>
        <w:t>essai. Pour les sources lumineuses à incandescence à deux filaments, chaque filament doit être vieilli séparément. Dans le cas des sources lumineuses à incandescence pour lesquelles plusieurs tensions d</w:t>
      </w:r>
      <w:r>
        <w:rPr>
          <w:lang w:val="fr-FR"/>
        </w:rPr>
        <w:t>’</w:t>
      </w:r>
      <w:r w:rsidRPr="00B911D2">
        <w:rPr>
          <w:lang w:val="fr-FR"/>
        </w:rPr>
        <w:t>essai sont spécifiées, le vieillissement doit se faire à la tension d</w:t>
      </w:r>
      <w:r>
        <w:rPr>
          <w:lang w:val="fr-FR"/>
        </w:rPr>
        <w:t>’</w:t>
      </w:r>
      <w:r w:rsidRPr="00B911D2">
        <w:rPr>
          <w:lang w:val="fr-FR"/>
        </w:rPr>
        <w:t>essai la plus élevée.</w:t>
      </w:r>
    </w:p>
    <w:p w:rsidR="00D31871" w:rsidRDefault="00D31871" w:rsidP="00D31871">
      <w:pPr>
        <w:pStyle w:val="SingleTxtG"/>
        <w:ind w:left="2268" w:hanging="1134"/>
        <w:rPr>
          <w:lang w:val="fr-FR"/>
        </w:rPr>
      </w:pPr>
      <w:r>
        <w:rPr>
          <w:lang w:val="fr-FR"/>
        </w:rPr>
        <w:t>3.4.2</w:t>
      </w:r>
      <w:r>
        <w:rPr>
          <w:lang w:val="fr-FR"/>
        </w:rPr>
        <w:tab/>
      </w:r>
      <w:r w:rsidRPr="00B911D2">
        <w:rPr>
          <w:lang w:val="fr-FR"/>
        </w:rPr>
        <w:t>Dans le cas d</w:t>
      </w:r>
      <w:r>
        <w:rPr>
          <w:lang w:val="fr-FR"/>
        </w:rPr>
        <w:t>’</w:t>
      </w:r>
      <w:r w:rsidRPr="00B911D2">
        <w:rPr>
          <w:lang w:val="fr-FR"/>
        </w:rPr>
        <w:t>une source lumineuse à incandescence comportant une ampoule dotée d</w:t>
      </w:r>
      <w:r>
        <w:rPr>
          <w:lang w:val="fr-FR"/>
        </w:rPr>
        <w:t>’</w:t>
      </w:r>
      <w:r w:rsidRPr="00B911D2">
        <w:rPr>
          <w:lang w:val="fr-FR"/>
        </w:rPr>
        <w:t>un revêtement, après la période de vieillissement prévue au paragraphe 3.4.1, la surface de l</w:t>
      </w:r>
      <w:r>
        <w:rPr>
          <w:lang w:val="fr-FR"/>
        </w:rPr>
        <w:t>’</w:t>
      </w:r>
      <w:r w:rsidRPr="00B911D2">
        <w:rPr>
          <w:lang w:val="fr-FR"/>
        </w:rPr>
        <w:t>ampoule doit être essuyée délicatement avec un tissu de coton imprégné d</w:t>
      </w:r>
      <w:r>
        <w:rPr>
          <w:lang w:val="fr-FR"/>
        </w:rPr>
        <w:t>’</w:t>
      </w:r>
      <w:r w:rsidRPr="00B911D2">
        <w:rPr>
          <w:lang w:val="fr-FR"/>
        </w:rPr>
        <w:t>un mélange composé de 70 % en volume de n-heptane et de 30 % en volume de toluène. Après cinq minutes environ, la surface doit faire l</w:t>
      </w:r>
      <w:r>
        <w:rPr>
          <w:lang w:val="fr-FR"/>
        </w:rPr>
        <w:t>’</w:t>
      </w:r>
      <w:r w:rsidRPr="00B911D2">
        <w:rPr>
          <w:lang w:val="fr-FR"/>
        </w:rPr>
        <w:t>objet d</w:t>
      </w:r>
      <w:r>
        <w:rPr>
          <w:lang w:val="fr-FR"/>
        </w:rPr>
        <w:t>’</w:t>
      </w:r>
      <w:r w:rsidRPr="00B911D2">
        <w:rPr>
          <w:lang w:val="fr-FR"/>
        </w:rPr>
        <w:t xml:space="preserve">une inspection visuelle et on ne doit constater aucun changement apparent. </w:t>
      </w:r>
    </w:p>
    <w:p w:rsidR="00D31871" w:rsidRDefault="00D31871" w:rsidP="00D31871">
      <w:pPr>
        <w:pStyle w:val="SingleTxtG"/>
        <w:ind w:left="2268" w:hanging="1134"/>
        <w:rPr>
          <w:lang w:val="fr-FR"/>
        </w:rPr>
      </w:pPr>
      <w:r>
        <w:rPr>
          <w:lang w:val="fr-FR"/>
        </w:rPr>
        <w:t>3.4.3</w:t>
      </w:r>
      <w:r>
        <w:rPr>
          <w:lang w:val="fr-FR"/>
        </w:rPr>
        <w:tab/>
      </w:r>
      <w:r w:rsidRPr="00B911D2">
        <w:rPr>
          <w:lang w:val="fr-FR"/>
        </w:rPr>
        <w:t>La position et les dimensions des filaments doivent être mesurées avec les sources lumineuses à incandescence alimentées à une tension de 90 % à 100 % de la tension d</w:t>
      </w:r>
      <w:r>
        <w:rPr>
          <w:lang w:val="fr-FR"/>
        </w:rPr>
        <w:t>’</w:t>
      </w:r>
      <w:r w:rsidRPr="00B911D2">
        <w:rPr>
          <w:lang w:val="fr-FR"/>
        </w:rPr>
        <w:t>essai. Dans le cas des sources lumineuses à incandescence pour lesquelles plusieurs tensions d</w:t>
      </w:r>
      <w:r>
        <w:rPr>
          <w:lang w:val="fr-FR"/>
        </w:rPr>
        <w:t>’</w:t>
      </w:r>
      <w:r w:rsidRPr="00B911D2">
        <w:rPr>
          <w:lang w:val="fr-FR"/>
        </w:rPr>
        <w:t>essai sont spécifiées, la mesure de la position et des dimensions des filaments doit se faire à la tension d</w:t>
      </w:r>
      <w:r>
        <w:rPr>
          <w:lang w:val="fr-FR"/>
        </w:rPr>
        <w:t>’</w:t>
      </w:r>
      <w:r w:rsidRPr="00B911D2">
        <w:rPr>
          <w:lang w:val="fr-FR"/>
        </w:rPr>
        <w:t>essai la plus élevée.</w:t>
      </w:r>
    </w:p>
    <w:p w:rsidR="00D31871" w:rsidRDefault="00D31871" w:rsidP="00D31871">
      <w:pPr>
        <w:pStyle w:val="SingleTxtG"/>
        <w:ind w:left="2268" w:hanging="1134"/>
        <w:rPr>
          <w:lang w:val="fr-FR"/>
        </w:rPr>
      </w:pPr>
      <w:r>
        <w:rPr>
          <w:lang w:val="fr-FR"/>
        </w:rPr>
        <w:t>3.4.4</w:t>
      </w:r>
      <w:r>
        <w:rPr>
          <w:lang w:val="fr-FR"/>
        </w:rPr>
        <w:tab/>
      </w:r>
      <w:r w:rsidRPr="00B911D2">
        <w:rPr>
          <w:lang w:val="fr-FR"/>
        </w:rPr>
        <w:t>Sauf indication contraire, les mesures électriques et photométriques doivent être effectuées à la (aux) tension(s) d</w:t>
      </w:r>
      <w:r>
        <w:rPr>
          <w:lang w:val="fr-FR"/>
        </w:rPr>
        <w:t>’</w:t>
      </w:r>
      <w:r w:rsidRPr="00B911D2">
        <w:rPr>
          <w:lang w:val="fr-FR"/>
        </w:rPr>
        <w:t>essai.</w:t>
      </w:r>
    </w:p>
    <w:p w:rsidR="00D31871" w:rsidRDefault="00D31871" w:rsidP="00D31871">
      <w:pPr>
        <w:pStyle w:val="SingleTxtG"/>
        <w:ind w:left="2268" w:hanging="1134"/>
        <w:rPr>
          <w:lang w:val="fr-FR"/>
        </w:rPr>
      </w:pPr>
      <w:r>
        <w:rPr>
          <w:lang w:val="fr-FR"/>
        </w:rPr>
        <w:t>3.4.5</w:t>
      </w:r>
      <w:r>
        <w:rPr>
          <w:lang w:val="fr-FR"/>
        </w:rPr>
        <w:tab/>
      </w:r>
      <w:r w:rsidRPr="00B911D2">
        <w:rPr>
          <w:lang w:val="fr-FR"/>
        </w:rPr>
        <w:t>Les mesures électriques doivent être effectuées avec des instruments de mesure de la classe 0.2 au moins.</w:t>
      </w:r>
    </w:p>
    <w:p w:rsidR="00D31871" w:rsidRDefault="00D31871" w:rsidP="00D31871">
      <w:pPr>
        <w:pStyle w:val="SingleTxtG"/>
        <w:ind w:left="2268" w:hanging="1134"/>
        <w:rPr>
          <w:lang w:val="fr-FR"/>
        </w:rPr>
      </w:pPr>
      <w:r>
        <w:rPr>
          <w:lang w:val="fr-FR"/>
        </w:rPr>
        <w:t>3.4.6</w:t>
      </w:r>
      <w:r>
        <w:rPr>
          <w:lang w:val="fr-FR"/>
        </w:rPr>
        <w:tab/>
      </w:r>
      <w:r w:rsidRPr="00B911D2">
        <w:rPr>
          <w:lang w:val="fr-FR"/>
        </w:rPr>
        <w:t>Dans le cas où la couleur jaune sélectif est autorisée, le flux lumineux de la source lumineuse à incandescence à ampoule jaune sélectif à l</w:t>
      </w:r>
      <w:r>
        <w:rPr>
          <w:lang w:val="fr-FR"/>
        </w:rPr>
        <w:t>’</w:t>
      </w:r>
      <w:r w:rsidRPr="00B911D2">
        <w:rPr>
          <w:lang w:val="fr-FR"/>
        </w:rPr>
        <w:t>extérieur doit être au moins égal à 85 % du flux lumineux spécifié pour la source lumineuse à incandescence correspondante émettant une lumière blanche.</w:t>
      </w:r>
    </w:p>
    <w:p w:rsidR="00D31871" w:rsidRDefault="00D31871" w:rsidP="00EB0DF5">
      <w:pPr>
        <w:pStyle w:val="SingleTxtG"/>
        <w:keepNext/>
        <w:ind w:left="2268" w:hanging="1134"/>
        <w:rPr>
          <w:lang w:val="fr-FR"/>
        </w:rPr>
      </w:pPr>
      <w:r>
        <w:rPr>
          <w:lang w:val="fr-FR"/>
        </w:rPr>
        <w:t>3.5</w:t>
      </w:r>
      <w:r>
        <w:rPr>
          <w:lang w:val="fr-FR"/>
        </w:rPr>
        <w:tab/>
      </w:r>
      <w:r w:rsidRPr="00B911D2">
        <w:rPr>
          <w:lang w:val="fr-FR"/>
        </w:rPr>
        <w:t>Position et dimensions du filament</w:t>
      </w:r>
    </w:p>
    <w:p w:rsidR="00D31871" w:rsidRDefault="00D31871" w:rsidP="00EB0DF5">
      <w:pPr>
        <w:pStyle w:val="SingleTxtG"/>
        <w:keepNext/>
        <w:ind w:left="2268" w:hanging="1134"/>
        <w:rPr>
          <w:lang w:val="fr-FR"/>
        </w:rPr>
      </w:pPr>
      <w:r>
        <w:rPr>
          <w:lang w:val="fr-FR"/>
        </w:rPr>
        <w:t>3.5.1</w:t>
      </w:r>
      <w:r>
        <w:rPr>
          <w:lang w:val="fr-FR"/>
        </w:rPr>
        <w:tab/>
      </w:r>
      <w:r w:rsidRPr="00B911D2">
        <w:rPr>
          <w:lang w:val="fr-FR"/>
        </w:rPr>
        <w:t>Les formes géométriques des filaments doivent correspondre en principe à celles spécifiées sur les feuilles de données de l</w:t>
      </w:r>
      <w:r>
        <w:rPr>
          <w:lang w:val="fr-FR"/>
        </w:rPr>
        <w:t>’</w:t>
      </w:r>
      <w:r w:rsidRPr="00B911D2">
        <w:rPr>
          <w:lang w:val="fr-FR"/>
        </w:rPr>
        <w:t>annexe 1.</w:t>
      </w:r>
    </w:p>
    <w:p w:rsidR="00D31871" w:rsidRDefault="00D31871" w:rsidP="00D31871">
      <w:pPr>
        <w:pStyle w:val="SingleTxtG"/>
        <w:ind w:left="2268" w:hanging="1134"/>
        <w:rPr>
          <w:lang w:val="fr-FR"/>
        </w:rPr>
      </w:pPr>
      <w:r>
        <w:rPr>
          <w:lang w:val="fr-FR"/>
        </w:rPr>
        <w:t>3.5.2</w:t>
      </w:r>
      <w:r>
        <w:rPr>
          <w:lang w:val="fr-FR"/>
        </w:rPr>
        <w:tab/>
      </w:r>
      <w:r w:rsidRPr="00B911D2">
        <w:rPr>
          <w:lang w:val="fr-FR"/>
        </w:rPr>
        <w:t xml:space="preserve">Pour les filaments rectilignes, la position et la forme correctes sont contrôlées comme spécifié dans la feuille de données correspondante. </w:t>
      </w:r>
    </w:p>
    <w:p w:rsidR="00D31871" w:rsidRDefault="00D31871" w:rsidP="00D31871">
      <w:pPr>
        <w:pStyle w:val="SingleTxtG"/>
        <w:ind w:left="2268" w:hanging="1134"/>
        <w:rPr>
          <w:lang w:val="fr-FR"/>
        </w:rPr>
      </w:pPr>
      <w:r>
        <w:rPr>
          <w:lang w:val="fr-FR"/>
        </w:rPr>
        <w:t>3.5.3</w:t>
      </w:r>
      <w:r>
        <w:rPr>
          <w:lang w:val="fr-FR"/>
        </w:rPr>
        <w:tab/>
      </w:r>
      <w:r w:rsidRPr="00B911D2">
        <w:rPr>
          <w:lang w:val="fr-FR"/>
        </w:rPr>
        <w:t>Si sur la feuille de caractéristiques de la source lumineuse à incandescence le filament est représenté dans une vue par un point, la position du centre lumineux doit être déterminée conformément à l</w:t>
      </w:r>
      <w:r>
        <w:rPr>
          <w:lang w:val="fr-FR"/>
        </w:rPr>
        <w:t>’</w:t>
      </w:r>
      <w:r w:rsidRPr="00B911D2">
        <w:rPr>
          <w:lang w:val="fr-FR"/>
        </w:rPr>
        <w:t>annexe 4.</w:t>
      </w:r>
    </w:p>
    <w:p w:rsidR="00D31871" w:rsidRDefault="00D31871" w:rsidP="00D31871">
      <w:pPr>
        <w:pStyle w:val="SingleTxtG"/>
        <w:ind w:left="2268" w:hanging="1134"/>
        <w:rPr>
          <w:lang w:val="fr-FR"/>
        </w:rPr>
      </w:pPr>
      <w:r>
        <w:rPr>
          <w:lang w:val="fr-FR"/>
        </w:rPr>
        <w:t>3.5.4</w:t>
      </w:r>
      <w:r>
        <w:rPr>
          <w:lang w:val="fr-FR"/>
        </w:rPr>
        <w:tab/>
      </w:r>
      <w:r w:rsidRPr="00B911D2">
        <w:rPr>
          <w:lang w:val="fr-FR"/>
        </w:rPr>
        <w:t>La longueur d</w:t>
      </w:r>
      <w:r>
        <w:rPr>
          <w:lang w:val="fr-FR"/>
        </w:rPr>
        <w:t>’</w:t>
      </w:r>
      <w:r w:rsidRPr="00B911D2">
        <w:rPr>
          <w:lang w:val="fr-FR"/>
        </w:rPr>
        <w:t>un filament rectiligne doit être déterminée par ses extrémités, définies −</w:t>
      </w:r>
      <w:r>
        <w:rPr>
          <w:lang w:val="fr-FR"/>
        </w:rPr>
        <w:t> </w:t>
      </w:r>
      <w:r w:rsidRPr="00B911D2">
        <w:rPr>
          <w:lang w:val="fr-FR"/>
        </w:rPr>
        <w:t>en l</w:t>
      </w:r>
      <w:r>
        <w:rPr>
          <w:lang w:val="fr-FR"/>
        </w:rPr>
        <w:t>’</w:t>
      </w:r>
      <w:r w:rsidRPr="00B911D2">
        <w:rPr>
          <w:lang w:val="fr-FR"/>
        </w:rPr>
        <w:t xml:space="preserve">absence de spécifications sur la feuille de caractéristiques </w:t>
      </w:r>
      <w:r>
        <w:rPr>
          <w:lang w:val="fr-FR"/>
        </w:rPr>
        <w:t>− </w:t>
      </w:r>
      <w:r w:rsidRPr="00B911D2">
        <w:rPr>
          <w:lang w:val="fr-FR"/>
        </w:rPr>
        <w:t>comme les sommets des première et dernière spires, vus en projection perpendiculaire à l</w:t>
      </w:r>
      <w:r>
        <w:rPr>
          <w:lang w:val="fr-FR"/>
        </w:rPr>
        <w:t>’</w:t>
      </w:r>
      <w:r w:rsidRPr="00B911D2">
        <w:rPr>
          <w:lang w:val="fr-FR"/>
        </w:rPr>
        <w:t>axe de référence de la source lumineuse. Le sommet d</w:t>
      </w:r>
      <w:r>
        <w:rPr>
          <w:lang w:val="fr-FR"/>
        </w:rPr>
        <w:t>’</w:t>
      </w:r>
      <w:r w:rsidRPr="00B911D2">
        <w:rPr>
          <w:lang w:val="fr-FR"/>
        </w:rPr>
        <w:t>une spire extrême doit remplir la condition que l</w:t>
      </w:r>
      <w:r>
        <w:rPr>
          <w:lang w:val="fr-FR"/>
        </w:rPr>
        <w:t>’</w:t>
      </w:r>
      <w:r w:rsidRPr="00B911D2">
        <w:rPr>
          <w:lang w:val="fr-FR"/>
        </w:rPr>
        <w:t>angle formé par les côtés ne dépasse pas 90°. Pour les filaments bispiralés il faut tenir compte des sommets des spires secondaires. Les sommets situés en dehors du point de raccordement aux amenées de courant ne doivent pas être pris en considération pour déterminer la longueur du filament.</w:t>
      </w:r>
    </w:p>
    <w:p w:rsidR="00D31871" w:rsidRDefault="00D31871" w:rsidP="001B7871">
      <w:pPr>
        <w:pStyle w:val="SingleTxtG"/>
        <w:keepNext/>
        <w:keepLines/>
        <w:ind w:left="2268" w:hanging="1134"/>
        <w:rPr>
          <w:lang w:val="fr-FR"/>
        </w:rPr>
      </w:pPr>
      <w:r w:rsidRPr="00B911D2">
        <w:rPr>
          <w:lang w:val="fr-FR"/>
        </w:rPr>
        <w:t>3.5.4.1</w:t>
      </w:r>
      <w:r w:rsidRPr="00B911D2">
        <w:rPr>
          <w:lang w:val="fr-FR"/>
        </w:rPr>
        <w:tab/>
        <w:t>Pour les filaments axiaux, la position extrême des sommets considérés doit être déterminée par rotation de la source lumineuse à incandescence autour de son axe de référence. La longueur doit être mesurée parallèlement à l</w:t>
      </w:r>
      <w:r>
        <w:rPr>
          <w:lang w:val="fr-FR"/>
        </w:rPr>
        <w:t>’</w:t>
      </w:r>
      <w:r w:rsidRPr="00B911D2">
        <w:rPr>
          <w:lang w:val="fr-FR"/>
        </w:rPr>
        <w:t>axe de référence.</w:t>
      </w:r>
    </w:p>
    <w:p w:rsidR="00D31871" w:rsidRDefault="00D31871" w:rsidP="00D31871">
      <w:pPr>
        <w:pStyle w:val="SingleTxtG"/>
        <w:ind w:left="2268" w:hanging="1134"/>
        <w:rPr>
          <w:lang w:val="fr-FR"/>
        </w:rPr>
      </w:pPr>
      <w:r w:rsidRPr="00B911D2">
        <w:rPr>
          <w:lang w:val="fr-FR"/>
        </w:rPr>
        <w:t>3.5.4.2</w:t>
      </w:r>
      <w:r w:rsidRPr="00B911D2">
        <w:rPr>
          <w:lang w:val="fr-FR"/>
        </w:rPr>
        <w:tab/>
        <w:t>Pour les filaments transversaux, l</w:t>
      </w:r>
      <w:r>
        <w:rPr>
          <w:lang w:val="fr-FR"/>
        </w:rPr>
        <w:t>’</w:t>
      </w:r>
      <w:r w:rsidRPr="00B911D2">
        <w:rPr>
          <w:lang w:val="fr-FR"/>
        </w:rPr>
        <w:t>axe du filament doit être placé perpendiculairement à la direction de projection. La longueur doit être mesurée perpendiculairement à l</w:t>
      </w:r>
      <w:r>
        <w:rPr>
          <w:lang w:val="fr-FR"/>
        </w:rPr>
        <w:t>’</w:t>
      </w:r>
      <w:r w:rsidRPr="00B911D2">
        <w:rPr>
          <w:lang w:val="fr-FR"/>
        </w:rPr>
        <w:t>axe de référence.</w:t>
      </w:r>
    </w:p>
    <w:p w:rsidR="00D31871" w:rsidRDefault="00D31871" w:rsidP="00EB0DF5">
      <w:pPr>
        <w:pStyle w:val="SingleTxtG"/>
        <w:keepNext/>
        <w:ind w:left="2268" w:hanging="1134"/>
        <w:rPr>
          <w:lang w:val="fr-FR"/>
        </w:rPr>
      </w:pPr>
      <w:r>
        <w:rPr>
          <w:lang w:val="fr-FR"/>
        </w:rPr>
        <w:t>3.6</w:t>
      </w:r>
      <w:r>
        <w:rPr>
          <w:lang w:val="fr-FR"/>
        </w:rPr>
        <w:tab/>
      </w:r>
      <w:r w:rsidRPr="00B911D2">
        <w:rPr>
          <w:lang w:val="fr-FR"/>
        </w:rPr>
        <w:t>Couleur</w:t>
      </w:r>
    </w:p>
    <w:p w:rsidR="00D31871" w:rsidRDefault="00D31871" w:rsidP="00EB0DF5">
      <w:pPr>
        <w:pStyle w:val="SingleTxtG"/>
        <w:keepNext/>
        <w:ind w:left="2268" w:hanging="1134"/>
        <w:rPr>
          <w:lang w:val="fr-FR"/>
        </w:rPr>
      </w:pPr>
      <w:r>
        <w:rPr>
          <w:lang w:val="fr-FR"/>
        </w:rPr>
        <w:t>3.6.1</w:t>
      </w:r>
      <w:r>
        <w:rPr>
          <w:lang w:val="fr-FR"/>
        </w:rPr>
        <w:tab/>
      </w:r>
      <w:r w:rsidRPr="00B911D2">
        <w:rPr>
          <w:lang w:val="fr-FR"/>
        </w:rPr>
        <w:t>La couleur de la lumière émise par la source lumineuse à incandescence doit être blanche, sauf disposition contraire figurant sur la feuille de données correspondante.</w:t>
      </w:r>
    </w:p>
    <w:p w:rsidR="00D31871" w:rsidRDefault="00D31871" w:rsidP="00D31871">
      <w:pPr>
        <w:pStyle w:val="SingleTxtG"/>
        <w:ind w:left="2268" w:hanging="1134"/>
        <w:rPr>
          <w:lang w:val="fr-FR"/>
        </w:rPr>
      </w:pPr>
      <w:r>
        <w:rPr>
          <w:bCs/>
          <w:lang w:val="fr-FR"/>
        </w:rPr>
        <w:t>3.6.2</w:t>
      </w:r>
      <w:r>
        <w:rPr>
          <w:bCs/>
          <w:lang w:val="fr-FR"/>
        </w:rPr>
        <w:tab/>
      </w:r>
      <w:r w:rsidRPr="00B911D2">
        <w:rPr>
          <w:bCs/>
          <w:lang w:val="fr-FR"/>
        </w:rPr>
        <w:t xml:space="preserve">Les définitions de la couleur de la lumière émise qui figurent dans le Règlement </w:t>
      </w:r>
      <w:r w:rsidRPr="00B911D2">
        <w:rPr>
          <w:lang w:val="fr-FR"/>
        </w:rPr>
        <w:t>n</w:t>
      </w:r>
      <w:r w:rsidRPr="00B911D2">
        <w:rPr>
          <w:vertAlign w:val="superscript"/>
          <w:lang w:val="fr-FR"/>
        </w:rPr>
        <w:t>o</w:t>
      </w:r>
      <w:r w:rsidRPr="00B911D2">
        <w:rPr>
          <w:bCs/>
          <w:lang w:val="fr-FR"/>
        </w:rPr>
        <w:t> 48 et ses séries d</w:t>
      </w:r>
      <w:r>
        <w:rPr>
          <w:bCs/>
          <w:lang w:val="fr-FR"/>
        </w:rPr>
        <w:t>’</w:t>
      </w:r>
      <w:r w:rsidRPr="00B911D2">
        <w:rPr>
          <w:bCs/>
          <w:lang w:val="fr-FR"/>
        </w:rPr>
        <w:t>amendements en vigueur à la date de la demande d</w:t>
      </w:r>
      <w:r>
        <w:rPr>
          <w:bCs/>
          <w:lang w:val="fr-FR"/>
        </w:rPr>
        <w:t>’</w:t>
      </w:r>
      <w:r w:rsidRPr="00B911D2">
        <w:rPr>
          <w:bCs/>
          <w:lang w:val="fr-FR"/>
        </w:rPr>
        <w:t>homologation de type s</w:t>
      </w:r>
      <w:r>
        <w:rPr>
          <w:bCs/>
          <w:lang w:val="fr-FR"/>
        </w:rPr>
        <w:t>’</w:t>
      </w:r>
      <w:r w:rsidRPr="00B911D2">
        <w:rPr>
          <w:bCs/>
          <w:lang w:val="fr-FR"/>
        </w:rPr>
        <w:t>appliquent au présent Règlement.</w:t>
      </w:r>
    </w:p>
    <w:p w:rsidR="00D31871" w:rsidRDefault="00D31871" w:rsidP="00D31871">
      <w:pPr>
        <w:pStyle w:val="SingleTxtG"/>
        <w:ind w:left="2268" w:hanging="1134"/>
        <w:rPr>
          <w:lang w:val="fr-FR"/>
        </w:rPr>
      </w:pPr>
      <w:r>
        <w:rPr>
          <w:lang w:val="fr-FR"/>
        </w:rPr>
        <w:t>3.6.3</w:t>
      </w:r>
      <w:r>
        <w:rPr>
          <w:lang w:val="fr-FR"/>
        </w:rPr>
        <w:tab/>
      </w:r>
      <w:r w:rsidRPr="00B911D2">
        <w:rPr>
          <w:lang w:val="fr-FR"/>
        </w:rPr>
        <w:t>La couleur de la lumière émise doit être mesurée selon la méthode définie à l</w:t>
      </w:r>
      <w:r>
        <w:rPr>
          <w:lang w:val="fr-FR"/>
        </w:rPr>
        <w:t>’</w:t>
      </w:r>
      <w:r w:rsidRPr="00B911D2">
        <w:rPr>
          <w:lang w:val="fr-FR"/>
        </w:rPr>
        <w:t>annexe</w:t>
      </w:r>
      <w:r>
        <w:rPr>
          <w:lang w:val="fr-FR"/>
        </w:rPr>
        <w:t> </w:t>
      </w:r>
      <w:r w:rsidRPr="00B911D2">
        <w:rPr>
          <w:lang w:val="fr-FR"/>
        </w:rPr>
        <w:t>5. Chaque valeur mesurée doit se situer dans l</w:t>
      </w:r>
      <w:r>
        <w:rPr>
          <w:lang w:val="fr-FR"/>
        </w:rPr>
        <w:t>’</w:t>
      </w:r>
      <w:r w:rsidRPr="00B911D2">
        <w:rPr>
          <w:lang w:val="fr-FR"/>
        </w:rPr>
        <w:t>intervalle de tolérance requis</w:t>
      </w:r>
      <w:r w:rsidRPr="009E2890">
        <w:rPr>
          <w:rStyle w:val="FootnoteReference"/>
        </w:rPr>
        <w:footnoteReference w:id="8"/>
      </w:r>
      <w:r w:rsidRPr="00B911D2">
        <w:rPr>
          <w:lang w:val="fr-FR"/>
        </w:rPr>
        <w:t>. En outre, dans le cas des sources lumineuses à incandescence émettant une lumière blanche, les valeurs mesurées ne doivent pas s</w:t>
      </w:r>
      <w:r>
        <w:rPr>
          <w:lang w:val="fr-FR"/>
        </w:rPr>
        <w:t>’</w:t>
      </w:r>
      <w:r w:rsidRPr="00B911D2">
        <w:rPr>
          <w:lang w:val="fr-FR"/>
        </w:rPr>
        <w:t>écarter de plus de 0,020 unité, sur l</w:t>
      </w:r>
      <w:r>
        <w:rPr>
          <w:lang w:val="fr-FR"/>
        </w:rPr>
        <w:t>’</w:t>
      </w:r>
      <w:r w:rsidRPr="00B911D2">
        <w:rPr>
          <w:lang w:val="fr-FR"/>
        </w:rPr>
        <w:t>axe des abscisses et/ou des ordonnées, d</w:t>
      </w:r>
      <w:r>
        <w:rPr>
          <w:lang w:val="fr-FR"/>
        </w:rPr>
        <w:t>’</w:t>
      </w:r>
      <w:r w:rsidRPr="00B911D2">
        <w:rPr>
          <w:lang w:val="fr-FR"/>
        </w:rPr>
        <w:t>un point choisi sur le lieu de Planck (CEI 015:2004, 3</w:t>
      </w:r>
      <w:r w:rsidRPr="00B911D2">
        <w:rPr>
          <w:vertAlign w:val="superscript"/>
          <w:lang w:val="fr-FR"/>
        </w:rPr>
        <w:t>e</w:t>
      </w:r>
      <w:r w:rsidRPr="00B911D2">
        <w:rPr>
          <w:lang w:val="fr-FR"/>
        </w:rPr>
        <w:t> éd</w:t>
      </w:r>
      <w:r>
        <w:rPr>
          <w:lang w:val="fr-FR"/>
        </w:rPr>
        <w:t>.</w:t>
      </w:r>
      <w:r w:rsidRPr="00B911D2">
        <w:rPr>
          <w:lang w:val="fr-FR"/>
        </w:rPr>
        <w:t>). Les sources lumineuses à incandescence destinées aux dispositifs de signalisation lumineuse doivent être conformes aux e</w:t>
      </w:r>
      <w:r w:rsidR="001B7871">
        <w:rPr>
          <w:lang w:val="fr-FR"/>
        </w:rPr>
        <w:t>xigences énoncées au paragraphe </w:t>
      </w:r>
      <w:r w:rsidRPr="00B911D2">
        <w:rPr>
          <w:lang w:val="fr-FR"/>
        </w:rPr>
        <w:t>2.4.2 de la publication 60809 de la CEI, 3</w:t>
      </w:r>
      <w:r w:rsidRPr="00B911D2">
        <w:rPr>
          <w:vertAlign w:val="superscript"/>
          <w:lang w:val="fr-FR"/>
        </w:rPr>
        <w:t>e</w:t>
      </w:r>
      <w:r w:rsidRPr="00B911D2">
        <w:rPr>
          <w:lang w:val="fr-FR"/>
        </w:rPr>
        <w:t xml:space="preserve"> édition.</w:t>
      </w:r>
    </w:p>
    <w:p w:rsidR="00D31871" w:rsidRPr="00B911D2" w:rsidRDefault="00D31871" w:rsidP="00EB0DF5">
      <w:pPr>
        <w:pStyle w:val="SingleTxtG"/>
        <w:keepNext/>
        <w:ind w:left="2268" w:hanging="1134"/>
        <w:rPr>
          <w:lang w:val="fr-FR"/>
        </w:rPr>
      </w:pPr>
      <w:r>
        <w:rPr>
          <w:lang w:val="fr-FR"/>
        </w:rPr>
        <w:t>3.7</w:t>
      </w:r>
      <w:r>
        <w:rPr>
          <w:lang w:val="fr-FR"/>
        </w:rPr>
        <w:tab/>
      </w:r>
      <w:r w:rsidRPr="00B911D2">
        <w:rPr>
          <w:lang w:val="fr-FR"/>
        </w:rPr>
        <w:t xml:space="preserve">Rayonnement ultraviolet </w:t>
      </w:r>
    </w:p>
    <w:p w:rsidR="00D31871" w:rsidRDefault="00D31871" w:rsidP="00EB0DF5">
      <w:pPr>
        <w:pStyle w:val="SingleTxtG"/>
        <w:keepNext/>
        <w:ind w:left="2268" w:hanging="1134"/>
        <w:rPr>
          <w:lang w:val="fr-FR"/>
        </w:rPr>
      </w:pPr>
      <w:r>
        <w:rPr>
          <w:lang w:val="fr-FR"/>
        </w:rPr>
        <w:tab/>
      </w:r>
      <w:r w:rsidRPr="00B911D2">
        <w:rPr>
          <w:lang w:val="fr-FR"/>
        </w:rPr>
        <w:t>Le rayonnement ultraviolet d</w:t>
      </w:r>
      <w:r>
        <w:rPr>
          <w:lang w:val="fr-FR"/>
        </w:rPr>
        <w:t>’</w:t>
      </w:r>
      <w:r w:rsidRPr="00B911D2">
        <w:rPr>
          <w:lang w:val="fr-FR"/>
        </w:rPr>
        <w:t>une source lumineuse à incandescence halogène doit être tel que :</w:t>
      </w:r>
    </w:p>
    <w:p w:rsidR="00EB0DF5" w:rsidRDefault="00EB0DF5" w:rsidP="00EB0DF5">
      <w:pPr>
        <w:pStyle w:val="SingleTxtG"/>
        <w:keepNext/>
        <w:ind w:left="2268" w:hanging="1134"/>
        <w:rPr>
          <w:lang w:val="fr-FR"/>
        </w:rPr>
      </w:pPr>
    </w:p>
    <w:p w:rsidR="00EB0DF5" w:rsidRDefault="004046B6" w:rsidP="00EB0DF5">
      <w:pPr>
        <w:pStyle w:val="SingleTxtG"/>
        <w:ind w:left="2268"/>
        <w:rPr>
          <w:iCs/>
          <w:lang w:val="fr-FR"/>
        </w:rPr>
      </w:pPr>
      <w:r w:rsidRPr="004046B6">
        <w:rPr>
          <w:iCs/>
          <w:position w:val="-114"/>
          <w:lang w:val="fr-FR"/>
        </w:rPr>
        <w:object w:dxaOrig="4200" w:dyaOrig="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18.5pt" o:ole="" filled="t" fillcolor="white [3212]">
            <v:imagedata r:id="rId13" o:title=""/>
          </v:shape>
          <o:OLEObject Type="Embed" ProgID="Equation.3" ShapeID="_x0000_i1025" DrawAspect="Content" ObjectID="_1574761525" r:id="rId14"/>
        </w:object>
      </w:r>
    </w:p>
    <w:p w:rsidR="004046B6" w:rsidRDefault="004046B6" w:rsidP="00EB0DF5">
      <w:pPr>
        <w:pStyle w:val="SingleTxtG"/>
        <w:ind w:left="2268"/>
        <w:rPr>
          <w:iCs/>
          <w:lang w:val="fr-FR"/>
        </w:rPr>
      </w:pPr>
    </w:p>
    <w:p w:rsidR="00D31871" w:rsidRPr="00B911D2" w:rsidRDefault="00235E5E" w:rsidP="00235E5E">
      <w:pPr>
        <w:pStyle w:val="SingleTxtG"/>
        <w:ind w:left="2268" w:hanging="1134"/>
        <w:rPr>
          <w:iCs/>
          <w:lang w:val="fr-FR"/>
        </w:rPr>
      </w:pPr>
      <w:r>
        <w:rPr>
          <w:iCs/>
          <w:lang w:val="fr-FR"/>
        </w:rPr>
        <w:tab/>
      </w:r>
      <w:r w:rsidR="004046B6" w:rsidRPr="004046B6">
        <w:rPr>
          <w:iCs/>
          <w:position w:val="-114"/>
          <w:lang w:val="fr-FR"/>
        </w:rPr>
        <w:object w:dxaOrig="4300" w:dyaOrig="2360">
          <v:shape id="_x0000_i1026" type="#_x0000_t75" style="width:212.25pt;height:118.5pt" o:ole="" filled="t" fillcolor="white [3212]">
            <v:imagedata r:id="rId15" o:title=""/>
          </v:shape>
          <o:OLEObject Type="Embed" ProgID="Equation.3" ShapeID="_x0000_i1026" DrawAspect="Content" ObjectID="_1574761526" r:id="rId16"/>
        </w:object>
      </w:r>
    </w:p>
    <w:p w:rsidR="00D31871" w:rsidRDefault="00D31871" w:rsidP="004046B6">
      <w:pPr>
        <w:pStyle w:val="SingleTxtG"/>
        <w:keepNext/>
        <w:keepLines/>
        <w:ind w:left="2268" w:hanging="1134"/>
        <w:rPr>
          <w:lang w:val="fr-FR"/>
        </w:rPr>
      </w:pPr>
      <w:r>
        <w:rPr>
          <w:lang w:val="fr-FR"/>
        </w:rPr>
        <w:tab/>
      </w:r>
      <w:r w:rsidRPr="00B911D2">
        <w:rPr>
          <w:lang w:val="fr-FR"/>
        </w:rPr>
        <w:t xml:space="preserve">Où : </w:t>
      </w:r>
    </w:p>
    <w:p w:rsidR="00D31871" w:rsidRDefault="00235E5E" w:rsidP="00235E5E">
      <w:pPr>
        <w:pStyle w:val="SingleTxtG"/>
        <w:ind w:left="2268" w:hanging="1134"/>
        <w:rPr>
          <w:lang w:val="fr-FR"/>
        </w:rPr>
      </w:pPr>
      <w:r>
        <w:rPr>
          <w:lang w:val="fr-FR"/>
        </w:rPr>
        <w:tab/>
      </w:r>
      <w:r w:rsidR="00D31871" w:rsidRPr="00B911D2">
        <w:rPr>
          <w:lang w:val="fr-FR"/>
        </w:rPr>
        <w:t>Ee</w:t>
      </w:r>
      <w:r w:rsidR="00D31871" w:rsidRPr="00B911D2">
        <w:rPr>
          <w:vertAlign w:val="subscript"/>
          <w:lang w:val="fr-FR"/>
        </w:rPr>
        <w:t xml:space="preserve"> </w:t>
      </w:r>
      <w:r w:rsidR="00D31871" w:rsidRPr="00B911D2">
        <w:rPr>
          <w:lang w:val="fr-FR"/>
        </w:rPr>
        <w:t>(</w:t>
      </w:r>
      <w:r w:rsidR="00D31871" w:rsidRPr="00B911D2">
        <w:rPr>
          <w:lang w:val="fr-FR"/>
        </w:rPr>
        <w:sym w:font="Symbol" w:char="F06C"/>
      </w:r>
      <w:r w:rsidR="00D31871">
        <w:rPr>
          <w:lang w:val="fr-FR"/>
        </w:rPr>
        <w:t>)</w:t>
      </w:r>
      <w:r w:rsidR="00D31871">
        <w:rPr>
          <w:lang w:val="fr-FR"/>
        </w:rPr>
        <w:tab/>
        <w:t>(W/nm)</w:t>
      </w:r>
      <w:r w:rsidR="00D31871">
        <w:rPr>
          <w:lang w:val="fr-FR"/>
        </w:rPr>
        <w:tab/>
      </w:r>
      <w:r w:rsidR="001B7871">
        <w:rPr>
          <w:lang w:val="fr-FR"/>
        </w:rPr>
        <w:tab/>
      </w:r>
      <w:r w:rsidR="00D31871" w:rsidRPr="00B911D2">
        <w:rPr>
          <w:lang w:val="fr-FR"/>
        </w:rPr>
        <w:t>est la distribution spectrale du rayonnement</w:t>
      </w:r>
      <w:r w:rsidR="00D31871">
        <w:rPr>
          <w:lang w:val="fr-FR"/>
        </w:rPr>
        <w:t> ;</w:t>
      </w:r>
    </w:p>
    <w:p w:rsidR="00D31871" w:rsidRDefault="00235E5E" w:rsidP="00D31871">
      <w:pPr>
        <w:pStyle w:val="SingleTxtG"/>
        <w:ind w:left="2268" w:hanging="1134"/>
        <w:rPr>
          <w:lang w:val="fr-FR"/>
        </w:rPr>
      </w:pPr>
      <w:r>
        <w:rPr>
          <w:lang w:val="fr-FR"/>
        </w:rPr>
        <w:tab/>
      </w:r>
      <w:r w:rsidR="00D31871" w:rsidRPr="00B911D2">
        <w:rPr>
          <w:lang w:val="fr-FR"/>
        </w:rPr>
        <w:t>V (</w:t>
      </w:r>
      <w:r w:rsidR="00D31871" w:rsidRPr="00B911D2">
        <w:rPr>
          <w:lang w:val="fr-FR"/>
        </w:rPr>
        <w:sym w:font="Symbol" w:char="F06C"/>
      </w:r>
      <w:r w:rsidR="00D31871" w:rsidRPr="00B911D2">
        <w:rPr>
          <w:lang w:val="fr-FR"/>
        </w:rPr>
        <w:t>)</w:t>
      </w:r>
      <w:r w:rsidR="00D31871">
        <w:rPr>
          <w:lang w:val="fr-FR"/>
        </w:rPr>
        <w:tab/>
      </w:r>
      <w:r w:rsidR="00D31871" w:rsidRPr="00B911D2">
        <w:rPr>
          <w:lang w:val="fr-FR"/>
        </w:rPr>
        <w:t>(1)</w:t>
      </w:r>
      <w:r w:rsidR="00D31871">
        <w:rPr>
          <w:lang w:val="fr-FR"/>
        </w:rPr>
        <w:tab/>
      </w:r>
      <w:r w:rsidR="001B7871">
        <w:rPr>
          <w:lang w:val="fr-FR"/>
        </w:rPr>
        <w:tab/>
      </w:r>
      <w:r w:rsidR="001B7871">
        <w:rPr>
          <w:lang w:val="fr-FR"/>
        </w:rPr>
        <w:tab/>
      </w:r>
      <w:r w:rsidR="00D31871" w:rsidRPr="00B911D2">
        <w:rPr>
          <w:lang w:val="fr-FR"/>
        </w:rPr>
        <w:t>est l</w:t>
      </w:r>
      <w:r w:rsidR="00D31871">
        <w:rPr>
          <w:lang w:val="fr-FR"/>
        </w:rPr>
        <w:t>’</w:t>
      </w:r>
      <w:r w:rsidR="00D31871" w:rsidRPr="00B911D2">
        <w:rPr>
          <w:lang w:val="fr-FR"/>
        </w:rPr>
        <w:t>efficacité lumineuse spectrale</w:t>
      </w:r>
      <w:r w:rsidR="00D31871">
        <w:rPr>
          <w:lang w:val="fr-FR"/>
        </w:rPr>
        <w:t> ;</w:t>
      </w:r>
    </w:p>
    <w:p w:rsidR="00D31871" w:rsidRDefault="00235E5E" w:rsidP="00D31871">
      <w:pPr>
        <w:pStyle w:val="SingleTxtG"/>
        <w:ind w:left="2268" w:hanging="1134"/>
        <w:rPr>
          <w:lang w:val="fr-FR"/>
        </w:rPr>
      </w:pPr>
      <w:r>
        <w:rPr>
          <w:lang w:val="fr-FR"/>
        </w:rPr>
        <w:tab/>
      </w:r>
      <w:r w:rsidR="00D31871" w:rsidRPr="00B911D2">
        <w:rPr>
          <w:lang w:val="fr-FR"/>
        </w:rPr>
        <w:t>k</w:t>
      </w:r>
      <w:r w:rsidR="00D31871" w:rsidRPr="00B911D2">
        <w:rPr>
          <w:vertAlign w:val="subscript"/>
          <w:lang w:val="fr-FR"/>
        </w:rPr>
        <w:t>m</w:t>
      </w:r>
      <w:r w:rsidR="00D31871">
        <w:rPr>
          <w:lang w:val="fr-FR"/>
        </w:rPr>
        <w:t xml:space="preserve"> = 683</w:t>
      </w:r>
      <w:r w:rsidR="00D31871">
        <w:rPr>
          <w:lang w:val="fr-FR"/>
        </w:rPr>
        <w:tab/>
        <w:t>(lm/W)</w:t>
      </w:r>
      <w:r w:rsidR="00D31871">
        <w:rPr>
          <w:lang w:val="fr-FR"/>
        </w:rPr>
        <w:tab/>
      </w:r>
      <w:r w:rsidR="00D31871" w:rsidRPr="00B911D2">
        <w:rPr>
          <w:lang w:val="fr-FR"/>
        </w:rPr>
        <w:t>est l</w:t>
      </w:r>
      <w:r w:rsidR="00D31871">
        <w:rPr>
          <w:lang w:val="fr-FR"/>
        </w:rPr>
        <w:t>’</w:t>
      </w:r>
      <w:r w:rsidR="00D31871" w:rsidRPr="00B911D2">
        <w:rPr>
          <w:lang w:val="fr-FR"/>
        </w:rPr>
        <w:t>équivalent photométrique du rayonnement</w:t>
      </w:r>
      <w:r w:rsidR="00D31871">
        <w:rPr>
          <w:lang w:val="fr-FR"/>
        </w:rPr>
        <w:t> ;</w:t>
      </w:r>
    </w:p>
    <w:p w:rsidR="00D31871" w:rsidRDefault="00235E5E" w:rsidP="00D31871">
      <w:pPr>
        <w:pStyle w:val="SingleTxtG"/>
        <w:ind w:left="2268" w:hanging="1134"/>
        <w:rPr>
          <w:lang w:val="fr-FR"/>
        </w:rPr>
      </w:pPr>
      <w:r>
        <w:rPr>
          <w:lang w:val="fr-FR"/>
        </w:rPr>
        <w:tab/>
      </w:r>
      <w:r w:rsidR="00D31871" w:rsidRPr="00B911D2">
        <w:rPr>
          <w:lang w:val="fr-FR"/>
        </w:rPr>
        <w:sym w:font="Symbol" w:char="F06C"/>
      </w:r>
      <w:r w:rsidR="00D31871">
        <w:rPr>
          <w:lang w:val="fr-FR"/>
        </w:rPr>
        <w:tab/>
      </w:r>
      <w:r w:rsidR="001B7871">
        <w:rPr>
          <w:lang w:val="fr-FR"/>
        </w:rPr>
        <w:tab/>
      </w:r>
      <w:r w:rsidR="00D31871" w:rsidRPr="00B911D2">
        <w:rPr>
          <w:lang w:val="fr-FR"/>
        </w:rPr>
        <w:t>(nm)</w:t>
      </w:r>
      <w:r w:rsidR="00D31871">
        <w:rPr>
          <w:lang w:val="fr-FR"/>
        </w:rPr>
        <w:tab/>
      </w:r>
      <w:r w:rsidR="001B7871">
        <w:rPr>
          <w:lang w:val="fr-FR"/>
        </w:rPr>
        <w:tab/>
      </w:r>
      <w:r w:rsidR="00D31871" w:rsidRPr="00B911D2">
        <w:rPr>
          <w:lang w:val="fr-FR"/>
        </w:rPr>
        <w:t>est la longueur d</w:t>
      </w:r>
      <w:r w:rsidR="00D31871">
        <w:rPr>
          <w:lang w:val="fr-FR"/>
        </w:rPr>
        <w:t>’</w:t>
      </w:r>
      <w:r w:rsidR="00D31871" w:rsidRPr="00B911D2">
        <w:rPr>
          <w:lang w:val="fr-FR"/>
        </w:rPr>
        <w:t>onde.</w:t>
      </w:r>
    </w:p>
    <w:p w:rsidR="00D31871" w:rsidRPr="00B911D2" w:rsidRDefault="00235E5E" w:rsidP="00D31871">
      <w:pPr>
        <w:pStyle w:val="SingleTxtG"/>
        <w:ind w:left="2268" w:hanging="1134"/>
        <w:rPr>
          <w:lang w:val="fr-FR"/>
        </w:rPr>
      </w:pPr>
      <w:r>
        <w:rPr>
          <w:lang w:val="fr-FR"/>
        </w:rPr>
        <w:tab/>
      </w:r>
      <w:r w:rsidR="00D31871" w:rsidRPr="00B911D2">
        <w:rPr>
          <w:lang w:val="fr-FR"/>
        </w:rPr>
        <w:t>Cette valeur doit être calculée à des intervalles de 5 nanomètres.</w:t>
      </w:r>
    </w:p>
    <w:p w:rsidR="00D31871" w:rsidRPr="00B911D2" w:rsidRDefault="00D31871" w:rsidP="00EB0DF5">
      <w:pPr>
        <w:pStyle w:val="SingleTxtG"/>
        <w:keepNext/>
        <w:ind w:left="2268" w:hanging="1134"/>
        <w:rPr>
          <w:lang w:val="fr-FR"/>
        </w:rPr>
      </w:pPr>
      <w:r>
        <w:rPr>
          <w:lang w:val="fr-FR"/>
        </w:rPr>
        <w:t>3.8</w:t>
      </w:r>
      <w:r w:rsidRPr="00B911D2">
        <w:rPr>
          <w:lang w:val="fr-FR"/>
        </w:rPr>
        <w:tab/>
        <w:t xml:space="preserve">Remarque sur la couleur jaune sélectif </w:t>
      </w:r>
    </w:p>
    <w:p w:rsidR="00D31871" w:rsidRPr="00B911D2" w:rsidRDefault="00D31871" w:rsidP="00EB0DF5">
      <w:pPr>
        <w:pStyle w:val="SingleTxtG"/>
        <w:keepNext/>
        <w:ind w:left="2268"/>
        <w:rPr>
          <w:lang w:val="fr-FR"/>
        </w:rPr>
      </w:pPr>
      <w:r w:rsidRPr="00B911D2">
        <w:rPr>
          <w:lang w:val="fr-FR"/>
        </w:rPr>
        <w:t>L</w:t>
      </w:r>
      <w:r>
        <w:rPr>
          <w:lang w:val="fr-FR"/>
        </w:rPr>
        <w:t>’</w:t>
      </w:r>
      <w:r w:rsidRPr="00B911D2">
        <w:rPr>
          <w:lang w:val="fr-FR"/>
        </w:rPr>
        <w:t>homologation d</w:t>
      </w:r>
      <w:r>
        <w:rPr>
          <w:lang w:val="fr-FR"/>
        </w:rPr>
        <w:t>’</w:t>
      </w:r>
      <w:r w:rsidRPr="00B911D2">
        <w:rPr>
          <w:lang w:val="fr-FR"/>
        </w:rPr>
        <w:t>un type de source lumineuse à incandescence en application du présent Règlement peut être accordée, en vertu du paragraphe</w:t>
      </w:r>
      <w:r>
        <w:rPr>
          <w:lang w:val="fr-FR"/>
        </w:rPr>
        <w:t> </w:t>
      </w:r>
      <w:r w:rsidRPr="00B911D2">
        <w:rPr>
          <w:lang w:val="fr-FR"/>
        </w:rPr>
        <w:t>3.6 ci-dessus, pour une source lumineuse à incandescence émettant soit une lumière blanche soit une lumière jaune sélectif</w:t>
      </w:r>
      <w:r>
        <w:rPr>
          <w:lang w:val="fr-FR"/>
        </w:rPr>
        <w:t> ;</w:t>
      </w:r>
      <w:r w:rsidRPr="00B911D2">
        <w:rPr>
          <w:lang w:val="fr-FR"/>
        </w:rPr>
        <w:t xml:space="preserve"> l</w:t>
      </w:r>
      <w:r>
        <w:rPr>
          <w:lang w:val="fr-FR"/>
        </w:rPr>
        <w:t>’</w:t>
      </w:r>
      <w:r w:rsidRPr="00B911D2">
        <w:rPr>
          <w:lang w:val="fr-FR"/>
        </w:rPr>
        <w:t>article 3 de l</w:t>
      </w:r>
      <w:r>
        <w:rPr>
          <w:lang w:val="fr-FR"/>
        </w:rPr>
        <w:t>’</w:t>
      </w:r>
      <w:r w:rsidRPr="00B911D2">
        <w:rPr>
          <w:lang w:val="fr-FR"/>
        </w:rPr>
        <w:t>Accord auquel le Règlement est annexé n</w:t>
      </w:r>
      <w:r>
        <w:rPr>
          <w:lang w:val="fr-FR"/>
        </w:rPr>
        <w:t>’</w:t>
      </w:r>
      <w:r w:rsidRPr="00B911D2">
        <w:rPr>
          <w:lang w:val="fr-FR"/>
        </w:rPr>
        <w:t>empêche pas les Parties contractantes d</w:t>
      </w:r>
      <w:r>
        <w:rPr>
          <w:lang w:val="fr-FR"/>
        </w:rPr>
        <w:t>’</w:t>
      </w:r>
      <w:r w:rsidRPr="00B911D2">
        <w:rPr>
          <w:lang w:val="fr-FR"/>
        </w:rPr>
        <w:t>interdire, sur les véhicules qu</w:t>
      </w:r>
      <w:r>
        <w:rPr>
          <w:lang w:val="fr-FR"/>
        </w:rPr>
        <w:t>’</w:t>
      </w:r>
      <w:r w:rsidRPr="00B911D2">
        <w:rPr>
          <w:lang w:val="fr-FR"/>
        </w:rPr>
        <w:t xml:space="preserve">elles immatriculent, les sources lumineuses à incandescence émettant de la lumière blanche ou jaune sélectif. </w:t>
      </w:r>
    </w:p>
    <w:p w:rsidR="00D31871" w:rsidRPr="00B911D2" w:rsidRDefault="00D31871" w:rsidP="00EB0DF5">
      <w:pPr>
        <w:pStyle w:val="SingleTxtG"/>
        <w:keepNext/>
        <w:ind w:left="2268" w:hanging="1134"/>
        <w:rPr>
          <w:lang w:val="fr-FR"/>
        </w:rPr>
      </w:pPr>
      <w:r>
        <w:rPr>
          <w:lang w:val="fr-FR"/>
        </w:rPr>
        <w:t>3.9</w:t>
      </w:r>
      <w:r w:rsidRPr="00B911D2">
        <w:rPr>
          <w:lang w:val="fr-FR"/>
        </w:rPr>
        <w:tab/>
        <w:t xml:space="preserve">Contrôle de la qualité optique </w:t>
      </w:r>
    </w:p>
    <w:p w:rsidR="00D31871" w:rsidRPr="00B911D2" w:rsidRDefault="00D31871" w:rsidP="00EB0DF5">
      <w:pPr>
        <w:pStyle w:val="SingleTxtG"/>
        <w:keepNext/>
        <w:ind w:left="2268"/>
        <w:rPr>
          <w:lang w:val="fr-FR"/>
        </w:rPr>
      </w:pPr>
      <w:r w:rsidRPr="00B911D2">
        <w:rPr>
          <w:lang w:val="fr-FR"/>
        </w:rPr>
        <w:t>(Ne s</w:t>
      </w:r>
      <w:r>
        <w:rPr>
          <w:lang w:val="fr-FR"/>
        </w:rPr>
        <w:t>’</w:t>
      </w:r>
      <w:r w:rsidRPr="00B911D2">
        <w:rPr>
          <w:lang w:val="fr-FR"/>
        </w:rPr>
        <w:t>applique qu</w:t>
      </w:r>
      <w:r>
        <w:rPr>
          <w:lang w:val="fr-FR"/>
        </w:rPr>
        <w:t>’</w:t>
      </w:r>
      <w:r w:rsidRPr="00B911D2">
        <w:rPr>
          <w:lang w:val="fr-FR"/>
        </w:rPr>
        <w:t>aux sources lumineuses à incandescence dotées d</w:t>
      </w:r>
      <w:r>
        <w:rPr>
          <w:lang w:val="fr-FR"/>
        </w:rPr>
        <w:t>’</w:t>
      </w:r>
      <w:r w:rsidRPr="00B911D2">
        <w:rPr>
          <w:lang w:val="fr-FR"/>
        </w:rPr>
        <w:t>une coupelle interne qui provoque la coupure).</w:t>
      </w:r>
    </w:p>
    <w:p w:rsidR="00D31871" w:rsidRDefault="00D31871" w:rsidP="00D31871">
      <w:pPr>
        <w:pStyle w:val="SingleTxtG"/>
        <w:ind w:left="2268" w:hanging="1134"/>
        <w:rPr>
          <w:lang w:val="fr-FR"/>
        </w:rPr>
      </w:pPr>
      <w:r>
        <w:rPr>
          <w:lang w:val="fr-FR"/>
        </w:rPr>
        <w:t>3.9.1</w:t>
      </w:r>
      <w:r>
        <w:rPr>
          <w:lang w:val="fr-FR"/>
        </w:rPr>
        <w:tab/>
      </w:r>
      <w:r w:rsidRPr="00B911D2">
        <w:rPr>
          <w:lang w:val="fr-FR"/>
        </w:rPr>
        <w:t>Le contrôle de la qualité optique doit être effectué à une tension qui permet d</w:t>
      </w:r>
      <w:r>
        <w:rPr>
          <w:lang w:val="fr-FR"/>
        </w:rPr>
        <w:t>’</w:t>
      </w:r>
      <w:r w:rsidRPr="00B911D2">
        <w:rPr>
          <w:lang w:val="fr-FR"/>
        </w:rPr>
        <w:t>obtenir le flux lumineux de mesure</w:t>
      </w:r>
      <w:r>
        <w:rPr>
          <w:lang w:val="fr-FR"/>
        </w:rPr>
        <w:t> ;</w:t>
      </w:r>
      <w:r w:rsidRPr="00B911D2">
        <w:rPr>
          <w:lang w:val="fr-FR"/>
        </w:rPr>
        <w:t xml:space="preserve"> les prescriptions du paragraphe 3.4.6 doivent être appliquées en conséquence.</w:t>
      </w:r>
    </w:p>
    <w:p w:rsidR="00D31871" w:rsidRPr="00B911D2" w:rsidRDefault="00D31871" w:rsidP="00D31871">
      <w:pPr>
        <w:pStyle w:val="SingleTxtG"/>
        <w:ind w:left="2268" w:hanging="1134"/>
        <w:rPr>
          <w:lang w:val="fr-FR"/>
        </w:rPr>
      </w:pPr>
      <w:r>
        <w:rPr>
          <w:lang w:val="fr-FR"/>
        </w:rPr>
        <w:t>3.9.2</w:t>
      </w:r>
      <w:r w:rsidRPr="00B911D2">
        <w:rPr>
          <w:lang w:val="fr-FR"/>
        </w:rPr>
        <w:tab/>
        <w:t>Pour les sources lumineuses à incandescence de 12</w:t>
      </w:r>
      <w:r>
        <w:rPr>
          <w:lang w:val="fr-FR"/>
        </w:rPr>
        <w:t> </w:t>
      </w:r>
      <w:r w:rsidRPr="00B911D2">
        <w:rPr>
          <w:lang w:val="fr-FR"/>
        </w:rPr>
        <w:t xml:space="preserve">V émettant une lumière blanche : </w:t>
      </w:r>
    </w:p>
    <w:p w:rsidR="00D31871" w:rsidRDefault="00D31871" w:rsidP="00AD76C9">
      <w:pPr>
        <w:pStyle w:val="SingleTxtG"/>
        <w:ind w:left="2268"/>
        <w:rPr>
          <w:lang w:val="fr-FR"/>
        </w:rPr>
      </w:pPr>
      <w:r w:rsidRPr="00B911D2">
        <w:rPr>
          <w:lang w:val="fr-FR"/>
        </w:rPr>
        <w:t>L</w:t>
      </w:r>
      <w:r>
        <w:rPr>
          <w:lang w:val="fr-FR"/>
        </w:rPr>
        <w:t>’</w:t>
      </w:r>
      <w:r w:rsidRPr="00B911D2">
        <w:rPr>
          <w:lang w:val="fr-FR"/>
        </w:rPr>
        <w:t>échantillon qui se rapproche le plus des conditions prescrites pour la source lumineuse à incandescence étalon doit être mis à l</w:t>
      </w:r>
      <w:r>
        <w:rPr>
          <w:lang w:val="fr-FR"/>
        </w:rPr>
        <w:t>’</w:t>
      </w:r>
      <w:r w:rsidRPr="00B911D2">
        <w:rPr>
          <w:lang w:val="fr-FR"/>
        </w:rPr>
        <w:t>essai dans le projecteur</w:t>
      </w:r>
      <w:r>
        <w:rPr>
          <w:lang w:val="fr-FR"/>
        </w:rPr>
        <w:noBreakHyphen/>
      </w:r>
      <w:r w:rsidRPr="00B911D2">
        <w:rPr>
          <w:lang w:val="fr-FR"/>
        </w:rPr>
        <w:t>étalon décrit au paragraphe</w:t>
      </w:r>
      <w:r>
        <w:rPr>
          <w:lang w:val="fr-FR"/>
        </w:rPr>
        <w:t> </w:t>
      </w:r>
      <w:r w:rsidRPr="00B911D2">
        <w:rPr>
          <w:lang w:val="fr-FR"/>
        </w:rPr>
        <w:t>3.9.5 et il faut vérifier la conformité de l</w:t>
      </w:r>
      <w:r>
        <w:rPr>
          <w:lang w:val="fr-FR"/>
        </w:rPr>
        <w:t>’</w:t>
      </w:r>
      <w:r w:rsidRPr="00B911D2">
        <w:rPr>
          <w:lang w:val="fr-FR"/>
        </w:rPr>
        <w:t>ensemble constitué par le projecteur et la source lumineuse à incandescence mise à l</w:t>
      </w:r>
      <w:r>
        <w:rPr>
          <w:lang w:val="fr-FR"/>
        </w:rPr>
        <w:t>’</w:t>
      </w:r>
      <w:r w:rsidRPr="00B911D2">
        <w:rPr>
          <w:lang w:val="fr-FR"/>
        </w:rPr>
        <w:t xml:space="preserve">essai aux spécifications lumineuses du Règlement correspondant pour le projecteur de croisement. </w:t>
      </w:r>
    </w:p>
    <w:p w:rsidR="00D31871" w:rsidRPr="00B911D2" w:rsidRDefault="00D31871" w:rsidP="00D31871">
      <w:pPr>
        <w:pStyle w:val="SingleTxtG"/>
        <w:ind w:left="2268" w:hanging="1134"/>
        <w:rPr>
          <w:lang w:val="fr-FR"/>
        </w:rPr>
      </w:pPr>
      <w:r>
        <w:rPr>
          <w:lang w:val="fr-FR"/>
        </w:rPr>
        <w:t>3.9.3</w:t>
      </w:r>
      <w:r w:rsidRPr="00B911D2">
        <w:rPr>
          <w:lang w:val="fr-FR"/>
        </w:rPr>
        <w:tab/>
        <w:t>Pour les sources lumineuses à incandescence de 6 et 24 V émettant une lumière blanche :</w:t>
      </w:r>
    </w:p>
    <w:p w:rsidR="00D31871" w:rsidRPr="00B911D2" w:rsidRDefault="00D31871" w:rsidP="00AD76C9">
      <w:pPr>
        <w:pStyle w:val="SingleTxtG"/>
        <w:ind w:left="2268"/>
        <w:rPr>
          <w:lang w:val="fr-FR"/>
        </w:rPr>
      </w:pPr>
      <w:r>
        <w:rPr>
          <w:lang w:val="fr-FR"/>
        </w:rPr>
        <w:tab/>
      </w:r>
      <w:r w:rsidRPr="00B911D2">
        <w:rPr>
          <w:lang w:val="fr-FR"/>
        </w:rPr>
        <w:t>L</w:t>
      </w:r>
      <w:r>
        <w:rPr>
          <w:lang w:val="fr-FR"/>
        </w:rPr>
        <w:t>’</w:t>
      </w:r>
      <w:r w:rsidRPr="00B911D2">
        <w:rPr>
          <w:lang w:val="fr-FR"/>
        </w:rPr>
        <w:t>échantillon qui se rapproche le plus des dimensions nominales doit être mis à l</w:t>
      </w:r>
      <w:r>
        <w:rPr>
          <w:lang w:val="fr-FR"/>
        </w:rPr>
        <w:t>’</w:t>
      </w:r>
      <w:r w:rsidRPr="00B911D2">
        <w:rPr>
          <w:lang w:val="fr-FR"/>
        </w:rPr>
        <w:t>essai dans le projecteur-étalon décrit au paragraphe</w:t>
      </w:r>
      <w:r w:rsidR="00235E5E">
        <w:rPr>
          <w:lang w:val="fr-FR"/>
        </w:rPr>
        <w:t> </w:t>
      </w:r>
      <w:r w:rsidRPr="00B911D2">
        <w:rPr>
          <w:lang w:val="fr-FR"/>
        </w:rPr>
        <w:t>3.9.5 et il faut vérifier la conformité de l</w:t>
      </w:r>
      <w:r>
        <w:rPr>
          <w:lang w:val="fr-FR"/>
        </w:rPr>
        <w:t>’</w:t>
      </w:r>
      <w:r w:rsidRPr="00B911D2">
        <w:rPr>
          <w:lang w:val="fr-FR"/>
        </w:rPr>
        <w:t>ensemble constitué par le projecteur et la source lumineuse à incandescence mise à l</w:t>
      </w:r>
      <w:r>
        <w:rPr>
          <w:lang w:val="fr-FR"/>
        </w:rPr>
        <w:t>’</w:t>
      </w:r>
      <w:r w:rsidRPr="00B911D2">
        <w:rPr>
          <w:lang w:val="fr-FR"/>
        </w:rPr>
        <w:t xml:space="preserve">essai aux spécifications lumineuses du Règlement correspondant pour le projecteur de croisement. Des écarts ne dépassant pas 10 % des valeurs minimales sont autorisés. </w:t>
      </w:r>
    </w:p>
    <w:p w:rsidR="00D31871" w:rsidRPr="00B911D2" w:rsidRDefault="00D31871" w:rsidP="00D31871">
      <w:pPr>
        <w:pStyle w:val="SingleTxtG"/>
        <w:ind w:left="2268" w:hanging="1134"/>
        <w:rPr>
          <w:lang w:val="fr-FR"/>
        </w:rPr>
      </w:pPr>
      <w:r>
        <w:rPr>
          <w:lang w:val="fr-FR"/>
        </w:rPr>
        <w:t>3.9.4</w:t>
      </w:r>
      <w:r w:rsidRPr="00B911D2">
        <w:rPr>
          <w:lang w:val="fr-FR"/>
        </w:rPr>
        <w:tab/>
        <w:t>Les sources lumineuses à incandescence émettant une lumière jaune sélectif doivent être éprouvées de la manière indiquée aux paragraphes 3.9.2 et 3.9.3, dans le projecteur-étalon décrit au paragraphe</w:t>
      </w:r>
      <w:r>
        <w:rPr>
          <w:lang w:val="fr-FR"/>
        </w:rPr>
        <w:t> </w:t>
      </w:r>
      <w:r w:rsidRPr="00B911D2">
        <w:rPr>
          <w:lang w:val="fr-FR"/>
        </w:rPr>
        <w:t>3.9.5, pour vérifier que l</w:t>
      </w:r>
      <w:r>
        <w:rPr>
          <w:lang w:val="fr-FR"/>
        </w:rPr>
        <w:t>’</w:t>
      </w:r>
      <w:r w:rsidRPr="00B911D2">
        <w:rPr>
          <w:lang w:val="fr-FR"/>
        </w:rPr>
        <w:t>éclairement atteint, pour les sources lumineuses à incandescence de 12</w:t>
      </w:r>
      <w:r>
        <w:rPr>
          <w:lang w:val="fr-FR"/>
        </w:rPr>
        <w:t> </w:t>
      </w:r>
      <w:r w:rsidRPr="00B911D2">
        <w:rPr>
          <w:lang w:val="fr-FR"/>
        </w:rPr>
        <w:t>V, au moins 85 % et, pour les sources lumineuses à incandescence de 6 et 24 V, au moins 77 % des spécifications lumineuses minimales du Règlement correspondant pour le projecteur de croisement. Les valeurs d</w:t>
      </w:r>
      <w:r>
        <w:rPr>
          <w:lang w:val="fr-FR"/>
        </w:rPr>
        <w:t>’</w:t>
      </w:r>
      <w:r w:rsidRPr="00B911D2">
        <w:rPr>
          <w:lang w:val="fr-FR"/>
        </w:rPr>
        <w:t xml:space="preserve">éclairement maximales restent les mêmes. </w:t>
      </w:r>
    </w:p>
    <w:p w:rsidR="00D31871" w:rsidRPr="00B911D2" w:rsidRDefault="00D31871" w:rsidP="00AD76C9">
      <w:pPr>
        <w:pStyle w:val="SingleTxtG"/>
        <w:ind w:left="2268"/>
        <w:rPr>
          <w:lang w:val="fr-FR"/>
        </w:rPr>
      </w:pPr>
      <w:r w:rsidRPr="00B911D2">
        <w:rPr>
          <w:lang w:val="fr-FR"/>
        </w:rPr>
        <w:t>Dans le cas d</w:t>
      </w:r>
      <w:r>
        <w:rPr>
          <w:lang w:val="fr-FR"/>
        </w:rPr>
        <w:t>’</w:t>
      </w:r>
      <w:r w:rsidRPr="00B911D2">
        <w:rPr>
          <w:lang w:val="fr-FR"/>
        </w:rPr>
        <w:t>une source lumineuse à incandescence dotée d</w:t>
      </w:r>
      <w:r>
        <w:rPr>
          <w:lang w:val="fr-FR"/>
        </w:rPr>
        <w:t>’</w:t>
      </w:r>
      <w:r w:rsidRPr="00B911D2">
        <w:rPr>
          <w:lang w:val="fr-FR"/>
        </w:rPr>
        <w:t>une ampoule jaune sélectif, cet essai ne doit pas être effectué si l</w:t>
      </w:r>
      <w:r>
        <w:rPr>
          <w:lang w:val="fr-FR"/>
        </w:rPr>
        <w:t>’</w:t>
      </w:r>
      <w:r w:rsidRPr="00B911D2">
        <w:rPr>
          <w:lang w:val="fr-FR"/>
        </w:rPr>
        <w:t>homologation est aussi accordée au même type de source lumineuse à incandescence émettant une lumière blanche.</w:t>
      </w:r>
    </w:p>
    <w:p w:rsidR="00D31871" w:rsidRDefault="00D31871" w:rsidP="00D31871">
      <w:pPr>
        <w:pStyle w:val="SingleTxtG"/>
        <w:ind w:left="2268" w:hanging="1134"/>
        <w:rPr>
          <w:lang w:val="fr-FR"/>
        </w:rPr>
      </w:pPr>
      <w:r w:rsidRPr="00B911D2">
        <w:rPr>
          <w:lang w:val="fr-FR"/>
        </w:rPr>
        <w:t>3.9.5</w:t>
      </w:r>
      <w:r w:rsidRPr="00B911D2">
        <w:rPr>
          <w:lang w:val="fr-FR"/>
        </w:rPr>
        <w:tab/>
        <w:t>Est considéré comme projecteur-étalon un projecteur :</w:t>
      </w:r>
    </w:p>
    <w:p w:rsidR="00D31871" w:rsidRDefault="00D31871" w:rsidP="00D31871">
      <w:pPr>
        <w:pStyle w:val="SingleTxtG"/>
        <w:ind w:left="2268" w:hanging="1134"/>
        <w:rPr>
          <w:lang w:val="fr-FR"/>
        </w:rPr>
      </w:pPr>
      <w:r w:rsidRPr="00B911D2">
        <w:rPr>
          <w:lang w:val="fr-FR"/>
        </w:rPr>
        <w:t>3.9.5.1</w:t>
      </w:r>
      <w:r w:rsidRPr="00B911D2">
        <w:rPr>
          <w:lang w:val="fr-FR"/>
        </w:rPr>
        <w:tab/>
        <w:t>Remplissant les conditions d</w:t>
      </w:r>
      <w:r>
        <w:rPr>
          <w:lang w:val="fr-FR"/>
        </w:rPr>
        <w:t>’</w:t>
      </w:r>
      <w:r w:rsidRPr="00B911D2">
        <w:rPr>
          <w:lang w:val="fr-FR"/>
        </w:rPr>
        <w:t>homologation correspondantes</w:t>
      </w:r>
      <w:r>
        <w:rPr>
          <w:lang w:val="fr-FR"/>
        </w:rPr>
        <w:t> ;</w:t>
      </w:r>
    </w:p>
    <w:p w:rsidR="00D31871" w:rsidRDefault="00D31871" w:rsidP="00D31871">
      <w:pPr>
        <w:pStyle w:val="SingleTxtG"/>
        <w:ind w:left="2268" w:hanging="1134"/>
        <w:rPr>
          <w:lang w:val="fr-FR"/>
        </w:rPr>
      </w:pPr>
      <w:r w:rsidRPr="00B911D2">
        <w:rPr>
          <w:lang w:val="fr-FR"/>
        </w:rPr>
        <w:t>3.9.5.2</w:t>
      </w:r>
      <w:r w:rsidRPr="00B911D2">
        <w:rPr>
          <w:lang w:val="fr-FR"/>
        </w:rPr>
        <w:tab/>
        <w:t>Ayant un diamètre effectif d</w:t>
      </w:r>
      <w:r>
        <w:rPr>
          <w:lang w:val="fr-FR"/>
        </w:rPr>
        <w:t>’</w:t>
      </w:r>
      <w:r w:rsidRPr="00B911D2">
        <w:rPr>
          <w:lang w:val="fr-FR"/>
        </w:rPr>
        <w:t>au moins 160</w:t>
      </w:r>
      <w:r w:rsidR="00235E5E">
        <w:rPr>
          <w:lang w:val="fr-FR"/>
        </w:rPr>
        <w:t> </w:t>
      </w:r>
      <w:r w:rsidRPr="00B911D2">
        <w:rPr>
          <w:lang w:val="fr-FR"/>
        </w:rPr>
        <w:t>mm</w:t>
      </w:r>
      <w:r>
        <w:rPr>
          <w:lang w:val="fr-FR"/>
        </w:rPr>
        <w:t> ;</w:t>
      </w:r>
    </w:p>
    <w:p w:rsidR="00D31871" w:rsidRDefault="00D31871" w:rsidP="00D31871">
      <w:pPr>
        <w:pStyle w:val="SingleTxtG"/>
        <w:ind w:left="2268" w:hanging="1134"/>
        <w:rPr>
          <w:lang w:val="fr-FR"/>
        </w:rPr>
      </w:pPr>
      <w:r w:rsidRPr="00B911D2">
        <w:rPr>
          <w:lang w:val="fr-FR"/>
        </w:rPr>
        <w:t>3.9.5.3</w:t>
      </w:r>
      <w:r w:rsidRPr="00B911D2">
        <w:rPr>
          <w:lang w:val="fr-FR"/>
        </w:rPr>
        <w:tab/>
        <w:t>Produisant avec une source lumineuse à incandescence étalon, aux divers points et dans les diverses régions spécifiés pour ce type de projecteur, des éclairements représentant :</w:t>
      </w:r>
    </w:p>
    <w:p w:rsidR="00D31871" w:rsidRDefault="00D31871" w:rsidP="00D31871">
      <w:pPr>
        <w:pStyle w:val="SingleTxtG"/>
        <w:ind w:left="2268" w:hanging="1134"/>
        <w:rPr>
          <w:lang w:val="fr-FR"/>
        </w:rPr>
      </w:pPr>
      <w:r w:rsidRPr="00B911D2">
        <w:rPr>
          <w:lang w:val="fr-FR"/>
        </w:rPr>
        <w:t>3.9.5.3.1</w:t>
      </w:r>
      <w:r w:rsidRPr="00B911D2">
        <w:rPr>
          <w:lang w:val="fr-FR"/>
        </w:rPr>
        <w:tab/>
        <w:t>Au maximum 90 % des limites maximales</w:t>
      </w:r>
      <w:r>
        <w:rPr>
          <w:lang w:val="fr-FR"/>
        </w:rPr>
        <w:t> ;</w:t>
      </w:r>
    </w:p>
    <w:p w:rsidR="00D31871" w:rsidRDefault="00D31871" w:rsidP="00D31871">
      <w:pPr>
        <w:pStyle w:val="SingleTxtG"/>
        <w:ind w:left="2268" w:hanging="1134"/>
        <w:rPr>
          <w:lang w:val="fr-FR"/>
        </w:rPr>
      </w:pPr>
      <w:r w:rsidRPr="00B911D2">
        <w:rPr>
          <w:lang w:val="fr-FR"/>
        </w:rPr>
        <w:t>3.9.5.3.2</w:t>
      </w:r>
      <w:r w:rsidRPr="00B911D2">
        <w:rPr>
          <w:lang w:val="fr-FR"/>
        </w:rPr>
        <w:tab/>
        <w:t>Au minimum 120 % des limites minimales prescrites pour le type de projecteur considéré.</w:t>
      </w:r>
    </w:p>
    <w:p w:rsidR="00D31871" w:rsidRPr="00B911D2" w:rsidRDefault="00D31871" w:rsidP="00EB0DF5">
      <w:pPr>
        <w:pStyle w:val="SingleTxtG"/>
        <w:keepNext/>
        <w:ind w:left="2268" w:hanging="1134"/>
        <w:rPr>
          <w:lang w:val="fr-FR"/>
        </w:rPr>
      </w:pPr>
      <w:r>
        <w:rPr>
          <w:lang w:val="fr-FR"/>
        </w:rPr>
        <w:t>3.10</w:t>
      </w:r>
      <w:r>
        <w:rPr>
          <w:lang w:val="fr-FR"/>
        </w:rPr>
        <w:tab/>
      </w:r>
      <w:r>
        <w:rPr>
          <w:lang w:val="fr-FR"/>
        </w:rPr>
        <w:tab/>
      </w:r>
      <w:r w:rsidRPr="00B911D2">
        <w:rPr>
          <w:lang w:val="fr-FR"/>
        </w:rPr>
        <w:t xml:space="preserve">Sources lumineuses à incandescence étalon </w:t>
      </w:r>
    </w:p>
    <w:p w:rsidR="00D31871" w:rsidRDefault="00D31871" w:rsidP="00EB0DF5">
      <w:pPr>
        <w:pStyle w:val="SingleTxtG"/>
        <w:keepNext/>
        <w:ind w:left="2268"/>
        <w:rPr>
          <w:lang w:val="fr-FR"/>
        </w:rPr>
      </w:pPr>
      <w:r w:rsidRPr="00B911D2">
        <w:rPr>
          <w:lang w:val="fr-FR"/>
        </w:rPr>
        <w:t>Des prescriptions supplémentaires pour les sources lumineuses à incandescence étalon figurent sur les feuilles de données correspondantes de l</w:t>
      </w:r>
      <w:r>
        <w:rPr>
          <w:lang w:val="fr-FR"/>
        </w:rPr>
        <w:t>’</w:t>
      </w:r>
      <w:r w:rsidRPr="00B911D2">
        <w:rPr>
          <w:lang w:val="fr-FR"/>
        </w:rPr>
        <w:t>annexe 1.</w:t>
      </w:r>
    </w:p>
    <w:p w:rsidR="00D31871" w:rsidRDefault="00D31871" w:rsidP="00AD76C9">
      <w:pPr>
        <w:pStyle w:val="SingleTxtG"/>
        <w:ind w:left="2268"/>
        <w:rPr>
          <w:lang w:val="fr-FR"/>
        </w:rPr>
      </w:pPr>
      <w:r w:rsidRPr="00B911D2">
        <w:rPr>
          <w:lang w:val="fr-FR"/>
        </w:rPr>
        <w:t>Les ampoules des sources lumineuses à incandescence étalon émettant une lumière blanche ne doivent pas modifier les coordonnées trichromatiques CEI d</w:t>
      </w:r>
      <w:r>
        <w:rPr>
          <w:lang w:val="fr-FR"/>
        </w:rPr>
        <w:t>’</w:t>
      </w:r>
      <w:r w:rsidRPr="00B911D2">
        <w:rPr>
          <w:lang w:val="fr-FR"/>
        </w:rPr>
        <w:t xml:space="preserve">une source lumineuse ayant une température de couleur de 2 856 K de plus de 0,010 unité dans le sens x et/ou y. </w:t>
      </w:r>
    </w:p>
    <w:p w:rsidR="00D31871" w:rsidRPr="00B911D2" w:rsidRDefault="00D31871" w:rsidP="00AD76C9">
      <w:pPr>
        <w:pStyle w:val="SingleTxtG"/>
        <w:ind w:left="2268"/>
        <w:rPr>
          <w:lang w:val="fr-FR"/>
        </w:rPr>
      </w:pPr>
      <w:r w:rsidRPr="00B911D2">
        <w:rPr>
          <w:lang w:val="fr-FR"/>
        </w:rPr>
        <w:t>En ce qui concerne les sources lumineuses à incandescence étalon émettant une lumière jaune-auto ou rouge, les changements de température de l</w:t>
      </w:r>
      <w:r>
        <w:rPr>
          <w:lang w:val="fr-FR"/>
        </w:rPr>
        <w:t>’</w:t>
      </w:r>
      <w:r w:rsidRPr="00B911D2">
        <w:rPr>
          <w:lang w:val="fr-FR"/>
        </w:rPr>
        <w:t>ampoule ne doivent pas affecter le flux lumineux car cela pourrait altérer les mesures photométriques des dispositifs de signalisation.</w:t>
      </w:r>
    </w:p>
    <w:p w:rsidR="00D31871" w:rsidRPr="00F67E43" w:rsidRDefault="00235E5E" w:rsidP="00235E5E">
      <w:pPr>
        <w:pStyle w:val="HChG"/>
        <w:rPr>
          <w:lang w:val="fr-FR"/>
        </w:rPr>
      </w:pPr>
      <w:r>
        <w:rPr>
          <w:lang w:val="fr-FR"/>
        </w:rPr>
        <w:tab/>
      </w:r>
      <w:r>
        <w:rPr>
          <w:lang w:val="fr-FR"/>
        </w:rPr>
        <w:tab/>
      </w:r>
      <w:r w:rsidR="00D31871" w:rsidRPr="00F67E43">
        <w:rPr>
          <w:lang w:val="fr-FR"/>
        </w:rPr>
        <w:t>4.</w:t>
      </w:r>
      <w:r w:rsidR="00D31871" w:rsidRPr="00F67E43">
        <w:rPr>
          <w:lang w:val="fr-FR"/>
        </w:rPr>
        <w:tab/>
      </w:r>
      <w:r>
        <w:rPr>
          <w:lang w:val="fr-FR"/>
        </w:rPr>
        <w:tab/>
      </w:r>
      <w:r w:rsidR="00D31871" w:rsidRPr="00F67E43">
        <w:rPr>
          <w:lang w:val="fr-FR"/>
        </w:rPr>
        <w:t xml:space="preserve">Conformité de la production </w:t>
      </w:r>
    </w:p>
    <w:p w:rsidR="00D31871" w:rsidRDefault="00D31871" w:rsidP="00D31871">
      <w:pPr>
        <w:pStyle w:val="SingleTxtG"/>
        <w:ind w:left="2268" w:hanging="1134"/>
        <w:rPr>
          <w:lang w:val="fr-FR"/>
        </w:rPr>
      </w:pPr>
      <w:r>
        <w:rPr>
          <w:lang w:val="fr-FR"/>
        </w:rPr>
        <w:t>4.1</w:t>
      </w:r>
      <w:r w:rsidRPr="00B911D2">
        <w:rPr>
          <w:lang w:val="fr-FR"/>
        </w:rPr>
        <w:tab/>
        <w:t>Les sources lumineuses à incandescence homologuées conformément au présent Règlement doivent être fabriquées de manière à être conformes au type homologué en satisfaisant aux inscriptions et aux prescriptions techniques énoncées au paragraphe 3 ci-dessus ainsi que dans les annexes 1, 3 et 4 du présent Règlement.</w:t>
      </w:r>
    </w:p>
    <w:p w:rsidR="00D31871" w:rsidRDefault="00D31871" w:rsidP="00D31871">
      <w:pPr>
        <w:pStyle w:val="SingleTxtG"/>
        <w:ind w:left="2268" w:hanging="1134"/>
        <w:rPr>
          <w:lang w:val="fr-FR"/>
        </w:rPr>
      </w:pPr>
      <w:r>
        <w:rPr>
          <w:lang w:val="fr-FR"/>
        </w:rPr>
        <w:t>4.2</w:t>
      </w:r>
      <w:r>
        <w:rPr>
          <w:lang w:val="fr-FR"/>
        </w:rPr>
        <w:tab/>
      </w:r>
      <w:r w:rsidRPr="00B911D2">
        <w:rPr>
          <w:lang w:val="fr-FR"/>
        </w:rPr>
        <w:t>Il faut procéder à des contrôles appropriés de la production pour vérifier que les conditions énoncées au paragraphe 4.1 sont remplies.</w:t>
      </w:r>
    </w:p>
    <w:p w:rsidR="00D31871" w:rsidRDefault="00D31871" w:rsidP="00D31871">
      <w:pPr>
        <w:pStyle w:val="SingleTxtG"/>
        <w:ind w:left="2268" w:hanging="1134"/>
        <w:rPr>
          <w:lang w:val="fr-FR"/>
        </w:rPr>
      </w:pPr>
      <w:r>
        <w:rPr>
          <w:lang w:val="fr-FR"/>
        </w:rPr>
        <w:t>4.3</w:t>
      </w:r>
      <w:r>
        <w:rPr>
          <w:lang w:val="fr-FR"/>
        </w:rPr>
        <w:tab/>
      </w:r>
      <w:r w:rsidRPr="00B911D2">
        <w:rPr>
          <w:lang w:val="fr-FR"/>
        </w:rPr>
        <w:t>Le détenteur de l</w:t>
      </w:r>
      <w:r>
        <w:rPr>
          <w:lang w:val="fr-FR"/>
        </w:rPr>
        <w:t>’</w:t>
      </w:r>
      <w:r w:rsidRPr="00B911D2">
        <w:rPr>
          <w:lang w:val="fr-FR"/>
        </w:rPr>
        <w:t>homologation est notamment tenu :</w:t>
      </w:r>
    </w:p>
    <w:p w:rsidR="00D31871" w:rsidRDefault="00D31871" w:rsidP="00D31871">
      <w:pPr>
        <w:pStyle w:val="SingleTxtG"/>
        <w:ind w:left="2268" w:hanging="1134"/>
        <w:rPr>
          <w:lang w:val="fr-FR"/>
        </w:rPr>
      </w:pPr>
      <w:r>
        <w:rPr>
          <w:lang w:val="fr-FR"/>
        </w:rPr>
        <w:t>4.3.1</w:t>
      </w:r>
      <w:r>
        <w:rPr>
          <w:lang w:val="fr-FR"/>
        </w:rPr>
        <w:tab/>
      </w:r>
      <w:r w:rsidRPr="00B911D2">
        <w:rPr>
          <w:lang w:val="fr-FR"/>
        </w:rPr>
        <w:t>De veiller à l</w:t>
      </w:r>
      <w:r>
        <w:rPr>
          <w:lang w:val="fr-FR"/>
        </w:rPr>
        <w:t>’</w:t>
      </w:r>
      <w:r w:rsidRPr="00B911D2">
        <w:rPr>
          <w:lang w:val="fr-FR"/>
        </w:rPr>
        <w:t>existence de procédures de contrôle efficace de la qualité des produits</w:t>
      </w:r>
      <w:r>
        <w:rPr>
          <w:lang w:val="fr-FR"/>
        </w:rPr>
        <w:t> ;</w:t>
      </w:r>
    </w:p>
    <w:p w:rsidR="00D31871" w:rsidRDefault="00D31871" w:rsidP="00D31871">
      <w:pPr>
        <w:pStyle w:val="SingleTxtG"/>
        <w:ind w:left="2268" w:hanging="1134"/>
        <w:rPr>
          <w:lang w:val="fr-FR"/>
        </w:rPr>
      </w:pPr>
      <w:r>
        <w:rPr>
          <w:lang w:val="fr-FR"/>
        </w:rPr>
        <w:t>4.3.2</w:t>
      </w:r>
      <w:r>
        <w:rPr>
          <w:lang w:val="fr-FR"/>
        </w:rPr>
        <w:tab/>
      </w:r>
      <w:r w:rsidRPr="00B911D2">
        <w:rPr>
          <w:lang w:val="fr-FR"/>
        </w:rPr>
        <w:t>D</w:t>
      </w:r>
      <w:r>
        <w:rPr>
          <w:lang w:val="fr-FR"/>
        </w:rPr>
        <w:t>’</w:t>
      </w:r>
      <w:r w:rsidRPr="00B911D2">
        <w:rPr>
          <w:lang w:val="fr-FR"/>
        </w:rPr>
        <w:t>avoir accès à l</w:t>
      </w:r>
      <w:r>
        <w:rPr>
          <w:lang w:val="fr-FR"/>
        </w:rPr>
        <w:t>’</w:t>
      </w:r>
      <w:r w:rsidRPr="00B911D2">
        <w:rPr>
          <w:lang w:val="fr-FR"/>
        </w:rPr>
        <w:t>équipement de contrôle nécessaire pour vérifier la conformité à chaque type homologué</w:t>
      </w:r>
      <w:r>
        <w:rPr>
          <w:lang w:val="fr-FR"/>
        </w:rPr>
        <w:t> ;</w:t>
      </w:r>
    </w:p>
    <w:p w:rsidR="00D31871" w:rsidRDefault="00D31871" w:rsidP="00D31871">
      <w:pPr>
        <w:pStyle w:val="SingleTxtG"/>
        <w:ind w:left="2268" w:hanging="1134"/>
        <w:rPr>
          <w:lang w:val="fr-FR"/>
        </w:rPr>
      </w:pPr>
      <w:r>
        <w:rPr>
          <w:lang w:val="fr-FR"/>
        </w:rPr>
        <w:t>4.3.3</w:t>
      </w:r>
      <w:r>
        <w:rPr>
          <w:lang w:val="fr-FR"/>
        </w:rPr>
        <w:tab/>
      </w:r>
      <w:r w:rsidRPr="00B911D2">
        <w:rPr>
          <w:lang w:val="fr-FR"/>
        </w:rPr>
        <w:t>De veiller à ce que les données concernant les résultats d</w:t>
      </w:r>
      <w:r>
        <w:rPr>
          <w:lang w:val="fr-FR"/>
        </w:rPr>
        <w:t>’</w:t>
      </w:r>
      <w:r w:rsidRPr="00B911D2">
        <w:rPr>
          <w:lang w:val="fr-FR"/>
        </w:rPr>
        <w:t>essais soient enregistrées et que les documents connexes soient tenus à disposition pendant une période définie en accord avec le service administratif</w:t>
      </w:r>
      <w:r>
        <w:rPr>
          <w:lang w:val="fr-FR"/>
        </w:rPr>
        <w:t> ;</w:t>
      </w:r>
    </w:p>
    <w:p w:rsidR="00D31871" w:rsidRDefault="00D31871" w:rsidP="00D31871">
      <w:pPr>
        <w:pStyle w:val="SingleTxtG"/>
        <w:ind w:left="2268" w:hanging="1134"/>
        <w:rPr>
          <w:lang w:val="fr-FR"/>
        </w:rPr>
      </w:pPr>
      <w:r>
        <w:rPr>
          <w:lang w:val="fr-FR"/>
        </w:rPr>
        <w:t>4.3.4</w:t>
      </w:r>
      <w:r>
        <w:rPr>
          <w:lang w:val="fr-FR"/>
        </w:rPr>
        <w:tab/>
      </w:r>
      <w:r w:rsidRPr="00B911D2">
        <w:rPr>
          <w:lang w:val="fr-FR"/>
        </w:rPr>
        <w:t>D</w:t>
      </w:r>
      <w:r>
        <w:rPr>
          <w:lang w:val="fr-FR"/>
        </w:rPr>
        <w:t>’</w:t>
      </w:r>
      <w:r w:rsidRPr="00B911D2">
        <w:rPr>
          <w:lang w:val="fr-FR"/>
        </w:rPr>
        <w:t>analyser les résultats de chaque type d</w:t>
      </w:r>
      <w:r>
        <w:rPr>
          <w:lang w:val="fr-FR"/>
        </w:rPr>
        <w:t>’</w:t>
      </w:r>
      <w:r w:rsidRPr="00B911D2">
        <w:rPr>
          <w:lang w:val="fr-FR"/>
        </w:rPr>
        <w:t>essai, en appliquant les critères de l</w:t>
      </w:r>
      <w:r>
        <w:rPr>
          <w:lang w:val="fr-FR"/>
        </w:rPr>
        <w:t>’</w:t>
      </w:r>
      <w:r w:rsidRPr="00B911D2">
        <w:rPr>
          <w:lang w:val="fr-FR"/>
        </w:rPr>
        <w:t>annexe 7, afin de contrôler et d</w:t>
      </w:r>
      <w:r>
        <w:rPr>
          <w:lang w:val="fr-FR"/>
        </w:rPr>
        <w:t>’</w:t>
      </w:r>
      <w:r w:rsidRPr="00B911D2">
        <w:rPr>
          <w:lang w:val="fr-FR"/>
        </w:rPr>
        <w:t>assurer la constance des caractéristiques du produit eu égard aux variations admissibles en fabrication industrielle</w:t>
      </w:r>
      <w:r>
        <w:rPr>
          <w:lang w:val="fr-FR"/>
        </w:rPr>
        <w:t> ;</w:t>
      </w:r>
    </w:p>
    <w:p w:rsidR="00D31871" w:rsidRDefault="00D31871" w:rsidP="00D31871">
      <w:pPr>
        <w:pStyle w:val="SingleTxtG"/>
        <w:ind w:left="2268" w:hanging="1134"/>
        <w:rPr>
          <w:lang w:val="fr-FR"/>
        </w:rPr>
      </w:pPr>
      <w:r>
        <w:rPr>
          <w:lang w:val="fr-FR"/>
        </w:rPr>
        <w:t>4.3.5</w:t>
      </w:r>
      <w:r>
        <w:rPr>
          <w:lang w:val="fr-FR"/>
        </w:rPr>
        <w:tab/>
      </w:r>
      <w:r w:rsidRPr="00B911D2">
        <w:rPr>
          <w:lang w:val="fr-FR"/>
        </w:rPr>
        <w:t>De faire en sorte que, pour chaque type de source lumineuse à incandescence, au moins les essais prescrits à l</w:t>
      </w:r>
      <w:r>
        <w:rPr>
          <w:lang w:val="fr-FR"/>
        </w:rPr>
        <w:t>’</w:t>
      </w:r>
      <w:r w:rsidRPr="00B911D2">
        <w:rPr>
          <w:lang w:val="fr-FR"/>
        </w:rPr>
        <w:t>annexe 6 du présent Règlement soient effectués</w:t>
      </w:r>
      <w:r>
        <w:rPr>
          <w:lang w:val="fr-FR"/>
        </w:rPr>
        <w:t> ;</w:t>
      </w:r>
    </w:p>
    <w:p w:rsidR="00D31871" w:rsidRDefault="00D31871" w:rsidP="00D31871">
      <w:pPr>
        <w:pStyle w:val="SingleTxtG"/>
        <w:ind w:left="2268" w:hanging="1134"/>
        <w:rPr>
          <w:lang w:val="fr-FR"/>
        </w:rPr>
      </w:pPr>
      <w:r>
        <w:rPr>
          <w:lang w:val="fr-FR"/>
        </w:rPr>
        <w:t>4.3.6</w:t>
      </w:r>
      <w:r>
        <w:rPr>
          <w:lang w:val="fr-FR"/>
        </w:rPr>
        <w:tab/>
      </w:r>
      <w:r w:rsidRPr="00B911D2">
        <w:rPr>
          <w:lang w:val="fr-FR"/>
        </w:rPr>
        <w:t>De faire en sorte que tout prélèvement d</w:t>
      </w:r>
      <w:r>
        <w:rPr>
          <w:lang w:val="fr-FR"/>
        </w:rPr>
        <w:t>’</w:t>
      </w:r>
      <w:r w:rsidRPr="00B911D2">
        <w:rPr>
          <w:lang w:val="fr-FR"/>
        </w:rPr>
        <w:t>échantillons mettant en évidence la non-conformité pour le type d</w:t>
      </w:r>
      <w:r>
        <w:rPr>
          <w:lang w:val="fr-FR"/>
        </w:rPr>
        <w:t>’</w:t>
      </w:r>
      <w:r w:rsidRPr="00B911D2">
        <w:rPr>
          <w:lang w:val="fr-FR"/>
        </w:rPr>
        <w:t>essai considéré soit suivi d</w:t>
      </w:r>
      <w:r>
        <w:rPr>
          <w:lang w:val="fr-FR"/>
        </w:rPr>
        <w:t>’</w:t>
      </w:r>
      <w:r w:rsidRPr="00B911D2">
        <w:rPr>
          <w:lang w:val="fr-FR"/>
        </w:rPr>
        <w:t>un nouveau prélèvement et d</w:t>
      </w:r>
      <w:r>
        <w:rPr>
          <w:lang w:val="fr-FR"/>
        </w:rPr>
        <w:t>’</w:t>
      </w:r>
      <w:r w:rsidRPr="00B911D2">
        <w:rPr>
          <w:lang w:val="fr-FR"/>
        </w:rPr>
        <w:t>un nouvel essai. Toutes les dispositions nécessaires doivent être prises pour rétablir la conformité de la production correspondante.</w:t>
      </w:r>
    </w:p>
    <w:p w:rsidR="00D31871" w:rsidRDefault="00D31871" w:rsidP="00D31871">
      <w:pPr>
        <w:pStyle w:val="SingleTxtG"/>
        <w:ind w:left="2268" w:hanging="1134"/>
        <w:rPr>
          <w:lang w:val="fr-FR"/>
        </w:rPr>
      </w:pPr>
      <w:r>
        <w:rPr>
          <w:lang w:val="fr-FR"/>
        </w:rPr>
        <w:t>4.4</w:t>
      </w:r>
      <w:r>
        <w:rPr>
          <w:lang w:val="fr-FR"/>
        </w:rPr>
        <w:tab/>
      </w:r>
      <w:r w:rsidRPr="00B911D2">
        <w:rPr>
          <w:lang w:val="fr-FR"/>
        </w:rPr>
        <w:t>L</w:t>
      </w:r>
      <w:r>
        <w:rPr>
          <w:lang w:val="fr-FR"/>
        </w:rPr>
        <w:t>’</w:t>
      </w:r>
      <w:r w:rsidRPr="00B911D2">
        <w:rPr>
          <w:lang w:val="fr-FR"/>
        </w:rPr>
        <w:t>autorité d</w:t>
      </w:r>
      <w:r>
        <w:rPr>
          <w:lang w:val="fr-FR"/>
        </w:rPr>
        <w:t>’</w:t>
      </w:r>
      <w:r w:rsidRPr="00B911D2">
        <w:rPr>
          <w:lang w:val="fr-FR"/>
        </w:rPr>
        <w:t>homologation de type qui a délivré l</w:t>
      </w:r>
      <w:r>
        <w:rPr>
          <w:lang w:val="fr-FR"/>
        </w:rPr>
        <w:t>’</w:t>
      </w:r>
      <w:r w:rsidRPr="00B911D2">
        <w:rPr>
          <w:lang w:val="fr-FR"/>
        </w:rPr>
        <w:t>homologation peut vérifier à tout moment les méthodes de contrôle de conformité appliquées dans chaque unité de production</w:t>
      </w:r>
      <w:r>
        <w:rPr>
          <w:lang w:val="fr-FR"/>
        </w:rPr>
        <w:t>.</w:t>
      </w:r>
    </w:p>
    <w:p w:rsidR="00D31871" w:rsidRDefault="00D31871" w:rsidP="00D31871">
      <w:pPr>
        <w:pStyle w:val="SingleTxtG"/>
        <w:ind w:left="2268" w:hanging="1134"/>
        <w:rPr>
          <w:lang w:val="fr-FR"/>
        </w:rPr>
      </w:pPr>
      <w:r>
        <w:rPr>
          <w:lang w:val="fr-FR"/>
        </w:rPr>
        <w:t>4.4.1</w:t>
      </w:r>
      <w:r>
        <w:rPr>
          <w:lang w:val="fr-FR"/>
        </w:rPr>
        <w:tab/>
      </w:r>
      <w:r w:rsidRPr="00B911D2">
        <w:rPr>
          <w:lang w:val="fr-FR"/>
        </w:rPr>
        <w:t>Lors de chaque inspection, les registres d</w:t>
      </w:r>
      <w:r>
        <w:rPr>
          <w:lang w:val="fr-FR"/>
        </w:rPr>
        <w:t>’</w:t>
      </w:r>
      <w:r w:rsidRPr="00B911D2">
        <w:rPr>
          <w:lang w:val="fr-FR"/>
        </w:rPr>
        <w:t>essais et de suivi de la production doivent être communiqués à l</w:t>
      </w:r>
      <w:r>
        <w:rPr>
          <w:lang w:val="fr-FR"/>
        </w:rPr>
        <w:t>’</w:t>
      </w:r>
      <w:r w:rsidRPr="00B911D2">
        <w:rPr>
          <w:lang w:val="fr-FR"/>
        </w:rPr>
        <w:t>inspecteur.</w:t>
      </w:r>
    </w:p>
    <w:p w:rsidR="00D31871" w:rsidRDefault="00D31871" w:rsidP="00D31871">
      <w:pPr>
        <w:pStyle w:val="SingleTxtG"/>
        <w:ind w:left="2268" w:hanging="1134"/>
        <w:rPr>
          <w:lang w:val="fr-FR"/>
        </w:rPr>
      </w:pPr>
      <w:r>
        <w:rPr>
          <w:lang w:val="fr-FR"/>
        </w:rPr>
        <w:t>4.4.2</w:t>
      </w:r>
      <w:r>
        <w:rPr>
          <w:lang w:val="fr-FR"/>
        </w:rPr>
        <w:tab/>
      </w:r>
      <w:r w:rsidRPr="00B911D2">
        <w:rPr>
          <w:lang w:val="fr-FR"/>
        </w:rPr>
        <w:t>L</w:t>
      </w:r>
      <w:r>
        <w:rPr>
          <w:lang w:val="fr-FR"/>
        </w:rPr>
        <w:t>’</w:t>
      </w:r>
      <w:r w:rsidRPr="00B911D2">
        <w:rPr>
          <w:lang w:val="fr-FR"/>
        </w:rPr>
        <w:t>inspecteur peut sélectionner au hasard des échantillons qui seront essayés dans le laboratoire du fabricant. Le nombre minimal des échantillons peut être déterminé en fonction des résultats des propres contrôles du fabricant.</w:t>
      </w:r>
    </w:p>
    <w:p w:rsidR="00D31871" w:rsidRDefault="00D31871" w:rsidP="00EB0DF5">
      <w:pPr>
        <w:pStyle w:val="SingleTxtG"/>
        <w:keepNext/>
        <w:keepLines/>
        <w:ind w:left="2268" w:hanging="1134"/>
        <w:rPr>
          <w:lang w:val="fr-FR"/>
        </w:rPr>
      </w:pPr>
      <w:r>
        <w:rPr>
          <w:lang w:val="fr-FR"/>
        </w:rPr>
        <w:t>4.4.3</w:t>
      </w:r>
      <w:r>
        <w:rPr>
          <w:lang w:val="fr-FR"/>
        </w:rPr>
        <w:tab/>
      </w:r>
      <w:r w:rsidRPr="00B911D2">
        <w:rPr>
          <w:lang w:val="fr-FR"/>
        </w:rPr>
        <w:t>Quand le niveau de qualité n</w:t>
      </w:r>
      <w:r>
        <w:rPr>
          <w:lang w:val="fr-FR"/>
        </w:rPr>
        <w:t>’</w:t>
      </w:r>
      <w:r w:rsidRPr="00B911D2">
        <w:rPr>
          <w:lang w:val="fr-FR"/>
        </w:rPr>
        <w:t>apparaît pas satisfaisant ou quand il semble nécessaire de vérifier la validité des essais effectués en application du paragraphe</w:t>
      </w:r>
      <w:r w:rsidR="00235E5E">
        <w:rPr>
          <w:lang w:val="fr-FR"/>
        </w:rPr>
        <w:t> </w:t>
      </w:r>
      <w:r w:rsidRPr="00B911D2">
        <w:rPr>
          <w:lang w:val="fr-FR"/>
        </w:rPr>
        <w:t>4.4.2 ci-dessus, l</w:t>
      </w:r>
      <w:r>
        <w:rPr>
          <w:lang w:val="fr-FR"/>
        </w:rPr>
        <w:t>’</w:t>
      </w:r>
      <w:r w:rsidRPr="00B911D2">
        <w:rPr>
          <w:lang w:val="fr-FR"/>
        </w:rPr>
        <w:t>inspecteur doit prélever des échantillons qui seront envoyés au service technique ayant effectué les essais d</w:t>
      </w:r>
      <w:r>
        <w:rPr>
          <w:lang w:val="fr-FR"/>
        </w:rPr>
        <w:t>’</w:t>
      </w:r>
      <w:r w:rsidRPr="00B911D2">
        <w:rPr>
          <w:lang w:val="fr-FR"/>
        </w:rPr>
        <w:t>homologation.</w:t>
      </w:r>
    </w:p>
    <w:p w:rsidR="00D31871" w:rsidRDefault="00D31871" w:rsidP="00D31871">
      <w:pPr>
        <w:pStyle w:val="SingleTxtG"/>
        <w:ind w:left="2268" w:hanging="1134"/>
        <w:rPr>
          <w:lang w:val="fr-FR"/>
        </w:rPr>
      </w:pPr>
      <w:r>
        <w:rPr>
          <w:lang w:val="fr-FR"/>
        </w:rPr>
        <w:t>4.4.4</w:t>
      </w:r>
      <w:r>
        <w:rPr>
          <w:lang w:val="fr-FR"/>
        </w:rPr>
        <w:tab/>
      </w:r>
      <w:r w:rsidRPr="00B911D2">
        <w:rPr>
          <w:lang w:val="fr-FR"/>
        </w:rPr>
        <w:t>L</w:t>
      </w:r>
      <w:r>
        <w:rPr>
          <w:lang w:val="fr-FR"/>
        </w:rPr>
        <w:t>’</w:t>
      </w:r>
      <w:r w:rsidRPr="00B911D2">
        <w:rPr>
          <w:lang w:val="fr-FR"/>
        </w:rPr>
        <w:t>autorité d</w:t>
      </w:r>
      <w:r>
        <w:rPr>
          <w:lang w:val="fr-FR"/>
        </w:rPr>
        <w:t>’</w:t>
      </w:r>
      <w:r w:rsidRPr="00B911D2">
        <w:rPr>
          <w:lang w:val="fr-FR"/>
        </w:rPr>
        <w:t>homologation de type peut effectuer tout essai prescrit par le présent Règlement. Lorsqu</w:t>
      </w:r>
      <w:r>
        <w:rPr>
          <w:lang w:val="fr-FR"/>
        </w:rPr>
        <w:t>’</w:t>
      </w:r>
      <w:r w:rsidRPr="00B911D2">
        <w:rPr>
          <w:lang w:val="fr-FR"/>
        </w:rPr>
        <w:t>elle décide de procéder à des sondages, les critères des annexes 8 et 9 du présent Règlement doivent s</w:t>
      </w:r>
      <w:r>
        <w:rPr>
          <w:lang w:val="fr-FR"/>
        </w:rPr>
        <w:t>’</w:t>
      </w:r>
      <w:r w:rsidRPr="00B911D2">
        <w:rPr>
          <w:lang w:val="fr-FR"/>
        </w:rPr>
        <w:t>appliquer</w:t>
      </w:r>
      <w:r w:rsidR="00D02438">
        <w:rPr>
          <w:lang w:val="fr-FR"/>
        </w:rPr>
        <w:t>.</w:t>
      </w:r>
    </w:p>
    <w:p w:rsidR="00D31871" w:rsidRPr="00B911D2" w:rsidRDefault="00D31871" w:rsidP="00D31871">
      <w:pPr>
        <w:pStyle w:val="SingleTxtG"/>
        <w:ind w:left="2268" w:hanging="1134"/>
        <w:rPr>
          <w:lang w:val="fr-FR"/>
        </w:rPr>
      </w:pPr>
      <w:r>
        <w:rPr>
          <w:lang w:val="fr-FR"/>
        </w:rPr>
        <w:t>4.4.5</w:t>
      </w:r>
      <w:r>
        <w:rPr>
          <w:lang w:val="fr-FR"/>
        </w:rPr>
        <w:tab/>
      </w:r>
      <w:r w:rsidRPr="00B911D2">
        <w:rPr>
          <w:lang w:val="fr-FR"/>
        </w:rPr>
        <w:t>Normalement, l</w:t>
      </w:r>
      <w:r>
        <w:rPr>
          <w:lang w:val="fr-FR"/>
        </w:rPr>
        <w:t>’</w:t>
      </w:r>
      <w:r w:rsidRPr="00B911D2">
        <w:rPr>
          <w:lang w:val="fr-FR"/>
        </w:rPr>
        <w:t>autorité d</w:t>
      </w:r>
      <w:r>
        <w:rPr>
          <w:lang w:val="fr-FR"/>
        </w:rPr>
        <w:t>’</w:t>
      </w:r>
      <w:r w:rsidRPr="00B911D2">
        <w:rPr>
          <w:lang w:val="fr-FR"/>
        </w:rPr>
        <w:t>homologation de type peut autoriser une inspection tous les deux ans. Si, au cours de l</w:t>
      </w:r>
      <w:r>
        <w:rPr>
          <w:lang w:val="fr-FR"/>
        </w:rPr>
        <w:t>’</w:t>
      </w:r>
      <w:r w:rsidRPr="00B911D2">
        <w:rPr>
          <w:lang w:val="fr-FR"/>
        </w:rPr>
        <w:t>une de ces inspections, des résultats négatifs sont constatés, l</w:t>
      </w:r>
      <w:r>
        <w:rPr>
          <w:lang w:val="fr-FR"/>
        </w:rPr>
        <w:t>’</w:t>
      </w:r>
      <w:r w:rsidRPr="00B911D2">
        <w:rPr>
          <w:lang w:val="fr-FR"/>
        </w:rPr>
        <w:t>autorité d</w:t>
      </w:r>
      <w:r>
        <w:rPr>
          <w:lang w:val="fr-FR"/>
        </w:rPr>
        <w:t>’</w:t>
      </w:r>
      <w:r w:rsidRPr="00B911D2">
        <w:rPr>
          <w:lang w:val="fr-FR"/>
        </w:rPr>
        <w:t>homologation de type doit veiller à ce que toutes les dispositions nécessaires soient prises pour rétablir aussi rapidement que possible la conformité de la production.</w:t>
      </w:r>
    </w:p>
    <w:p w:rsidR="00D31871" w:rsidRPr="00426E7C" w:rsidRDefault="009906FD" w:rsidP="009906FD">
      <w:pPr>
        <w:pStyle w:val="HChG"/>
        <w:rPr>
          <w:lang w:val="fr-FR"/>
        </w:rPr>
      </w:pPr>
      <w:r>
        <w:rPr>
          <w:lang w:val="fr-FR"/>
        </w:rPr>
        <w:tab/>
      </w:r>
      <w:r>
        <w:rPr>
          <w:lang w:val="fr-FR"/>
        </w:rPr>
        <w:tab/>
      </w:r>
      <w:r w:rsidR="00D31871" w:rsidRPr="00426E7C">
        <w:rPr>
          <w:lang w:val="fr-FR"/>
        </w:rPr>
        <w:t>5.</w:t>
      </w:r>
      <w:r w:rsidR="00D31871" w:rsidRPr="00426E7C">
        <w:rPr>
          <w:lang w:val="fr-FR"/>
        </w:rPr>
        <w:tab/>
      </w:r>
      <w:r>
        <w:rPr>
          <w:lang w:val="fr-FR"/>
        </w:rPr>
        <w:tab/>
      </w:r>
      <w:r w:rsidR="00D31871" w:rsidRPr="00426E7C">
        <w:rPr>
          <w:lang w:val="fr-FR"/>
        </w:rPr>
        <w:t xml:space="preserve">Sanctions pour non-conformité de la production </w:t>
      </w:r>
    </w:p>
    <w:p w:rsidR="00D31871" w:rsidRDefault="00D31871" w:rsidP="00D31871">
      <w:pPr>
        <w:pStyle w:val="SingleTxtG"/>
        <w:ind w:left="2268" w:hanging="1134"/>
        <w:rPr>
          <w:lang w:val="fr-FR"/>
        </w:rPr>
      </w:pPr>
      <w:r>
        <w:rPr>
          <w:lang w:val="fr-FR"/>
        </w:rPr>
        <w:t>5.1</w:t>
      </w:r>
      <w:r w:rsidRPr="00B911D2">
        <w:rPr>
          <w:lang w:val="fr-FR"/>
        </w:rPr>
        <w:tab/>
        <w:t>L</w:t>
      </w:r>
      <w:r>
        <w:rPr>
          <w:lang w:val="fr-FR"/>
        </w:rPr>
        <w:t>’</w:t>
      </w:r>
      <w:r w:rsidRPr="00B911D2">
        <w:rPr>
          <w:lang w:val="fr-FR"/>
        </w:rPr>
        <w:t>homologation délivrée pour un type de source lumineuse à incandescence conformément au présent Règlement peut être retirée si les prescriptions ne sont pas respectées ou si une source lumineuse à incandescence portant la marque d</w:t>
      </w:r>
      <w:r>
        <w:rPr>
          <w:lang w:val="fr-FR"/>
        </w:rPr>
        <w:t>’</w:t>
      </w:r>
      <w:r w:rsidRPr="00B911D2">
        <w:rPr>
          <w:lang w:val="fr-FR"/>
        </w:rPr>
        <w:t>homologation n</w:t>
      </w:r>
      <w:r>
        <w:rPr>
          <w:lang w:val="fr-FR"/>
        </w:rPr>
        <w:t>’</w:t>
      </w:r>
      <w:r w:rsidRPr="00B911D2">
        <w:rPr>
          <w:lang w:val="fr-FR"/>
        </w:rPr>
        <w:t>est pas conforme au type homologué.</w:t>
      </w:r>
    </w:p>
    <w:p w:rsidR="00D31871" w:rsidRPr="00B911D2" w:rsidRDefault="00D31871" w:rsidP="00D31871">
      <w:pPr>
        <w:pStyle w:val="SingleTxtG"/>
        <w:ind w:left="2268" w:hanging="1134"/>
        <w:rPr>
          <w:lang w:val="fr-FR"/>
        </w:rPr>
      </w:pPr>
      <w:r>
        <w:rPr>
          <w:lang w:val="fr-FR"/>
        </w:rPr>
        <w:t>5.2</w:t>
      </w:r>
      <w:r>
        <w:rPr>
          <w:lang w:val="fr-FR"/>
        </w:rPr>
        <w:tab/>
      </w:r>
      <w:r w:rsidRPr="00B911D2">
        <w:rPr>
          <w:lang w:val="fr-FR"/>
        </w:rPr>
        <w:t>Si une Partie contractante à l</w:t>
      </w:r>
      <w:r>
        <w:rPr>
          <w:lang w:val="fr-FR"/>
        </w:rPr>
        <w:t>’</w:t>
      </w:r>
      <w:r w:rsidRPr="00B911D2">
        <w:rPr>
          <w:lang w:val="fr-FR"/>
        </w:rPr>
        <w:t>Accord appliquant le présent Règlement retire une homologation qu</w:t>
      </w:r>
      <w:r>
        <w:rPr>
          <w:lang w:val="fr-FR"/>
        </w:rPr>
        <w:t>’</w:t>
      </w:r>
      <w:r w:rsidRPr="00B911D2">
        <w:rPr>
          <w:lang w:val="fr-FR"/>
        </w:rPr>
        <w:t>elle a précédemment accordée, elle doit en informer aussitôt les autres Parties contractantes appliquant le présent Règlement, au moyen d</w:t>
      </w:r>
      <w:r>
        <w:rPr>
          <w:lang w:val="fr-FR"/>
        </w:rPr>
        <w:t>’</w:t>
      </w:r>
      <w:r w:rsidRPr="00B911D2">
        <w:rPr>
          <w:lang w:val="fr-FR"/>
        </w:rPr>
        <w:t>une fiche de communication conforme au modèle figurant à l</w:t>
      </w:r>
      <w:r>
        <w:rPr>
          <w:lang w:val="fr-FR"/>
        </w:rPr>
        <w:t>’</w:t>
      </w:r>
      <w:r w:rsidRPr="00B911D2">
        <w:rPr>
          <w:lang w:val="fr-FR"/>
        </w:rPr>
        <w:t xml:space="preserve">annexe 2 du présent Règlement. </w:t>
      </w:r>
    </w:p>
    <w:p w:rsidR="00D31871" w:rsidRPr="00426E7C" w:rsidRDefault="009906FD" w:rsidP="009906FD">
      <w:pPr>
        <w:pStyle w:val="HChG"/>
        <w:rPr>
          <w:lang w:val="fr-FR"/>
        </w:rPr>
      </w:pPr>
      <w:r>
        <w:rPr>
          <w:lang w:val="fr-FR"/>
        </w:rPr>
        <w:tab/>
      </w:r>
      <w:r>
        <w:rPr>
          <w:lang w:val="fr-FR"/>
        </w:rPr>
        <w:tab/>
      </w:r>
      <w:r w:rsidR="00D31871" w:rsidRPr="00426E7C">
        <w:rPr>
          <w:lang w:val="fr-FR"/>
        </w:rPr>
        <w:t>6.</w:t>
      </w:r>
      <w:r w:rsidR="00D31871" w:rsidRPr="00426E7C">
        <w:rPr>
          <w:lang w:val="fr-FR"/>
        </w:rPr>
        <w:tab/>
      </w:r>
      <w:r>
        <w:rPr>
          <w:lang w:val="fr-FR"/>
        </w:rPr>
        <w:tab/>
      </w:r>
      <w:r w:rsidR="00D31871" w:rsidRPr="00426E7C">
        <w:rPr>
          <w:lang w:val="fr-FR"/>
        </w:rPr>
        <w:t xml:space="preserve">Arrêt définitif de la production </w:t>
      </w:r>
    </w:p>
    <w:p w:rsidR="00D31871" w:rsidRPr="00B911D2" w:rsidRDefault="00D31871" w:rsidP="00D31871">
      <w:pPr>
        <w:pStyle w:val="SingleTxtG"/>
        <w:ind w:left="2268"/>
        <w:rPr>
          <w:lang w:val="fr-FR"/>
        </w:rPr>
      </w:pPr>
      <w:r w:rsidRPr="00B911D2">
        <w:rPr>
          <w:lang w:val="fr-FR"/>
        </w:rPr>
        <w:t>Si le titulaire de l</w:t>
      </w:r>
      <w:r>
        <w:rPr>
          <w:lang w:val="fr-FR"/>
        </w:rPr>
        <w:t>’</w:t>
      </w:r>
      <w:r w:rsidRPr="00B911D2">
        <w:rPr>
          <w:lang w:val="fr-FR"/>
        </w:rPr>
        <w:t>homologation arrête définitivement la fabrication d</w:t>
      </w:r>
      <w:r>
        <w:rPr>
          <w:lang w:val="fr-FR"/>
        </w:rPr>
        <w:t>’</w:t>
      </w:r>
      <w:r w:rsidRPr="00B911D2">
        <w:rPr>
          <w:lang w:val="fr-FR"/>
        </w:rPr>
        <w:t>un type de source lumineuse à incandescence homologué conformément au présent Règlement, il doit en informer l</w:t>
      </w:r>
      <w:r>
        <w:rPr>
          <w:lang w:val="fr-FR"/>
        </w:rPr>
        <w:t>’</w:t>
      </w:r>
      <w:r w:rsidRPr="00B911D2">
        <w:rPr>
          <w:lang w:val="fr-FR"/>
        </w:rPr>
        <w:t>autorité qui a délivré l</w:t>
      </w:r>
      <w:r>
        <w:rPr>
          <w:lang w:val="fr-FR"/>
        </w:rPr>
        <w:t>’</w:t>
      </w:r>
      <w:r w:rsidRPr="00B911D2">
        <w:rPr>
          <w:lang w:val="fr-FR"/>
        </w:rPr>
        <w:t>homologation, laquelle, à son tour, doit le notifier aux autres Parties à l</w:t>
      </w:r>
      <w:r>
        <w:rPr>
          <w:lang w:val="fr-FR"/>
        </w:rPr>
        <w:t>’</w:t>
      </w:r>
      <w:r w:rsidRPr="00B911D2">
        <w:rPr>
          <w:lang w:val="fr-FR"/>
        </w:rPr>
        <w:t>Accord de 1958 qui appliquent le présent Règlement, au moyen d</w:t>
      </w:r>
      <w:r>
        <w:rPr>
          <w:lang w:val="fr-FR"/>
        </w:rPr>
        <w:t>’</w:t>
      </w:r>
      <w:r w:rsidRPr="00B911D2">
        <w:rPr>
          <w:lang w:val="fr-FR"/>
        </w:rPr>
        <w:t>une fiche de communication conforme au modèle visé à l</w:t>
      </w:r>
      <w:r>
        <w:rPr>
          <w:lang w:val="fr-FR"/>
        </w:rPr>
        <w:t>’</w:t>
      </w:r>
      <w:r w:rsidRPr="00B911D2">
        <w:rPr>
          <w:lang w:val="fr-FR"/>
        </w:rPr>
        <w:t>annexe 2 du présent Règlement.</w:t>
      </w:r>
    </w:p>
    <w:p w:rsidR="00D31871" w:rsidRPr="00426E7C" w:rsidRDefault="00D31871" w:rsidP="009906FD">
      <w:pPr>
        <w:pStyle w:val="HChG"/>
        <w:ind w:left="2268"/>
        <w:rPr>
          <w:lang w:val="fr-FR"/>
        </w:rPr>
      </w:pPr>
      <w:r w:rsidRPr="00426E7C">
        <w:rPr>
          <w:lang w:val="fr-FR"/>
        </w:rPr>
        <w:t>7.</w:t>
      </w:r>
      <w:r w:rsidRPr="00426E7C">
        <w:rPr>
          <w:lang w:val="fr-FR"/>
        </w:rPr>
        <w:tab/>
      </w:r>
      <w:r w:rsidRPr="00426E7C">
        <w:rPr>
          <w:lang w:val="fr-FR"/>
        </w:rPr>
        <w:tab/>
        <w:t>Noms et adresses des services techniques chargés des essais d</w:t>
      </w:r>
      <w:r>
        <w:rPr>
          <w:lang w:val="fr-FR"/>
        </w:rPr>
        <w:t>’</w:t>
      </w:r>
      <w:r w:rsidRPr="00426E7C">
        <w:rPr>
          <w:lang w:val="fr-FR"/>
        </w:rPr>
        <w:t>homologation et des autorités d</w:t>
      </w:r>
      <w:r>
        <w:rPr>
          <w:lang w:val="fr-FR"/>
        </w:rPr>
        <w:t>’</w:t>
      </w:r>
      <w:r w:rsidRPr="00426E7C">
        <w:rPr>
          <w:lang w:val="fr-FR"/>
        </w:rPr>
        <w:t xml:space="preserve">homologation de type </w:t>
      </w:r>
    </w:p>
    <w:p w:rsidR="00D31871" w:rsidRPr="00B911D2" w:rsidRDefault="00D31871" w:rsidP="00D31871">
      <w:pPr>
        <w:pStyle w:val="SingleTxtG"/>
        <w:ind w:left="2268"/>
        <w:rPr>
          <w:lang w:val="fr-FR"/>
        </w:rPr>
      </w:pPr>
      <w:r w:rsidRPr="00B911D2">
        <w:rPr>
          <w:lang w:val="fr-FR"/>
        </w:rPr>
        <w:t>Les Parties à l</w:t>
      </w:r>
      <w:r>
        <w:rPr>
          <w:lang w:val="fr-FR"/>
        </w:rPr>
        <w:t>’</w:t>
      </w:r>
      <w:r w:rsidRPr="00B911D2">
        <w:rPr>
          <w:lang w:val="fr-FR"/>
        </w:rPr>
        <w:t>Accord de 1958 appliquant le présent Règlement doivent communiquer au Secrétariat de l</w:t>
      </w:r>
      <w:r>
        <w:rPr>
          <w:lang w:val="fr-FR"/>
        </w:rPr>
        <w:t>’</w:t>
      </w:r>
      <w:r w:rsidRPr="00B911D2">
        <w:rPr>
          <w:lang w:val="fr-FR"/>
        </w:rPr>
        <w:t>Organisation des Nations Unies les noms et adresses des services techniques chargés des essais d</w:t>
      </w:r>
      <w:r>
        <w:rPr>
          <w:lang w:val="fr-FR"/>
        </w:rPr>
        <w:t>’</w:t>
      </w:r>
      <w:r w:rsidRPr="00B911D2">
        <w:rPr>
          <w:lang w:val="fr-FR"/>
        </w:rPr>
        <w:t>homologation et ceux des autorités d</w:t>
      </w:r>
      <w:r>
        <w:rPr>
          <w:lang w:val="fr-FR"/>
        </w:rPr>
        <w:t>’</w:t>
      </w:r>
      <w:r w:rsidRPr="00B911D2">
        <w:rPr>
          <w:lang w:val="fr-FR"/>
        </w:rPr>
        <w:t>homologation de type qui délivrent les homologations et auxquelles doivent être envoyées les fiches d</w:t>
      </w:r>
      <w:r>
        <w:rPr>
          <w:lang w:val="fr-FR"/>
        </w:rPr>
        <w:t>’</w:t>
      </w:r>
      <w:r w:rsidRPr="00B911D2">
        <w:rPr>
          <w:lang w:val="fr-FR"/>
        </w:rPr>
        <w:t>homologation, ou d</w:t>
      </w:r>
      <w:r>
        <w:rPr>
          <w:lang w:val="fr-FR"/>
        </w:rPr>
        <w:t>’</w:t>
      </w:r>
      <w:r w:rsidRPr="00B911D2">
        <w:rPr>
          <w:lang w:val="fr-FR"/>
        </w:rPr>
        <w:t>extension, de refus ou de retrait d</w:t>
      </w:r>
      <w:r>
        <w:rPr>
          <w:lang w:val="fr-FR"/>
        </w:rPr>
        <w:t>’</w:t>
      </w:r>
      <w:r w:rsidRPr="00B911D2">
        <w:rPr>
          <w:lang w:val="fr-FR"/>
        </w:rPr>
        <w:t>homologation ou d</w:t>
      </w:r>
      <w:r>
        <w:rPr>
          <w:lang w:val="fr-FR"/>
        </w:rPr>
        <w:t>’</w:t>
      </w:r>
      <w:r w:rsidRPr="00B911D2">
        <w:rPr>
          <w:lang w:val="fr-FR"/>
        </w:rPr>
        <w:t>arrêt définitif de la production émises dans d</w:t>
      </w:r>
      <w:r>
        <w:rPr>
          <w:lang w:val="fr-FR"/>
        </w:rPr>
        <w:t>’</w:t>
      </w:r>
      <w:r w:rsidRPr="00B911D2">
        <w:rPr>
          <w:lang w:val="fr-FR"/>
        </w:rPr>
        <w:t>autres pays.</w:t>
      </w:r>
    </w:p>
    <w:p w:rsidR="00D31871" w:rsidRPr="00426E7C" w:rsidRDefault="009906FD" w:rsidP="009906FD">
      <w:pPr>
        <w:pStyle w:val="HChG"/>
        <w:rPr>
          <w:lang w:val="fr-FR"/>
        </w:rPr>
      </w:pPr>
      <w:r>
        <w:rPr>
          <w:lang w:val="fr-FR"/>
        </w:rPr>
        <w:tab/>
      </w:r>
      <w:r>
        <w:rPr>
          <w:lang w:val="fr-FR"/>
        </w:rPr>
        <w:tab/>
      </w:r>
      <w:r w:rsidR="00D31871" w:rsidRPr="00426E7C">
        <w:rPr>
          <w:lang w:val="fr-FR"/>
        </w:rPr>
        <w:t>8.</w:t>
      </w:r>
      <w:r w:rsidR="00D31871" w:rsidRPr="00426E7C">
        <w:rPr>
          <w:lang w:val="fr-FR"/>
        </w:rPr>
        <w:tab/>
        <w:t xml:space="preserve">Dispositions transitoires </w:t>
      </w:r>
    </w:p>
    <w:p w:rsidR="00D31871" w:rsidRDefault="00D31871" w:rsidP="00D31871">
      <w:pPr>
        <w:pStyle w:val="SingleTxtG"/>
        <w:ind w:left="2268" w:hanging="1134"/>
        <w:rPr>
          <w:lang w:val="fr-FR"/>
        </w:rPr>
      </w:pPr>
      <w:r>
        <w:rPr>
          <w:lang w:val="fr-FR"/>
        </w:rPr>
        <w:t>8.1</w:t>
      </w:r>
      <w:r w:rsidRPr="00B911D2">
        <w:rPr>
          <w:lang w:val="fr-FR"/>
        </w:rPr>
        <w:tab/>
        <w:t>Les homologations accordées conformément aux séries d</w:t>
      </w:r>
      <w:r>
        <w:rPr>
          <w:lang w:val="fr-FR"/>
        </w:rPr>
        <w:t>’</w:t>
      </w:r>
      <w:r w:rsidRPr="00B911D2">
        <w:rPr>
          <w:lang w:val="fr-FR"/>
        </w:rPr>
        <w:t>amendements précédentes demeurent valables</w:t>
      </w:r>
      <w:r>
        <w:rPr>
          <w:lang w:val="fr-FR"/>
        </w:rPr>
        <w:t> ;</w:t>
      </w:r>
      <w:r w:rsidRPr="00B911D2">
        <w:rPr>
          <w:lang w:val="fr-FR"/>
        </w:rPr>
        <w:t xml:space="preserve"> toutefois, aux fins de la conformité de la production, les sources lumineuses à incandescence de série doivent être conformes aux prescriptions de la dernière série d</w:t>
      </w:r>
      <w:r>
        <w:rPr>
          <w:lang w:val="fr-FR"/>
        </w:rPr>
        <w:t>’</w:t>
      </w:r>
      <w:r w:rsidRPr="00B911D2">
        <w:rPr>
          <w:lang w:val="fr-FR"/>
        </w:rPr>
        <w:t xml:space="preserve">amendements dans un délai de </w:t>
      </w:r>
      <w:r>
        <w:rPr>
          <w:lang w:val="fr-FR"/>
        </w:rPr>
        <w:t>douze</w:t>
      </w:r>
      <w:r w:rsidRPr="00B911D2">
        <w:rPr>
          <w:lang w:val="fr-FR"/>
        </w:rPr>
        <w:t xml:space="preserve"> mois à compter de la date du présent amendement</w:t>
      </w:r>
      <w:r w:rsidRPr="009E2890">
        <w:rPr>
          <w:rStyle w:val="FootnoteReference"/>
        </w:rPr>
        <w:footnoteReference w:id="9"/>
      </w:r>
      <w:r w:rsidRPr="00B911D2">
        <w:rPr>
          <w:lang w:val="fr-FR"/>
        </w:rPr>
        <w:t>.</w:t>
      </w:r>
    </w:p>
    <w:p w:rsidR="00D31871" w:rsidRDefault="00D31871" w:rsidP="00D31871">
      <w:pPr>
        <w:pStyle w:val="SingleTxtG"/>
        <w:ind w:left="2268" w:hanging="1134"/>
        <w:rPr>
          <w:lang w:val="fr-FR"/>
        </w:rPr>
      </w:pPr>
      <w:r>
        <w:rPr>
          <w:lang w:val="fr-FR"/>
        </w:rPr>
        <w:t>8.2</w:t>
      </w:r>
      <w:r w:rsidRPr="00B911D2">
        <w:rPr>
          <w:lang w:val="fr-FR"/>
        </w:rPr>
        <w:tab/>
        <w:t>La correspondance entre les anciennes désignations et les nouvelles est indiquée dans le tableau suivant :</w:t>
      </w:r>
    </w:p>
    <w:tbl>
      <w:tblPr>
        <w:tblStyle w:val="TableGrid"/>
        <w:tblW w:w="6231" w:type="dxa"/>
        <w:tblInd w:w="2273" w:type="dxa"/>
        <w:tblLayout w:type="fixed"/>
        <w:tblLook w:val="04A0" w:firstRow="1" w:lastRow="0" w:firstColumn="1" w:lastColumn="0" w:noHBand="0" w:noVBand="1"/>
      </w:tblPr>
      <w:tblGrid>
        <w:gridCol w:w="3261"/>
        <w:gridCol w:w="2970"/>
      </w:tblGrid>
      <w:tr w:rsidR="00D31871" w:rsidRPr="0054070E" w:rsidTr="00D31871">
        <w:tc>
          <w:tcPr>
            <w:tcW w:w="3261" w:type="dxa"/>
            <w:shd w:val="clear" w:color="auto" w:fill="auto"/>
            <w:vAlign w:val="bottom"/>
          </w:tcPr>
          <w:p w:rsidR="00D31871" w:rsidRPr="0054070E" w:rsidRDefault="00D31871" w:rsidP="00185B81">
            <w:pPr>
              <w:spacing w:before="80" w:after="80" w:line="200" w:lineRule="exact"/>
              <w:ind w:left="57" w:right="57"/>
              <w:rPr>
                <w:i/>
                <w:sz w:val="16"/>
              </w:rPr>
            </w:pPr>
            <w:r w:rsidRPr="0054070E">
              <w:rPr>
                <w:i/>
                <w:sz w:val="16"/>
                <w:lang w:val="fr-FR"/>
              </w:rPr>
              <w:t>Désignations anciennes</w:t>
            </w:r>
          </w:p>
        </w:tc>
        <w:tc>
          <w:tcPr>
            <w:tcW w:w="2970" w:type="dxa"/>
            <w:shd w:val="clear" w:color="auto" w:fill="auto"/>
            <w:vAlign w:val="bottom"/>
          </w:tcPr>
          <w:p w:rsidR="00D31871" w:rsidRPr="0054070E" w:rsidRDefault="00D31871" w:rsidP="00185B81">
            <w:pPr>
              <w:spacing w:before="80" w:after="80" w:line="200" w:lineRule="exact"/>
              <w:ind w:left="57" w:right="57"/>
              <w:rPr>
                <w:i/>
                <w:sz w:val="16"/>
              </w:rPr>
            </w:pPr>
            <w:r w:rsidRPr="0054070E">
              <w:rPr>
                <w:i/>
                <w:sz w:val="16"/>
                <w:lang w:val="fr-FR"/>
              </w:rPr>
              <w:t>Nouvelles désignations dans la série 03 d</w:t>
            </w:r>
            <w:r>
              <w:rPr>
                <w:i/>
                <w:sz w:val="16"/>
                <w:lang w:val="fr-FR"/>
              </w:rPr>
              <w:t>’</w:t>
            </w:r>
            <w:r w:rsidRPr="0054070E">
              <w:rPr>
                <w:i/>
                <w:sz w:val="16"/>
                <w:lang w:val="fr-FR"/>
              </w:rPr>
              <w:t>amendements</w:t>
            </w:r>
          </w:p>
        </w:tc>
      </w:tr>
      <w:tr w:rsidR="00D31871" w:rsidRPr="0054070E" w:rsidTr="00D31871">
        <w:tc>
          <w:tcPr>
            <w:tcW w:w="3261" w:type="dxa"/>
            <w:shd w:val="clear" w:color="auto" w:fill="auto"/>
          </w:tcPr>
          <w:p w:rsidR="00D31871" w:rsidRPr="005F0655" w:rsidRDefault="00D31871" w:rsidP="00185B81">
            <w:pPr>
              <w:spacing w:before="40" w:after="80"/>
              <w:ind w:left="57" w:right="57"/>
              <w:rPr>
                <w:lang w:val="fr-FR"/>
              </w:rPr>
            </w:pPr>
            <w:r w:rsidRPr="005F0655">
              <w:rPr>
                <w:lang w:val="fr-FR"/>
              </w:rPr>
              <w:t>P25-1</w:t>
            </w:r>
          </w:p>
        </w:tc>
        <w:tc>
          <w:tcPr>
            <w:tcW w:w="2970" w:type="dxa"/>
            <w:shd w:val="clear" w:color="auto" w:fill="auto"/>
            <w:vAlign w:val="bottom"/>
          </w:tcPr>
          <w:p w:rsidR="00D31871" w:rsidRPr="005F0655" w:rsidRDefault="00D31871" w:rsidP="00185B81">
            <w:pPr>
              <w:spacing w:before="40" w:after="80"/>
              <w:ind w:left="57" w:right="57"/>
              <w:rPr>
                <w:lang w:val="fr-FR"/>
              </w:rPr>
            </w:pPr>
            <w:r w:rsidRPr="005F0655">
              <w:rPr>
                <w:lang w:val="fr-FR"/>
              </w:rPr>
              <w:t>P21W</w:t>
            </w:r>
          </w:p>
        </w:tc>
      </w:tr>
      <w:tr w:rsidR="00D31871" w:rsidRPr="0054070E" w:rsidTr="00D31871">
        <w:tc>
          <w:tcPr>
            <w:tcW w:w="3261" w:type="dxa"/>
            <w:shd w:val="clear" w:color="auto" w:fill="auto"/>
          </w:tcPr>
          <w:p w:rsidR="00D31871" w:rsidRPr="005F0655" w:rsidRDefault="00D31871" w:rsidP="00185B81">
            <w:pPr>
              <w:spacing w:before="40" w:after="80"/>
              <w:ind w:left="57" w:right="57"/>
              <w:rPr>
                <w:lang w:val="fr-FR"/>
              </w:rPr>
            </w:pPr>
            <w:r w:rsidRPr="005F0655">
              <w:rPr>
                <w:lang w:val="fr-FR"/>
              </w:rPr>
              <w:t>P25-2</w:t>
            </w:r>
          </w:p>
        </w:tc>
        <w:tc>
          <w:tcPr>
            <w:tcW w:w="2970" w:type="dxa"/>
            <w:shd w:val="clear" w:color="auto" w:fill="auto"/>
            <w:vAlign w:val="bottom"/>
          </w:tcPr>
          <w:p w:rsidR="00D31871" w:rsidRPr="005F0655" w:rsidRDefault="00D31871" w:rsidP="00185B81">
            <w:pPr>
              <w:spacing w:before="40" w:after="80"/>
              <w:ind w:left="57" w:right="57"/>
              <w:rPr>
                <w:lang w:val="fr-FR"/>
              </w:rPr>
            </w:pPr>
            <w:r w:rsidRPr="005F0655">
              <w:rPr>
                <w:lang w:val="fr-FR"/>
              </w:rPr>
              <w:t>P21/5W</w:t>
            </w:r>
          </w:p>
        </w:tc>
      </w:tr>
      <w:tr w:rsidR="00D31871" w:rsidRPr="0054070E" w:rsidTr="00D31871">
        <w:tc>
          <w:tcPr>
            <w:tcW w:w="3261" w:type="dxa"/>
            <w:shd w:val="clear" w:color="auto" w:fill="auto"/>
          </w:tcPr>
          <w:p w:rsidR="00D31871" w:rsidRPr="005F0655" w:rsidRDefault="00D31871" w:rsidP="00185B81">
            <w:pPr>
              <w:spacing w:before="40" w:after="80"/>
              <w:ind w:left="57" w:right="57"/>
              <w:rPr>
                <w:lang w:val="fr-FR"/>
              </w:rPr>
            </w:pPr>
            <w:r w:rsidRPr="005F0655">
              <w:rPr>
                <w:lang w:val="fr-FR"/>
              </w:rPr>
              <w:t>R19/5</w:t>
            </w:r>
          </w:p>
        </w:tc>
        <w:tc>
          <w:tcPr>
            <w:tcW w:w="2970" w:type="dxa"/>
            <w:shd w:val="clear" w:color="auto" w:fill="auto"/>
            <w:vAlign w:val="bottom"/>
          </w:tcPr>
          <w:p w:rsidR="00D31871" w:rsidRPr="005F0655" w:rsidRDefault="00D31871" w:rsidP="00185B81">
            <w:pPr>
              <w:spacing w:before="40" w:after="80"/>
              <w:ind w:left="57" w:right="57"/>
              <w:rPr>
                <w:lang w:val="fr-FR"/>
              </w:rPr>
            </w:pPr>
            <w:r w:rsidRPr="005F0655">
              <w:rPr>
                <w:lang w:val="fr-FR"/>
              </w:rPr>
              <w:t>R5W</w:t>
            </w:r>
          </w:p>
        </w:tc>
      </w:tr>
      <w:tr w:rsidR="00D31871" w:rsidRPr="0054070E" w:rsidTr="00D31871">
        <w:tc>
          <w:tcPr>
            <w:tcW w:w="3261" w:type="dxa"/>
            <w:shd w:val="clear" w:color="auto" w:fill="auto"/>
          </w:tcPr>
          <w:p w:rsidR="00D31871" w:rsidRPr="005F0655" w:rsidRDefault="00D31871" w:rsidP="00185B81">
            <w:pPr>
              <w:spacing w:before="40" w:after="80"/>
              <w:ind w:left="57" w:right="57"/>
              <w:rPr>
                <w:lang w:val="fr-FR"/>
              </w:rPr>
            </w:pPr>
            <w:r w:rsidRPr="005F0655">
              <w:rPr>
                <w:lang w:val="fr-FR"/>
              </w:rPr>
              <w:t>R19/10</w:t>
            </w:r>
          </w:p>
        </w:tc>
        <w:tc>
          <w:tcPr>
            <w:tcW w:w="2970" w:type="dxa"/>
            <w:shd w:val="clear" w:color="auto" w:fill="auto"/>
            <w:vAlign w:val="bottom"/>
          </w:tcPr>
          <w:p w:rsidR="00D31871" w:rsidRPr="005F0655" w:rsidRDefault="00D31871" w:rsidP="00185B81">
            <w:pPr>
              <w:spacing w:before="40" w:after="80"/>
              <w:ind w:left="57" w:right="57"/>
              <w:rPr>
                <w:lang w:val="fr-FR"/>
              </w:rPr>
            </w:pPr>
            <w:r w:rsidRPr="005F0655">
              <w:rPr>
                <w:lang w:val="fr-FR"/>
              </w:rPr>
              <w:t>R10W</w:t>
            </w:r>
          </w:p>
        </w:tc>
      </w:tr>
      <w:tr w:rsidR="00D31871" w:rsidRPr="0054070E" w:rsidTr="00D31871">
        <w:tc>
          <w:tcPr>
            <w:tcW w:w="3261" w:type="dxa"/>
            <w:shd w:val="clear" w:color="auto" w:fill="auto"/>
          </w:tcPr>
          <w:p w:rsidR="00D31871" w:rsidRPr="005F0655" w:rsidRDefault="00D31871" w:rsidP="00185B81">
            <w:pPr>
              <w:spacing w:before="40" w:after="80"/>
              <w:ind w:left="57" w:right="57"/>
              <w:rPr>
                <w:lang w:val="fr-FR"/>
              </w:rPr>
            </w:pPr>
            <w:r w:rsidRPr="005F0655">
              <w:rPr>
                <w:lang w:val="fr-FR"/>
              </w:rPr>
              <w:t>C11</w:t>
            </w:r>
          </w:p>
        </w:tc>
        <w:tc>
          <w:tcPr>
            <w:tcW w:w="2970" w:type="dxa"/>
            <w:shd w:val="clear" w:color="auto" w:fill="auto"/>
            <w:vAlign w:val="bottom"/>
          </w:tcPr>
          <w:p w:rsidR="00D31871" w:rsidRPr="005F0655" w:rsidRDefault="00D31871" w:rsidP="00185B81">
            <w:pPr>
              <w:spacing w:before="40" w:after="80"/>
              <w:ind w:left="57" w:right="57"/>
              <w:rPr>
                <w:lang w:val="fr-FR"/>
              </w:rPr>
            </w:pPr>
            <w:r w:rsidRPr="005F0655">
              <w:rPr>
                <w:lang w:val="fr-FR"/>
              </w:rPr>
              <w:t>C5W</w:t>
            </w:r>
          </w:p>
        </w:tc>
      </w:tr>
      <w:tr w:rsidR="00D31871" w:rsidRPr="0054070E" w:rsidTr="00D31871">
        <w:tc>
          <w:tcPr>
            <w:tcW w:w="3261" w:type="dxa"/>
            <w:shd w:val="clear" w:color="auto" w:fill="auto"/>
          </w:tcPr>
          <w:p w:rsidR="00D31871" w:rsidRPr="005F0655" w:rsidRDefault="00D31871" w:rsidP="00185B81">
            <w:pPr>
              <w:spacing w:before="40" w:after="80"/>
              <w:ind w:left="57" w:right="57"/>
              <w:rPr>
                <w:lang w:val="fr-FR"/>
              </w:rPr>
            </w:pPr>
            <w:r w:rsidRPr="005F0655">
              <w:rPr>
                <w:lang w:val="fr-FR"/>
              </w:rPr>
              <w:t>C15</w:t>
            </w:r>
          </w:p>
        </w:tc>
        <w:tc>
          <w:tcPr>
            <w:tcW w:w="2970" w:type="dxa"/>
            <w:shd w:val="clear" w:color="auto" w:fill="auto"/>
            <w:vAlign w:val="bottom"/>
          </w:tcPr>
          <w:p w:rsidR="00D31871" w:rsidRPr="005F0655" w:rsidRDefault="00D31871" w:rsidP="00185B81">
            <w:pPr>
              <w:spacing w:before="40" w:after="80"/>
              <w:ind w:left="57" w:right="57"/>
              <w:rPr>
                <w:lang w:val="fr-FR"/>
              </w:rPr>
            </w:pPr>
            <w:r w:rsidRPr="005F0655">
              <w:rPr>
                <w:lang w:val="fr-FR"/>
              </w:rPr>
              <w:t>C21W</w:t>
            </w:r>
          </w:p>
        </w:tc>
      </w:tr>
      <w:tr w:rsidR="00D31871" w:rsidRPr="0054070E" w:rsidTr="00D31871">
        <w:tc>
          <w:tcPr>
            <w:tcW w:w="3261" w:type="dxa"/>
            <w:shd w:val="clear" w:color="auto" w:fill="auto"/>
          </w:tcPr>
          <w:p w:rsidR="00D31871" w:rsidRPr="005F0655" w:rsidRDefault="00D31871" w:rsidP="00185B81">
            <w:pPr>
              <w:spacing w:before="40" w:after="80"/>
              <w:ind w:left="57" w:right="57"/>
              <w:rPr>
                <w:lang w:val="fr-FR"/>
              </w:rPr>
            </w:pPr>
            <w:r w:rsidRPr="005F0655">
              <w:rPr>
                <w:lang w:val="fr-FR"/>
              </w:rPr>
              <w:t>T8/4</w:t>
            </w:r>
          </w:p>
        </w:tc>
        <w:tc>
          <w:tcPr>
            <w:tcW w:w="2970" w:type="dxa"/>
            <w:shd w:val="clear" w:color="auto" w:fill="auto"/>
            <w:vAlign w:val="bottom"/>
          </w:tcPr>
          <w:p w:rsidR="00D31871" w:rsidRPr="005F0655" w:rsidRDefault="00D31871" w:rsidP="00185B81">
            <w:pPr>
              <w:spacing w:before="40" w:after="80"/>
              <w:ind w:left="57" w:right="57"/>
              <w:rPr>
                <w:lang w:val="fr-FR"/>
              </w:rPr>
            </w:pPr>
            <w:r w:rsidRPr="005F0655">
              <w:rPr>
                <w:lang w:val="fr-FR"/>
              </w:rPr>
              <w:t>T4W</w:t>
            </w:r>
          </w:p>
        </w:tc>
      </w:tr>
      <w:tr w:rsidR="00D31871" w:rsidRPr="0054070E" w:rsidTr="00D31871">
        <w:tc>
          <w:tcPr>
            <w:tcW w:w="3261" w:type="dxa"/>
            <w:shd w:val="clear" w:color="auto" w:fill="auto"/>
          </w:tcPr>
          <w:p w:rsidR="00D31871" w:rsidRPr="005F0655" w:rsidRDefault="00D31871" w:rsidP="00185B81">
            <w:pPr>
              <w:spacing w:before="40" w:after="80"/>
              <w:ind w:left="57" w:right="57"/>
              <w:rPr>
                <w:lang w:val="fr-FR"/>
              </w:rPr>
            </w:pPr>
            <w:r w:rsidRPr="005F0655">
              <w:rPr>
                <w:lang w:val="fr-FR"/>
              </w:rPr>
              <w:t>W10/5</w:t>
            </w:r>
          </w:p>
        </w:tc>
        <w:tc>
          <w:tcPr>
            <w:tcW w:w="2970" w:type="dxa"/>
            <w:shd w:val="clear" w:color="auto" w:fill="auto"/>
            <w:vAlign w:val="bottom"/>
          </w:tcPr>
          <w:p w:rsidR="00D31871" w:rsidRPr="005F0655" w:rsidRDefault="00D31871" w:rsidP="00185B81">
            <w:pPr>
              <w:spacing w:before="40" w:after="80"/>
              <w:ind w:left="57" w:right="57"/>
              <w:rPr>
                <w:lang w:val="fr-FR"/>
              </w:rPr>
            </w:pPr>
            <w:r w:rsidRPr="005F0655">
              <w:rPr>
                <w:lang w:val="fr-FR"/>
              </w:rPr>
              <w:t>W5W</w:t>
            </w:r>
          </w:p>
        </w:tc>
      </w:tr>
      <w:tr w:rsidR="00D31871" w:rsidRPr="0054070E" w:rsidTr="00D31871">
        <w:tc>
          <w:tcPr>
            <w:tcW w:w="3261" w:type="dxa"/>
            <w:shd w:val="clear" w:color="auto" w:fill="auto"/>
          </w:tcPr>
          <w:p w:rsidR="00D31871" w:rsidRPr="005F0655" w:rsidRDefault="00D31871" w:rsidP="00185B81">
            <w:pPr>
              <w:spacing w:before="40" w:after="80"/>
              <w:ind w:left="57" w:right="57"/>
              <w:rPr>
                <w:lang w:val="fr-FR"/>
              </w:rPr>
            </w:pPr>
            <w:r w:rsidRPr="005F0655">
              <w:rPr>
                <w:lang w:val="fr-FR"/>
              </w:rPr>
              <w:t>W10/3</w:t>
            </w:r>
          </w:p>
        </w:tc>
        <w:tc>
          <w:tcPr>
            <w:tcW w:w="2970" w:type="dxa"/>
            <w:shd w:val="clear" w:color="auto" w:fill="auto"/>
            <w:vAlign w:val="bottom"/>
          </w:tcPr>
          <w:p w:rsidR="00D31871" w:rsidRPr="005F0655" w:rsidRDefault="00D31871" w:rsidP="00185B81">
            <w:pPr>
              <w:spacing w:before="40" w:after="80"/>
              <w:ind w:left="57" w:right="57"/>
              <w:rPr>
                <w:lang w:val="fr-FR"/>
              </w:rPr>
            </w:pPr>
            <w:r w:rsidRPr="005F0655">
              <w:rPr>
                <w:lang w:val="fr-FR"/>
              </w:rPr>
              <w:t>W3W</w:t>
            </w:r>
          </w:p>
        </w:tc>
      </w:tr>
    </w:tbl>
    <w:p w:rsidR="00D31871" w:rsidRPr="0054070E" w:rsidRDefault="00D31871" w:rsidP="00D31871"/>
    <w:p w:rsidR="00D31871" w:rsidRPr="007C7809" w:rsidRDefault="00D31871" w:rsidP="00AD76C9">
      <w:pPr>
        <w:pStyle w:val="HChG"/>
        <w:rPr>
          <w:lang w:val="fr-FR"/>
        </w:rPr>
      </w:pPr>
      <w:r>
        <w:br w:type="page"/>
      </w:r>
      <w:r w:rsidRPr="007C7809">
        <w:rPr>
          <w:lang w:val="fr-FR"/>
        </w:rPr>
        <w:t>Annexe 1</w:t>
      </w:r>
    </w:p>
    <w:p w:rsidR="00D31871" w:rsidRPr="007C7809" w:rsidRDefault="00D31871" w:rsidP="00AD76C9">
      <w:pPr>
        <w:pStyle w:val="HChG"/>
        <w:rPr>
          <w:lang w:val="fr-FR"/>
        </w:rPr>
      </w:pPr>
      <w:r w:rsidRPr="007C7809">
        <w:rPr>
          <w:lang w:val="fr-FR"/>
        </w:rPr>
        <w:tab/>
      </w:r>
      <w:r w:rsidRPr="007C7809">
        <w:rPr>
          <w:lang w:val="fr-FR"/>
        </w:rPr>
        <w:tab/>
        <w:t>Feuilles</w:t>
      </w:r>
      <w:r w:rsidRPr="00612166">
        <w:rPr>
          <w:rStyle w:val="FootnoteReference"/>
          <w:b w:val="0"/>
          <w:sz w:val="20"/>
          <w:vertAlign w:val="baseline"/>
        </w:rPr>
        <w:footnoteReference w:customMarkFollows="1" w:id="10"/>
        <w:t>*</w:t>
      </w:r>
      <w:r w:rsidRPr="007C7809">
        <w:rPr>
          <w:lang w:val="fr-FR"/>
        </w:rPr>
        <w:t xml:space="preserve"> relatives aux sources lumineuses à incandescence </w:t>
      </w:r>
    </w:p>
    <w:p w:rsidR="00AD76C9" w:rsidRDefault="00D31871" w:rsidP="00AD76C9">
      <w:pPr>
        <w:pStyle w:val="SingleTxtG"/>
        <w:ind w:firstLine="567"/>
        <w:rPr>
          <w:lang w:val="fr-FR"/>
        </w:rPr>
      </w:pPr>
      <w:r w:rsidRPr="00AD76C9">
        <w:t>Les feuilles relatives à la catégorie de source lumineuse à incandescence concernée et le groupe auquel appartient cette catégorie, ainsi que les restrictions d’utilisation correspondantes, s’appliquent conformément à la Résolution [R.E.4] ou à ses révisions ultérieures applicables au moment de la demande d’homologation de type de la source lumineuse à</w:t>
      </w:r>
      <w:r w:rsidRPr="007C7809">
        <w:rPr>
          <w:lang w:val="fr-FR"/>
        </w:rPr>
        <w:t xml:space="preserve"> incandescence</w:t>
      </w:r>
      <w:r w:rsidR="00185B81">
        <w:rPr>
          <w:lang w:val="fr-FR"/>
        </w:rPr>
        <w:t>.</w:t>
      </w:r>
    </w:p>
    <w:p w:rsidR="00D31871" w:rsidRDefault="00D31871" w:rsidP="00D31871">
      <w:pPr>
        <w:rPr>
          <w:lang w:val="fr-FR"/>
        </w:rPr>
        <w:sectPr w:rsidR="00D31871" w:rsidSect="00D31871">
          <w:headerReference w:type="even" r:id="rId17"/>
          <w:headerReference w:type="default" r:id="rId18"/>
          <w:footerReference w:type="first" r:id="rId19"/>
          <w:footnotePr>
            <w:numRestart w:val="eachSect"/>
          </w:footnotePr>
          <w:endnotePr>
            <w:numFmt w:val="decimal"/>
          </w:endnotePr>
          <w:pgSz w:w="11907" w:h="16840" w:code="9"/>
          <w:pgMar w:top="1417" w:right="1134" w:bottom="1134" w:left="1134" w:header="680" w:footer="567" w:gutter="0"/>
          <w:cols w:space="720"/>
          <w:docGrid w:linePitch="272"/>
        </w:sectPr>
      </w:pPr>
      <w:r>
        <w:rPr>
          <w:lang w:val="fr-FR"/>
        </w:rPr>
        <w:t>.</w:t>
      </w:r>
    </w:p>
    <w:p w:rsidR="00D31871" w:rsidRPr="00640EE4" w:rsidRDefault="00D31871" w:rsidP="00612166">
      <w:pPr>
        <w:pStyle w:val="HChG"/>
        <w:rPr>
          <w:lang w:val="fr-FR"/>
        </w:rPr>
      </w:pPr>
      <w:r w:rsidRPr="00640EE4">
        <w:rPr>
          <w:lang w:val="fr-FR"/>
        </w:rPr>
        <w:t>Annexe 2</w:t>
      </w:r>
    </w:p>
    <w:p w:rsidR="00D31871" w:rsidRPr="00640EE4" w:rsidRDefault="00D31871" w:rsidP="00612166">
      <w:pPr>
        <w:pStyle w:val="HChG"/>
        <w:rPr>
          <w:lang w:val="fr-FR"/>
        </w:rPr>
      </w:pPr>
      <w:r w:rsidRPr="00640EE4">
        <w:rPr>
          <w:lang w:val="fr-FR"/>
        </w:rPr>
        <w:tab/>
      </w:r>
      <w:r w:rsidRPr="00640EE4">
        <w:rPr>
          <w:lang w:val="fr-FR"/>
        </w:rPr>
        <w:tab/>
        <w:t>Communication</w:t>
      </w:r>
    </w:p>
    <w:p w:rsidR="00D31871" w:rsidRPr="00640EE4" w:rsidRDefault="00D31871" w:rsidP="00612166">
      <w:pPr>
        <w:pStyle w:val="SingleTxtG"/>
        <w:rPr>
          <w:lang w:val="fr-FR"/>
        </w:rPr>
      </w:pPr>
      <w:r w:rsidRPr="00640EE4">
        <w:rPr>
          <w:lang w:val="fr-FR"/>
        </w:rPr>
        <w:t>(format maximal : A4 (210 x 297 mm))</w:t>
      </w:r>
    </w:p>
    <w:p w:rsidR="00D31871" w:rsidRPr="00640EE4" w:rsidRDefault="00D31871" w:rsidP="00612166">
      <w:pPr>
        <w:pStyle w:val="SingleTxtG"/>
        <w:rPr>
          <w:lang w:val="fr-FR"/>
        </w:rPr>
      </w:pPr>
      <w:r w:rsidRPr="00640EE4">
        <w:rPr>
          <w:noProof/>
          <w:lang w:val="en-GB" w:eastAsia="en-GB"/>
        </w:rPr>
        <mc:AlternateContent>
          <mc:Choice Requires="wps">
            <w:drawing>
              <wp:anchor distT="0" distB="0" distL="114300" distR="114300" simplePos="0" relativeHeight="251658240" behindDoc="0" locked="0" layoutInCell="1" allowOverlap="1" wp14:anchorId="71A4CC7D" wp14:editId="5A45D43D">
                <wp:simplePos x="0" y="0"/>
                <wp:positionH relativeFrom="column">
                  <wp:posOffset>2330450</wp:posOffset>
                </wp:positionH>
                <wp:positionV relativeFrom="paragraph">
                  <wp:posOffset>34290</wp:posOffset>
                </wp:positionV>
                <wp:extent cx="3471545" cy="914400"/>
                <wp:effectExtent l="0" t="0" r="0" b="0"/>
                <wp:wrapNone/>
                <wp:docPr id="2079"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A19" w:rsidRPr="006B4C62" w:rsidRDefault="00812A19" w:rsidP="00D31871">
                            <w:pPr>
                              <w:ind w:left="1701" w:hanging="1701"/>
                            </w:pPr>
                            <w:r w:rsidRPr="006B4C62">
                              <w:t>Émanant de :</w:t>
                            </w:r>
                            <w:r w:rsidRPr="006B4C62">
                              <w:tab/>
                              <w:t>Nom de l’administration :</w:t>
                            </w:r>
                          </w:p>
                          <w:p w:rsidR="00812A19" w:rsidRPr="0019518B" w:rsidRDefault="00812A19" w:rsidP="00D31871">
                            <w:pPr>
                              <w:pStyle w:val="SingleTxtG"/>
                              <w:tabs>
                                <w:tab w:val="right" w:leader="dot" w:pos="3933"/>
                              </w:tabs>
                              <w:spacing w:after="0"/>
                              <w:ind w:left="1701" w:right="0"/>
                            </w:pPr>
                            <w:r w:rsidRPr="0019518B">
                              <w:tab/>
                            </w:r>
                          </w:p>
                          <w:p w:rsidR="00812A19" w:rsidRPr="0019518B" w:rsidRDefault="00812A19" w:rsidP="00D31871">
                            <w:pPr>
                              <w:pStyle w:val="SingleTxtG"/>
                              <w:tabs>
                                <w:tab w:val="right" w:leader="dot" w:pos="3933"/>
                              </w:tabs>
                              <w:spacing w:after="0"/>
                              <w:ind w:left="1701" w:right="0"/>
                            </w:pPr>
                            <w:r w:rsidRPr="0019518B">
                              <w:tab/>
                            </w:r>
                          </w:p>
                          <w:p w:rsidR="00812A19" w:rsidRPr="0019518B" w:rsidRDefault="00812A19" w:rsidP="00D31871">
                            <w:pPr>
                              <w:pStyle w:val="SingleTxtG"/>
                              <w:tabs>
                                <w:tab w:val="right" w:leader="dot" w:pos="3933"/>
                              </w:tabs>
                              <w:spacing w:after="0"/>
                              <w:ind w:left="1701" w:right="0"/>
                              <w:rPr>
                                <w:lang w:val="fr-FR"/>
                              </w:rPr>
                            </w:pPr>
                            <w:r w:rsidRPr="0019518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CC7D" id="Zone de texte 58" o:spid="_x0000_s1027" type="#_x0000_t202" style="position:absolute;left:0;text-align:left;margin-left:183.5pt;margin-top:2.7pt;width:273.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sYjQIAAB8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" stroked="f">
                <v:textbox>
                  <w:txbxContent>
                    <w:p w:rsidR="00812A19" w:rsidRPr="006B4C62" w:rsidRDefault="00812A19" w:rsidP="00D31871">
                      <w:pPr>
                        <w:ind w:left="1701" w:hanging="1701"/>
                      </w:pPr>
                      <w:r w:rsidRPr="006B4C62">
                        <w:t>Émanant de :</w:t>
                      </w:r>
                      <w:r w:rsidRPr="006B4C62">
                        <w:tab/>
                        <w:t>Nom de l’administration :</w:t>
                      </w:r>
                    </w:p>
                    <w:p w:rsidR="00812A19" w:rsidRPr="0019518B" w:rsidRDefault="00812A19" w:rsidP="00D31871">
                      <w:pPr>
                        <w:pStyle w:val="SingleTxtG"/>
                        <w:tabs>
                          <w:tab w:val="right" w:leader="dot" w:pos="3933"/>
                        </w:tabs>
                        <w:spacing w:after="0"/>
                        <w:ind w:left="1701" w:right="0"/>
                      </w:pPr>
                      <w:r w:rsidRPr="0019518B">
                        <w:tab/>
                      </w:r>
                    </w:p>
                    <w:p w:rsidR="00812A19" w:rsidRPr="0019518B" w:rsidRDefault="00812A19" w:rsidP="00D31871">
                      <w:pPr>
                        <w:pStyle w:val="SingleTxtG"/>
                        <w:tabs>
                          <w:tab w:val="right" w:leader="dot" w:pos="3933"/>
                        </w:tabs>
                        <w:spacing w:after="0"/>
                        <w:ind w:left="1701" w:right="0"/>
                      </w:pPr>
                      <w:r w:rsidRPr="0019518B">
                        <w:tab/>
                      </w:r>
                    </w:p>
                    <w:p w:rsidR="00812A19" w:rsidRPr="0019518B" w:rsidRDefault="00812A19" w:rsidP="00D31871">
                      <w:pPr>
                        <w:pStyle w:val="SingleTxtG"/>
                        <w:tabs>
                          <w:tab w:val="right" w:leader="dot" w:pos="3933"/>
                        </w:tabs>
                        <w:spacing w:after="0"/>
                        <w:ind w:left="1701" w:right="0"/>
                        <w:rPr>
                          <w:lang w:val="fr-FR"/>
                        </w:rPr>
                      </w:pPr>
                      <w:r w:rsidRPr="0019518B">
                        <w:tab/>
                      </w:r>
                    </w:p>
                  </w:txbxContent>
                </v:textbox>
              </v:shape>
            </w:pict>
          </mc:Fallback>
        </mc:AlternateContent>
      </w:r>
      <w:r w:rsidRPr="00640EE4">
        <w:rPr>
          <w:noProof/>
          <w:lang w:val="en-GB" w:eastAsia="en-GB"/>
        </w:rPr>
        <w:drawing>
          <wp:inline distT="0" distB="0" distL="0" distR="0" wp14:anchorId="43EC19AD" wp14:editId="53A1E2CE">
            <wp:extent cx="906145" cy="906145"/>
            <wp:effectExtent l="0" t="0" r="8255" b="8255"/>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Pr="00612166">
        <w:rPr>
          <w:sz w:val="4"/>
          <w:szCs w:val="4"/>
          <w:vertAlign w:val="superscript"/>
        </w:rPr>
        <w:footnoteReference w:id="11"/>
      </w:r>
    </w:p>
    <w:p w:rsidR="00D31871" w:rsidRPr="00640EE4" w:rsidRDefault="00D31871" w:rsidP="00612166">
      <w:pPr>
        <w:pStyle w:val="SingleTxtG"/>
        <w:tabs>
          <w:tab w:val="left" w:pos="2552"/>
        </w:tabs>
        <w:jc w:val="left"/>
        <w:rPr>
          <w:lang w:val="fr-FR"/>
        </w:rPr>
      </w:pPr>
      <w:r w:rsidRPr="00640EE4">
        <w:rPr>
          <w:lang w:val="fr-FR"/>
        </w:rPr>
        <w:t>Concernant</w:t>
      </w:r>
      <w:r w:rsidRPr="00612166">
        <w:rPr>
          <w:rStyle w:val="FootnoteReference"/>
        </w:rPr>
        <w:footnoteReference w:id="12"/>
      </w:r>
      <w:r w:rsidRPr="00612166">
        <w:rPr>
          <w:rStyle w:val="FootnoteReference"/>
        </w:rPr>
        <w:t> </w:t>
      </w:r>
      <w:r w:rsidRPr="00640EE4">
        <w:rPr>
          <w:lang w:val="fr-FR"/>
        </w:rPr>
        <w:t>:</w:t>
      </w:r>
      <w:r w:rsidRPr="00640EE4">
        <w:rPr>
          <w:lang w:val="fr-FR"/>
        </w:rPr>
        <w:tab/>
        <w:t>Délivrance d’une homologation</w:t>
      </w:r>
      <w:r w:rsidR="00612166">
        <w:rPr>
          <w:lang w:val="fr-FR"/>
        </w:rPr>
        <w:br/>
      </w:r>
      <w:r w:rsidRPr="00640EE4">
        <w:rPr>
          <w:lang w:val="fr-FR"/>
        </w:rPr>
        <w:tab/>
      </w:r>
      <w:r w:rsidRPr="00640EE4">
        <w:rPr>
          <w:szCs w:val="24"/>
          <w:lang w:val="fr-FR"/>
        </w:rPr>
        <w:t xml:space="preserve">Extension d’homologation </w:t>
      </w:r>
      <w:r w:rsidR="00612166">
        <w:rPr>
          <w:szCs w:val="24"/>
          <w:lang w:val="fr-FR"/>
        </w:rPr>
        <w:br/>
      </w:r>
      <w:r w:rsidRPr="00640EE4">
        <w:rPr>
          <w:szCs w:val="24"/>
          <w:lang w:val="fr-FR"/>
        </w:rPr>
        <w:tab/>
        <w:t xml:space="preserve">Refus d’homologation </w:t>
      </w:r>
      <w:r w:rsidR="00612166">
        <w:rPr>
          <w:szCs w:val="24"/>
          <w:lang w:val="fr-FR"/>
        </w:rPr>
        <w:br/>
      </w:r>
      <w:r w:rsidRPr="00640EE4">
        <w:rPr>
          <w:szCs w:val="24"/>
          <w:lang w:val="fr-FR"/>
        </w:rPr>
        <w:tab/>
        <w:t xml:space="preserve">Retrait d’homologation </w:t>
      </w:r>
      <w:r w:rsidR="00612166">
        <w:rPr>
          <w:szCs w:val="24"/>
          <w:lang w:val="fr-FR"/>
        </w:rPr>
        <w:br/>
      </w:r>
      <w:r w:rsidRPr="00640EE4">
        <w:rPr>
          <w:szCs w:val="24"/>
          <w:lang w:val="fr-FR"/>
        </w:rPr>
        <w:tab/>
        <w:t xml:space="preserve">Arrêt définitif de la production </w:t>
      </w:r>
    </w:p>
    <w:p w:rsidR="00D31871" w:rsidRPr="00640EE4" w:rsidRDefault="00D31871" w:rsidP="00612166">
      <w:pPr>
        <w:pStyle w:val="SingleTxtG"/>
        <w:rPr>
          <w:lang w:val="fr-FR"/>
        </w:rPr>
      </w:pPr>
      <w:r w:rsidRPr="00640EE4">
        <w:rPr>
          <w:lang w:val="fr-FR"/>
        </w:rPr>
        <w:t xml:space="preserve">d’un type de </w:t>
      </w:r>
      <w:r w:rsidRPr="00640EE4">
        <w:rPr>
          <w:snapToGrid w:val="0"/>
          <w:lang w:val="fr-FR"/>
        </w:rPr>
        <w:t>source lumineuse</w:t>
      </w:r>
      <w:r w:rsidRPr="00640EE4">
        <w:rPr>
          <w:b/>
          <w:snapToGrid w:val="0"/>
          <w:lang w:val="fr-FR"/>
        </w:rPr>
        <w:t xml:space="preserve"> </w:t>
      </w:r>
      <w:r w:rsidRPr="00640EE4">
        <w:rPr>
          <w:lang w:val="fr-FR"/>
        </w:rPr>
        <w:t xml:space="preserve">à incandescence application du Règlement </w:t>
      </w:r>
      <w:r w:rsidRPr="00640EE4">
        <w:rPr>
          <w:snapToGrid w:val="0"/>
          <w:szCs w:val="24"/>
          <w:lang w:val="fr-FR"/>
        </w:rPr>
        <w:t>n</w:t>
      </w:r>
      <w:r w:rsidRPr="00640EE4">
        <w:rPr>
          <w:snapToGrid w:val="0"/>
          <w:szCs w:val="24"/>
          <w:vertAlign w:val="superscript"/>
          <w:lang w:val="fr-FR"/>
        </w:rPr>
        <w:t>o</w:t>
      </w:r>
      <w:r w:rsidRPr="00640EE4">
        <w:rPr>
          <w:b/>
          <w:bCs/>
          <w:snapToGrid w:val="0"/>
          <w:szCs w:val="24"/>
          <w:lang w:val="fr-FR"/>
        </w:rPr>
        <w:t> </w:t>
      </w:r>
      <w:r w:rsidRPr="00640EE4">
        <w:rPr>
          <w:lang w:val="fr-FR"/>
        </w:rPr>
        <w:t>37</w:t>
      </w:r>
    </w:p>
    <w:p w:rsidR="00D31871" w:rsidRPr="00640EE4" w:rsidRDefault="00771AFE" w:rsidP="00C960DC">
      <w:pPr>
        <w:tabs>
          <w:tab w:val="left" w:pos="1134"/>
          <w:tab w:val="left" w:pos="1701"/>
          <w:tab w:val="right" w:leader="dot" w:pos="8499"/>
        </w:tabs>
        <w:spacing w:after="120"/>
        <w:ind w:right="1139"/>
      </w:pPr>
      <w:r>
        <w:rPr>
          <w:snapToGrid w:val="0"/>
          <w:lang w:val="fr-FR"/>
        </w:rPr>
        <w:tab/>
      </w:r>
      <w:r w:rsidR="00D31871" w:rsidRPr="00640EE4">
        <w:rPr>
          <w:snapToGrid w:val="0"/>
          <w:lang w:val="fr-FR"/>
        </w:rPr>
        <w:t>N</w:t>
      </w:r>
      <w:r w:rsidR="00D31871" w:rsidRPr="00640EE4">
        <w:rPr>
          <w:snapToGrid w:val="0"/>
          <w:vertAlign w:val="superscript"/>
          <w:lang w:val="fr-FR"/>
        </w:rPr>
        <w:t>o</w:t>
      </w:r>
      <w:r w:rsidR="00D31871" w:rsidRPr="00640EE4">
        <w:rPr>
          <w:b/>
          <w:bCs/>
          <w:snapToGrid w:val="0"/>
          <w:lang w:val="fr-FR"/>
        </w:rPr>
        <w:t> </w:t>
      </w:r>
      <w:r w:rsidR="00612166">
        <w:rPr>
          <w:lang w:val="fr-FR"/>
        </w:rPr>
        <w:t>d’homologation :</w:t>
      </w:r>
      <w:r>
        <w:rPr>
          <w:lang w:val="fr-FR"/>
        </w:rPr>
        <w:t xml:space="preserve"> </w:t>
      </w:r>
      <w:r w:rsidR="00D31871" w:rsidRPr="00640EE4">
        <w:t xml:space="preserve">........................................ </w:t>
      </w:r>
      <w:r>
        <w:t xml:space="preserve">   </w:t>
      </w:r>
      <w:r w:rsidR="00D31871" w:rsidRPr="00640EE4">
        <w:rPr>
          <w:snapToGrid w:val="0"/>
          <w:lang w:val="fr-FR"/>
        </w:rPr>
        <w:t>N</w:t>
      </w:r>
      <w:r w:rsidR="00D31871" w:rsidRPr="00640EE4">
        <w:rPr>
          <w:snapToGrid w:val="0"/>
          <w:vertAlign w:val="superscript"/>
          <w:lang w:val="fr-FR"/>
        </w:rPr>
        <w:t>o</w:t>
      </w:r>
      <w:r w:rsidR="00D31871" w:rsidRPr="00640EE4">
        <w:rPr>
          <w:b/>
          <w:bCs/>
          <w:snapToGrid w:val="0"/>
          <w:lang w:val="fr-FR"/>
        </w:rPr>
        <w:t> </w:t>
      </w:r>
      <w:r w:rsidR="00D31871" w:rsidRPr="00640EE4">
        <w:rPr>
          <w:lang w:val="fr-FR"/>
        </w:rPr>
        <w:t xml:space="preserve">d’extension : </w:t>
      </w:r>
      <w:r w:rsidR="00D31871" w:rsidRPr="00640EE4">
        <w:t>..........................................</w:t>
      </w:r>
    </w:p>
    <w:p w:rsidR="00D31871" w:rsidRPr="00640EE4" w:rsidRDefault="00784D74" w:rsidP="00784D74">
      <w:pPr>
        <w:tabs>
          <w:tab w:val="left" w:pos="1134"/>
          <w:tab w:val="left" w:pos="1701"/>
          <w:tab w:val="right" w:leader="dot" w:pos="8505"/>
        </w:tabs>
        <w:spacing w:after="120"/>
        <w:ind w:right="1139"/>
      </w:pPr>
      <w:r>
        <w:tab/>
      </w:r>
      <w:r w:rsidR="00D31871" w:rsidRPr="00640EE4">
        <w:t>1.</w:t>
      </w:r>
      <w:r w:rsidR="00D31871" w:rsidRPr="00640EE4">
        <w:tab/>
      </w:r>
      <w:r w:rsidR="00D31871" w:rsidRPr="00640EE4">
        <w:rPr>
          <w:lang w:val="fr-FR"/>
        </w:rPr>
        <w:t>Marque de fabrique ou de commerce du dispositif </w:t>
      </w:r>
      <w:r w:rsidR="008545A5">
        <w:t>:</w:t>
      </w:r>
      <w:r>
        <w:tab/>
      </w:r>
    </w:p>
    <w:p w:rsidR="00D31871" w:rsidRPr="00640EE4" w:rsidRDefault="00784D74" w:rsidP="00784D74">
      <w:pPr>
        <w:tabs>
          <w:tab w:val="left" w:pos="1134"/>
          <w:tab w:val="left" w:pos="1701"/>
          <w:tab w:val="right" w:leader="dot" w:pos="8505"/>
        </w:tabs>
        <w:spacing w:after="120"/>
        <w:ind w:right="1139"/>
      </w:pPr>
      <w:r>
        <w:tab/>
      </w:r>
      <w:r w:rsidR="00D31871" w:rsidRPr="00640EE4">
        <w:t>2.</w:t>
      </w:r>
      <w:r w:rsidR="00D31871" w:rsidRPr="00640EE4">
        <w:tab/>
      </w:r>
      <w:r w:rsidR="00D31871" w:rsidRPr="00640EE4">
        <w:rPr>
          <w:lang w:val="fr-FR"/>
        </w:rPr>
        <w:t>Désignation du type de dispositif par le fabricant </w:t>
      </w:r>
      <w:r w:rsidR="00D31871" w:rsidRPr="00640EE4">
        <w:t>:</w:t>
      </w:r>
      <w:r w:rsidR="00D31871" w:rsidRPr="00640EE4">
        <w:tab/>
      </w:r>
    </w:p>
    <w:p w:rsidR="00D31871" w:rsidRPr="00640EE4" w:rsidRDefault="00784D74" w:rsidP="00784D74">
      <w:pPr>
        <w:tabs>
          <w:tab w:val="left" w:pos="1134"/>
          <w:tab w:val="left" w:pos="1701"/>
          <w:tab w:val="right" w:leader="dot" w:pos="8505"/>
        </w:tabs>
        <w:spacing w:after="120"/>
        <w:ind w:right="1139"/>
      </w:pPr>
      <w:r>
        <w:tab/>
      </w:r>
      <w:r w:rsidR="00D31871" w:rsidRPr="00640EE4">
        <w:t>3.</w:t>
      </w:r>
      <w:r w:rsidR="00D31871" w:rsidRPr="00640EE4">
        <w:tab/>
      </w:r>
      <w:r w:rsidR="00D31871" w:rsidRPr="00640EE4">
        <w:rPr>
          <w:lang w:val="fr-FR"/>
        </w:rPr>
        <w:t>Nom et adresse du fabricant </w:t>
      </w:r>
      <w:r w:rsidR="00D31871" w:rsidRPr="00640EE4">
        <w:t>:</w:t>
      </w:r>
      <w:r w:rsidR="00D31871" w:rsidRPr="00640EE4">
        <w:tab/>
      </w:r>
    </w:p>
    <w:p w:rsidR="00D31871" w:rsidRPr="00640EE4" w:rsidRDefault="00784D74" w:rsidP="00784D74">
      <w:pPr>
        <w:tabs>
          <w:tab w:val="left" w:pos="1134"/>
          <w:tab w:val="left" w:pos="1701"/>
          <w:tab w:val="right" w:leader="dot" w:pos="8505"/>
        </w:tabs>
        <w:spacing w:after="120"/>
        <w:ind w:right="1139"/>
      </w:pPr>
      <w:r>
        <w:tab/>
      </w:r>
      <w:r w:rsidR="00D31871" w:rsidRPr="00640EE4">
        <w:t>4.</w:t>
      </w:r>
      <w:r w:rsidR="00D31871" w:rsidRPr="00640EE4">
        <w:tab/>
      </w:r>
      <w:r w:rsidR="00D31871" w:rsidRPr="00640EE4">
        <w:rPr>
          <w:lang w:val="fr-FR"/>
        </w:rPr>
        <w:t>Nom et adresse du mandataire du fabricant (le cas échéant) </w:t>
      </w:r>
      <w:r w:rsidR="00D31871" w:rsidRPr="00640EE4">
        <w:t>:</w:t>
      </w:r>
      <w:r w:rsidR="00D31871" w:rsidRPr="00640EE4">
        <w:tab/>
      </w:r>
    </w:p>
    <w:p w:rsidR="00D31871" w:rsidRPr="00640EE4" w:rsidRDefault="00771AFE" w:rsidP="00771AFE">
      <w:pPr>
        <w:pStyle w:val="SingleTxtG"/>
        <w:tabs>
          <w:tab w:val="left" w:pos="567"/>
          <w:tab w:val="right" w:leader="dot" w:pos="8505"/>
        </w:tabs>
        <w:ind w:left="1701"/>
      </w:pPr>
      <w:r>
        <w:tab/>
      </w:r>
      <w:r>
        <w:tab/>
      </w:r>
    </w:p>
    <w:p w:rsidR="00D31871" w:rsidRPr="00640EE4" w:rsidRDefault="00784D74" w:rsidP="00784D74">
      <w:pPr>
        <w:tabs>
          <w:tab w:val="left" w:pos="1134"/>
          <w:tab w:val="left" w:pos="1701"/>
          <w:tab w:val="right" w:leader="dot" w:pos="8505"/>
        </w:tabs>
        <w:spacing w:after="120"/>
        <w:ind w:right="1139"/>
      </w:pPr>
      <w:r>
        <w:tab/>
      </w:r>
      <w:r w:rsidR="00D31871" w:rsidRPr="00640EE4">
        <w:t>5.</w:t>
      </w:r>
      <w:r w:rsidR="00D31871" w:rsidRPr="00640EE4">
        <w:tab/>
      </w:r>
      <w:r w:rsidR="00D31871" w:rsidRPr="00640EE4">
        <w:rPr>
          <w:lang w:val="fr-FR"/>
        </w:rPr>
        <w:t>Dispositif soumis à l’homologation le :</w:t>
      </w:r>
      <w:r w:rsidR="00D31871" w:rsidRPr="00640EE4">
        <w:tab/>
      </w:r>
    </w:p>
    <w:p w:rsidR="00D31871" w:rsidRPr="00640EE4" w:rsidRDefault="00784D74" w:rsidP="00784D74">
      <w:pPr>
        <w:tabs>
          <w:tab w:val="left" w:pos="1134"/>
          <w:tab w:val="left" w:pos="1701"/>
          <w:tab w:val="right" w:leader="dot" w:pos="8505"/>
        </w:tabs>
        <w:spacing w:after="120"/>
        <w:ind w:right="1139"/>
      </w:pPr>
      <w:r>
        <w:tab/>
      </w:r>
      <w:r w:rsidR="00D31871" w:rsidRPr="00640EE4">
        <w:t>6.</w:t>
      </w:r>
      <w:r w:rsidR="00D31871" w:rsidRPr="00640EE4">
        <w:tab/>
      </w:r>
      <w:r w:rsidR="00D31871" w:rsidRPr="00640EE4">
        <w:rPr>
          <w:lang w:val="fr-FR"/>
        </w:rPr>
        <w:t>Service technique chargé des essais :</w:t>
      </w:r>
      <w:r w:rsidR="00D31871" w:rsidRPr="00640EE4">
        <w:tab/>
      </w:r>
    </w:p>
    <w:p w:rsidR="00D31871" w:rsidRPr="00640EE4" w:rsidRDefault="00771AFE" w:rsidP="00771AFE">
      <w:pPr>
        <w:pStyle w:val="SingleTxtG"/>
        <w:tabs>
          <w:tab w:val="left" w:pos="567"/>
          <w:tab w:val="right" w:leader="dot" w:pos="8505"/>
        </w:tabs>
        <w:ind w:left="1701"/>
      </w:pPr>
      <w:r>
        <w:tab/>
      </w:r>
    </w:p>
    <w:p w:rsidR="00D31871" w:rsidRPr="00640EE4" w:rsidRDefault="00784D74" w:rsidP="00784D74">
      <w:pPr>
        <w:tabs>
          <w:tab w:val="left" w:pos="1134"/>
          <w:tab w:val="left" w:pos="1701"/>
          <w:tab w:val="right" w:leader="dot" w:pos="8505"/>
        </w:tabs>
        <w:spacing w:after="120"/>
        <w:ind w:right="1139"/>
      </w:pPr>
      <w:r>
        <w:tab/>
      </w:r>
      <w:r w:rsidR="00D31871" w:rsidRPr="00640EE4">
        <w:t>7.</w:t>
      </w:r>
      <w:r w:rsidR="00D31871" w:rsidRPr="00640EE4">
        <w:tab/>
      </w:r>
      <w:r w:rsidR="00D31871" w:rsidRPr="00640EE4">
        <w:rPr>
          <w:lang w:val="fr-FR"/>
        </w:rPr>
        <w:t>Date du procès-verbal délivré par ce service :</w:t>
      </w:r>
      <w:r w:rsidR="00D31871" w:rsidRPr="00640EE4">
        <w:tab/>
      </w:r>
    </w:p>
    <w:p w:rsidR="00D31871" w:rsidRPr="00640EE4" w:rsidRDefault="00784D74" w:rsidP="00784D74">
      <w:pPr>
        <w:tabs>
          <w:tab w:val="left" w:pos="1134"/>
          <w:tab w:val="left" w:pos="1701"/>
          <w:tab w:val="right" w:leader="dot" w:pos="8505"/>
        </w:tabs>
        <w:spacing w:after="120"/>
        <w:ind w:right="1139"/>
      </w:pPr>
      <w:r>
        <w:tab/>
      </w:r>
      <w:r w:rsidR="00D31871" w:rsidRPr="00640EE4">
        <w:t>8.</w:t>
      </w:r>
      <w:r w:rsidR="00D31871" w:rsidRPr="00640EE4">
        <w:tab/>
      </w:r>
      <w:r w:rsidR="00D31871" w:rsidRPr="00640EE4">
        <w:rPr>
          <w:lang w:val="fr-FR"/>
        </w:rPr>
        <w:t>Numéro du procès-verbal délivré par ce service :</w:t>
      </w:r>
      <w:r w:rsidR="00D31871" w:rsidRPr="00640EE4">
        <w:tab/>
      </w:r>
    </w:p>
    <w:p w:rsidR="00D31871" w:rsidRPr="00640EE4" w:rsidRDefault="00784D74" w:rsidP="00784D74">
      <w:pPr>
        <w:tabs>
          <w:tab w:val="left" w:pos="1134"/>
          <w:tab w:val="left" w:pos="1701"/>
          <w:tab w:val="right" w:leader="dot" w:pos="8505"/>
        </w:tabs>
        <w:spacing w:after="120"/>
        <w:ind w:right="1139"/>
      </w:pPr>
      <w:r>
        <w:tab/>
      </w:r>
      <w:r w:rsidR="00D31871" w:rsidRPr="00640EE4">
        <w:t>9.</w:t>
      </w:r>
      <w:r w:rsidR="00D31871" w:rsidRPr="00640EE4">
        <w:tab/>
      </w:r>
      <w:r w:rsidR="00D31871" w:rsidRPr="00640EE4">
        <w:rPr>
          <w:lang w:val="fr-FR"/>
        </w:rPr>
        <w:t>Description sommaire :</w:t>
      </w:r>
      <w:r w:rsidR="00D31871" w:rsidRPr="00640EE4">
        <w:tab/>
      </w:r>
    </w:p>
    <w:p w:rsidR="00D31871" w:rsidRPr="00640EE4" w:rsidRDefault="00612166" w:rsidP="00185B81">
      <w:pPr>
        <w:tabs>
          <w:tab w:val="left" w:pos="1134"/>
          <w:tab w:val="left" w:pos="1701"/>
          <w:tab w:val="right" w:leader="dot" w:pos="8505"/>
        </w:tabs>
        <w:spacing w:after="120"/>
        <w:ind w:right="1139"/>
      </w:pPr>
      <w:r>
        <w:tab/>
      </w:r>
      <w:r w:rsidR="00185B81">
        <w:tab/>
      </w:r>
      <w:r w:rsidR="00D31871" w:rsidRPr="00640EE4">
        <w:rPr>
          <w:lang w:val="fr-FR"/>
        </w:rPr>
        <w:t xml:space="preserve">Catégorie de </w:t>
      </w:r>
      <w:r w:rsidR="00D31871" w:rsidRPr="00640EE4">
        <w:rPr>
          <w:snapToGrid w:val="0"/>
          <w:lang w:val="fr-FR"/>
        </w:rPr>
        <w:t>source lumineuse</w:t>
      </w:r>
      <w:r w:rsidR="00D31871" w:rsidRPr="00640EE4">
        <w:rPr>
          <w:b/>
          <w:snapToGrid w:val="0"/>
          <w:lang w:val="fr-FR"/>
        </w:rPr>
        <w:t xml:space="preserve"> </w:t>
      </w:r>
      <w:r w:rsidR="00D31871" w:rsidRPr="00640EE4">
        <w:rPr>
          <w:lang w:val="fr-FR"/>
        </w:rPr>
        <w:t>à incandescence :</w:t>
      </w:r>
      <w:r w:rsidR="00D31871" w:rsidRPr="00640EE4">
        <w:tab/>
      </w:r>
    </w:p>
    <w:p w:rsidR="00D31871" w:rsidRPr="00640EE4" w:rsidRDefault="00612166" w:rsidP="00AF3CF6">
      <w:pPr>
        <w:tabs>
          <w:tab w:val="left" w:pos="1134"/>
          <w:tab w:val="left" w:pos="1701"/>
          <w:tab w:val="right" w:leader="dot" w:pos="8505"/>
        </w:tabs>
        <w:spacing w:after="120"/>
        <w:ind w:right="1139"/>
      </w:pPr>
      <w:r>
        <w:tab/>
      </w:r>
      <w:r w:rsidR="00AF3CF6">
        <w:tab/>
      </w:r>
      <w:r w:rsidR="00D31871" w:rsidRPr="00640EE4">
        <w:rPr>
          <w:lang w:val="fr-FR"/>
        </w:rPr>
        <w:t>Tension nominale :</w:t>
      </w:r>
      <w:r w:rsidR="00D31871" w:rsidRPr="00640EE4">
        <w:tab/>
      </w:r>
    </w:p>
    <w:p w:rsidR="00D31871" w:rsidRPr="00640EE4" w:rsidRDefault="00612166" w:rsidP="00AF3CF6">
      <w:pPr>
        <w:tabs>
          <w:tab w:val="left" w:pos="1134"/>
          <w:tab w:val="left" w:pos="1701"/>
          <w:tab w:val="right" w:leader="dot" w:pos="8505"/>
        </w:tabs>
        <w:spacing w:after="120"/>
        <w:ind w:right="1139"/>
      </w:pPr>
      <w:r>
        <w:tab/>
      </w:r>
      <w:r w:rsidR="00AF3CF6">
        <w:tab/>
      </w:r>
      <w:r w:rsidR="00D31871" w:rsidRPr="00640EE4">
        <w:rPr>
          <w:lang w:val="fr-FR"/>
        </w:rPr>
        <w:t>Puissance nominale :</w:t>
      </w:r>
      <w:r w:rsidR="00D31871" w:rsidRPr="00640EE4">
        <w:tab/>
      </w:r>
    </w:p>
    <w:p w:rsidR="00D31871" w:rsidRPr="00640EE4" w:rsidRDefault="00612166" w:rsidP="00612166">
      <w:pPr>
        <w:pStyle w:val="SingleTxtG"/>
      </w:pPr>
      <w:r>
        <w:tab/>
      </w:r>
      <w:r w:rsidR="00D31871" w:rsidRPr="00640EE4">
        <w:rPr>
          <w:lang w:val="fr-FR"/>
        </w:rPr>
        <w:t>Couleur de la lumière émise : blanc/jaune sélectif/jaune-auto/rouge</w:t>
      </w:r>
      <w:r w:rsidR="00D31871" w:rsidRPr="00640EE4">
        <w:rPr>
          <w:vertAlign w:val="superscript"/>
          <w:lang w:val="fr-FR"/>
        </w:rPr>
        <w:t>2</w:t>
      </w:r>
    </w:p>
    <w:p w:rsidR="00D31871" w:rsidRPr="00640EE4" w:rsidRDefault="00612166" w:rsidP="00612166">
      <w:pPr>
        <w:pStyle w:val="SingleTxtG"/>
      </w:pPr>
      <w:r>
        <w:tab/>
      </w:r>
      <w:r w:rsidR="00D31871" w:rsidRPr="00640EE4">
        <w:rPr>
          <w:lang w:val="fr-FR"/>
        </w:rPr>
        <w:t>Revêtement coloré sur l’ampoule en verre : oui/non</w:t>
      </w:r>
      <w:r w:rsidR="00D31871" w:rsidRPr="00640EE4">
        <w:rPr>
          <w:vertAlign w:val="superscript"/>
          <w:lang w:val="fr-FR"/>
        </w:rPr>
        <w:t>2</w:t>
      </w:r>
    </w:p>
    <w:p w:rsidR="00D31871" w:rsidRPr="00640EE4" w:rsidRDefault="00612166" w:rsidP="00612166">
      <w:pPr>
        <w:pStyle w:val="SingleTxtG"/>
      </w:pPr>
      <w:r>
        <w:tab/>
      </w:r>
      <w:r w:rsidR="00D31871" w:rsidRPr="00640EE4">
        <w:rPr>
          <w:lang w:val="fr-FR"/>
        </w:rPr>
        <w:t>S</w:t>
      </w:r>
      <w:r w:rsidR="00D31871" w:rsidRPr="00640EE4">
        <w:rPr>
          <w:snapToGrid w:val="0"/>
          <w:lang w:val="fr-FR"/>
        </w:rPr>
        <w:t>ource lumineuse</w:t>
      </w:r>
      <w:r w:rsidR="00D31871" w:rsidRPr="00640EE4">
        <w:rPr>
          <w:b/>
          <w:snapToGrid w:val="0"/>
          <w:lang w:val="fr-FR"/>
        </w:rPr>
        <w:t xml:space="preserve"> </w:t>
      </w:r>
      <w:r w:rsidR="00D31871" w:rsidRPr="00640EE4">
        <w:rPr>
          <w:lang w:val="fr-FR"/>
        </w:rPr>
        <w:t>à incandescence à halogène : oui/non</w:t>
      </w:r>
      <w:r w:rsidR="00D31871" w:rsidRPr="00640EE4">
        <w:rPr>
          <w:vertAlign w:val="superscript"/>
          <w:lang w:val="fr-FR"/>
        </w:rPr>
        <w:t>2</w:t>
      </w:r>
    </w:p>
    <w:p w:rsidR="00D31871" w:rsidRPr="00640EE4" w:rsidRDefault="00784D74" w:rsidP="00784D74">
      <w:pPr>
        <w:tabs>
          <w:tab w:val="left" w:pos="1134"/>
          <w:tab w:val="left" w:pos="1701"/>
          <w:tab w:val="right" w:leader="dot" w:pos="8505"/>
        </w:tabs>
        <w:spacing w:after="120"/>
        <w:ind w:right="1139"/>
      </w:pPr>
      <w:r>
        <w:tab/>
      </w:r>
      <w:r w:rsidR="00D31871" w:rsidRPr="00640EE4">
        <w:t>10.</w:t>
      </w:r>
      <w:r w:rsidR="00D31871" w:rsidRPr="00640EE4">
        <w:tab/>
      </w:r>
      <w:r w:rsidR="00D31871" w:rsidRPr="00640EE4">
        <w:rPr>
          <w:lang w:val="fr-FR"/>
        </w:rPr>
        <w:t>Position de la marque d’homologation :</w:t>
      </w:r>
      <w:r w:rsidR="00D31871" w:rsidRPr="00640EE4">
        <w:tab/>
      </w:r>
    </w:p>
    <w:p w:rsidR="00D31871" w:rsidRPr="00640EE4" w:rsidRDefault="00784D74" w:rsidP="00784D74">
      <w:pPr>
        <w:tabs>
          <w:tab w:val="left" w:pos="1134"/>
          <w:tab w:val="left" w:pos="1701"/>
          <w:tab w:val="right" w:leader="dot" w:pos="8505"/>
        </w:tabs>
        <w:spacing w:after="120"/>
        <w:ind w:right="1139"/>
      </w:pPr>
      <w:r>
        <w:tab/>
      </w:r>
      <w:r w:rsidR="00D31871" w:rsidRPr="00640EE4">
        <w:t>11.</w:t>
      </w:r>
      <w:r w:rsidR="00D31871" w:rsidRPr="00640EE4">
        <w:tab/>
      </w:r>
      <w:r w:rsidR="00D31871" w:rsidRPr="00640EE4">
        <w:rPr>
          <w:lang w:val="fr-FR"/>
        </w:rPr>
        <w:t>Motif(s) de l’extension d’homologation (if applicable) :</w:t>
      </w:r>
      <w:r w:rsidR="00D31871" w:rsidRPr="00640EE4">
        <w:tab/>
      </w:r>
    </w:p>
    <w:p w:rsidR="00D31871" w:rsidRPr="00640EE4" w:rsidRDefault="00784D74" w:rsidP="00784D74">
      <w:pPr>
        <w:tabs>
          <w:tab w:val="left" w:pos="1134"/>
          <w:tab w:val="left" w:pos="1701"/>
          <w:tab w:val="right" w:leader="dot" w:pos="8505"/>
        </w:tabs>
        <w:spacing w:after="120"/>
        <w:ind w:right="1139"/>
      </w:pPr>
      <w:r>
        <w:tab/>
      </w:r>
      <w:r w:rsidR="00D31871" w:rsidRPr="00640EE4">
        <w:t>12.</w:t>
      </w:r>
      <w:r w:rsidR="00D31871" w:rsidRPr="00640EE4">
        <w:tab/>
      </w:r>
      <w:r w:rsidR="00D31871" w:rsidRPr="00640EE4">
        <w:rPr>
          <w:lang w:val="fr-FR"/>
        </w:rPr>
        <w:t>Homologation accordée/prorogée/refusée/retirée</w:t>
      </w:r>
      <w:r w:rsidR="00D31871" w:rsidRPr="00640EE4">
        <w:rPr>
          <w:vertAlign w:val="superscript"/>
          <w:lang w:val="fr-FR"/>
        </w:rPr>
        <w:t>2</w:t>
      </w:r>
      <w:r w:rsidR="00D31871" w:rsidRPr="00640EE4">
        <w:rPr>
          <w:lang w:val="fr-FR"/>
        </w:rPr>
        <w:t xml:space="preserve"> </w:t>
      </w:r>
    </w:p>
    <w:p w:rsidR="00D31871" w:rsidRPr="00640EE4" w:rsidRDefault="00784D74" w:rsidP="00784D74">
      <w:pPr>
        <w:tabs>
          <w:tab w:val="left" w:pos="1134"/>
          <w:tab w:val="left" w:pos="1701"/>
          <w:tab w:val="right" w:leader="dot" w:pos="8505"/>
        </w:tabs>
        <w:spacing w:after="120"/>
        <w:ind w:right="1139"/>
      </w:pPr>
      <w:r>
        <w:tab/>
      </w:r>
      <w:r w:rsidR="00D31871" w:rsidRPr="00640EE4">
        <w:t>13.</w:t>
      </w:r>
      <w:r w:rsidR="00D31871" w:rsidRPr="00640EE4">
        <w:tab/>
      </w:r>
      <w:r w:rsidR="00D31871" w:rsidRPr="00640EE4">
        <w:rPr>
          <w:lang w:val="fr-FR"/>
        </w:rPr>
        <w:t>Lieu :</w:t>
      </w:r>
      <w:r w:rsidR="00D31871" w:rsidRPr="00640EE4">
        <w:tab/>
      </w:r>
    </w:p>
    <w:p w:rsidR="00D31871" w:rsidRPr="00640EE4" w:rsidRDefault="00784D74" w:rsidP="00784D74">
      <w:pPr>
        <w:tabs>
          <w:tab w:val="left" w:pos="1134"/>
          <w:tab w:val="left" w:pos="1701"/>
          <w:tab w:val="right" w:leader="dot" w:pos="8505"/>
        </w:tabs>
        <w:spacing w:after="120"/>
        <w:ind w:right="1139"/>
      </w:pPr>
      <w:r>
        <w:tab/>
      </w:r>
      <w:r w:rsidR="00612166">
        <w:t>14.</w:t>
      </w:r>
      <w:r w:rsidR="00612166">
        <w:tab/>
      </w:r>
      <w:r w:rsidR="00D31871" w:rsidRPr="00640EE4">
        <w:rPr>
          <w:lang w:val="fr-FR"/>
        </w:rPr>
        <w:t>Date :</w:t>
      </w:r>
      <w:r w:rsidR="00D31871" w:rsidRPr="00640EE4">
        <w:tab/>
      </w:r>
    </w:p>
    <w:p w:rsidR="00D31871" w:rsidRPr="00640EE4" w:rsidRDefault="00784D74" w:rsidP="00784D74">
      <w:pPr>
        <w:tabs>
          <w:tab w:val="left" w:pos="1134"/>
          <w:tab w:val="left" w:pos="1701"/>
          <w:tab w:val="right" w:leader="dot" w:pos="8505"/>
        </w:tabs>
        <w:spacing w:after="120"/>
        <w:ind w:right="1139"/>
      </w:pPr>
      <w:r>
        <w:tab/>
      </w:r>
      <w:r w:rsidR="00D31871" w:rsidRPr="00640EE4">
        <w:t>15.</w:t>
      </w:r>
      <w:r w:rsidR="00D31871" w:rsidRPr="00640EE4">
        <w:tab/>
        <w:t>Signature :</w:t>
      </w:r>
      <w:r w:rsidR="00D31871" w:rsidRPr="00640EE4">
        <w:tab/>
      </w:r>
    </w:p>
    <w:p w:rsidR="00D31871" w:rsidRPr="00640EE4" w:rsidRDefault="00784D74" w:rsidP="00FE3E45">
      <w:pPr>
        <w:tabs>
          <w:tab w:val="left" w:pos="1701"/>
          <w:tab w:val="right" w:leader="dot" w:pos="8505"/>
        </w:tabs>
        <w:spacing w:after="120"/>
        <w:ind w:left="1134" w:right="1139" w:hanging="1134"/>
      </w:pPr>
      <w:r>
        <w:tab/>
      </w:r>
      <w:r w:rsidR="00D31871" w:rsidRPr="00640EE4">
        <w:t>16.</w:t>
      </w:r>
      <w:r w:rsidR="00D31871" w:rsidRPr="00640EE4">
        <w:tab/>
      </w:r>
      <w:r w:rsidR="00D31871" w:rsidRPr="00640EE4">
        <w:rPr>
          <w:lang w:val="fr-FR"/>
        </w:rPr>
        <w:t>Les documents suivants, portant le numéro d’homologation indiqué ci-dessus</w:t>
      </w:r>
      <w:r w:rsidR="00FE3E45">
        <w:rPr>
          <w:lang w:val="fr-FR"/>
        </w:rPr>
        <w:br/>
      </w:r>
      <w:r w:rsidR="005403BD">
        <w:rPr>
          <w:lang w:val="fr-FR"/>
        </w:rPr>
        <w:tab/>
      </w:r>
      <w:r w:rsidR="00D31871" w:rsidRPr="00640EE4">
        <w:rPr>
          <w:lang w:val="fr-FR"/>
        </w:rPr>
        <w:t>peuvent être obtenus sur demande :</w:t>
      </w:r>
      <w:r w:rsidR="00D31871" w:rsidRPr="00640EE4">
        <w:tab/>
      </w:r>
    </w:p>
    <w:p w:rsidR="00D31871" w:rsidRPr="00640EE4" w:rsidRDefault="00D31871" w:rsidP="008545A5">
      <w:pPr>
        <w:pStyle w:val="HChG"/>
        <w:rPr>
          <w:lang w:val="fr-FR"/>
        </w:rPr>
      </w:pPr>
      <w:r w:rsidRPr="00640EE4">
        <w:br w:type="page"/>
      </w:r>
      <w:r w:rsidRPr="00640EE4">
        <w:rPr>
          <w:lang w:val="fr-FR"/>
        </w:rPr>
        <w:t xml:space="preserve">Annexe 3 </w:t>
      </w:r>
    </w:p>
    <w:p w:rsidR="00D31871" w:rsidRPr="00640EE4" w:rsidRDefault="00D31871" w:rsidP="008545A5">
      <w:pPr>
        <w:pStyle w:val="HChG"/>
        <w:rPr>
          <w:lang w:val="fr-FR"/>
        </w:rPr>
      </w:pPr>
      <w:r w:rsidRPr="00640EE4">
        <w:rPr>
          <w:lang w:val="fr-FR"/>
        </w:rPr>
        <w:tab/>
      </w:r>
      <w:r w:rsidRPr="00640EE4">
        <w:rPr>
          <w:lang w:val="fr-FR"/>
        </w:rPr>
        <w:tab/>
        <w:t>Exemple de marque d’homologation</w:t>
      </w:r>
    </w:p>
    <w:p w:rsidR="00D31871" w:rsidRPr="00640EE4" w:rsidRDefault="00D31871" w:rsidP="008545A5">
      <w:pPr>
        <w:pStyle w:val="SingleTxtG"/>
        <w:rPr>
          <w:lang w:val="fr-FR"/>
        </w:rPr>
      </w:pPr>
      <w:r w:rsidRPr="00640EE4">
        <w:rPr>
          <w:lang w:val="fr-FR"/>
        </w:rPr>
        <w:t>(Voir par. 2.4.3)</w:t>
      </w:r>
    </w:p>
    <w:p w:rsidR="00D31871" w:rsidRPr="00640EE4" w:rsidRDefault="00D31871" w:rsidP="00D31871">
      <w:pPr>
        <w:rPr>
          <w:rFonts w:eastAsia="Calibri"/>
          <w:lang w:val="fr-FR"/>
        </w:rPr>
      </w:pPr>
      <w:r w:rsidRPr="00640EE4">
        <w:rPr>
          <w:rFonts w:eastAsia="Calibri"/>
          <w:noProof/>
          <w:lang w:val="en-GB" w:eastAsia="en-GB"/>
        </w:rPr>
        <w:drawing>
          <wp:inline distT="0" distB="0" distL="0" distR="0" wp14:anchorId="0486D454" wp14:editId="438C45AD">
            <wp:extent cx="4610100" cy="2057400"/>
            <wp:effectExtent l="0" t="0" r="0" b="0"/>
            <wp:docPr id="8"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inline>
        </w:drawing>
      </w:r>
    </w:p>
    <w:p w:rsidR="00D31871" w:rsidRPr="00640EE4" w:rsidRDefault="00D31871" w:rsidP="008545A5">
      <w:pPr>
        <w:pStyle w:val="SingleTxtG"/>
        <w:ind w:firstLine="567"/>
        <w:rPr>
          <w:lang w:val="fr-FR"/>
        </w:rPr>
      </w:pPr>
      <w:r w:rsidRPr="00640EE4">
        <w:rPr>
          <w:lang w:val="fr-FR"/>
        </w:rPr>
        <w:t xml:space="preserve">La marque d’homologation ci-dessus, apposée sur une source lumineuse à incandescence, indique que cette source lumineuse a été homologuée au Royaume-Uni (E 11), sous le code d’homologation code A01. </w:t>
      </w:r>
    </w:p>
    <w:p w:rsidR="00D31871" w:rsidRPr="00640EE4" w:rsidRDefault="00D31871" w:rsidP="008545A5">
      <w:pPr>
        <w:pStyle w:val="SingleTxtG"/>
        <w:ind w:firstLine="567"/>
        <w:rPr>
          <w:lang w:val="fr-FR"/>
        </w:rPr>
      </w:pPr>
      <w:r w:rsidRPr="00640EE4">
        <w:rPr>
          <w:lang w:val="fr-FR"/>
        </w:rPr>
        <w:t>Le premier caractère du code d’homologation indique que l’homologation a été accordée conformément aux prescriptions du Règlement n</w:t>
      </w:r>
      <w:r w:rsidRPr="00640EE4">
        <w:rPr>
          <w:vertAlign w:val="superscript"/>
          <w:lang w:val="fr-FR"/>
        </w:rPr>
        <w:t>o</w:t>
      </w:r>
      <w:r w:rsidRPr="00640EE4">
        <w:rPr>
          <w:lang w:val="fr-FR"/>
        </w:rPr>
        <w:t> 37 tel que modifié par les séries 02 et 03</w:t>
      </w:r>
      <w:r w:rsidRPr="00DB02EE">
        <w:rPr>
          <w:sz w:val="18"/>
        </w:rPr>
        <w:footnoteReference w:customMarkFollows="1" w:id="13"/>
        <w:t>*</w:t>
      </w:r>
      <w:r w:rsidRPr="00DB02EE">
        <w:rPr>
          <w:lang w:val="fr-FR"/>
        </w:rPr>
        <w:t xml:space="preserve"> </w:t>
      </w:r>
      <w:r w:rsidRPr="00640EE4">
        <w:rPr>
          <w:lang w:val="fr-FR"/>
        </w:rPr>
        <w:t>d’amendements.</w:t>
      </w:r>
    </w:p>
    <w:p w:rsidR="00D31871" w:rsidRPr="00640EE4" w:rsidRDefault="00D31871" w:rsidP="008545A5">
      <w:pPr>
        <w:pStyle w:val="HChG"/>
        <w:rPr>
          <w:lang w:val="fr-FR"/>
        </w:rPr>
      </w:pPr>
      <w:r w:rsidRPr="00640EE4">
        <w:rPr>
          <w:lang w:val="fr-FR"/>
        </w:rPr>
        <w:br w:type="page"/>
        <w:t>Annexe 4</w:t>
      </w:r>
    </w:p>
    <w:p w:rsidR="00D31871" w:rsidRPr="00640EE4" w:rsidRDefault="00D31871" w:rsidP="008545A5">
      <w:pPr>
        <w:pStyle w:val="HChG"/>
        <w:rPr>
          <w:lang w:val="fr-FR"/>
        </w:rPr>
      </w:pPr>
      <w:r w:rsidRPr="00640EE4">
        <w:rPr>
          <w:lang w:val="fr-FR"/>
        </w:rPr>
        <w:tab/>
      </w:r>
      <w:r w:rsidRPr="00640EE4">
        <w:rPr>
          <w:lang w:val="fr-FR"/>
        </w:rPr>
        <w:tab/>
        <w:t>Centre de gravité lumineux et formes des filaments des sources lumineuses à incandescence</w:t>
      </w:r>
    </w:p>
    <w:p w:rsidR="00D31871" w:rsidRPr="00640EE4" w:rsidRDefault="00D31871" w:rsidP="008545A5">
      <w:pPr>
        <w:pStyle w:val="SingleTxtG"/>
        <w:ind w:firstLine="567"/>
        <w:rPr>
          <w:lang w:val="fr-FR"/>
        </w:rPr>
      </w:pPr>
      <w:r w:rsidRPr="00640EE4">
        <w:rPr>
          <w:lang w:val="fr-FR"/>
        </w:rPr>
        <w:t>Sauf indication contraire éventuelle dans les feuilles de caractéristiques pertinentes, la présente annexe est applicable à la détermination du centre de gravité lumineux de différentes formes de filaments.</w:t>
      </w:r>
    </w:p>
    <w:p w:rsidR="00D31871" w:rsidRPr="00640EE4" w:rsidRDefault="00D31871" w:rsidP="008545A5">
      <w:pPr>
        <w:pStyle w:val="SingleTxtG"/>
        <w:ind w:firstLine="567"/>
        <w:rPr>
          <w:lang w:val="fr-FR"/>
        </w:rPr>
      </w:pPr>
      <w:r w:rsidRPr="00640EE4">
        <w:rPr>
          <w:lang w:val="fr-CA"/>
        </w:rPr>
        <w:t>La position du centre de gravité lumineux dépend de la forme du filament.</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536"/>
        <w:gridCol w:w="4512"/>
      </w:tblGrid>
      <w:tr w:rsidR="00D31871" w:rsidRPr="00640EE4" w:rsidTr="00D31871">
        <w:trPr>
          <w:trHeight w:val="373"/>
          <w:jc w:val="center"/>
        </w:trPr>
        <w:tc>
          <w:tcPr>
            <w:tcW w:w="565" w:type="dxa"/>
            <w:vAlign w:val="center"/>
          </w:tcPr>
          <w:p w:rsidR="00D31871" w:rsidRPr="00640EE4" w:rsidRDefault="00D31871" w:rsidP="00D31871">
            <w:pPr>
              <w:rPr>
                <w:rFonts w:eastAsia="Calibri"/>
                <w:i/>
                <w:sz w:val="16"/>
                <w:szCs w:val="16"/>
                <w:lang w:val="fr-FR"/>
              </w:rPr>
            </w:pPr>
            <w:r w:rsidRPr="00640EE4">
              <w:rPr>
                <w:rFonts w:eastAsia="Calibri"/>
                <w:i/>
                <w:sz w:val="16"/>
                <w:szCs w:val="16"/>
                <w:lang w:val="fr-FR"/>
              </w:rPr>
              <w:t>N</w:t>
            </w:r>
            <w:r w:rsidRPr="00640EE4">
              <w:rPr>
                <w:rFonts w:eastAsia="Calibri"/>
                <w:i/>
                <w:sz w:val="16"/>
                <w:szCs w:val="16"/>
                <w:vertAlign w:val="superscript"/>
                <w:lang w:val="fr-FR"/>
              </w:rPr>
              <w:t>o</w:t>
            </w:r>
          </w:p>
        </w:tc>
        <w:tc>
          <w:tcPr>
            <w:tcW w:w="4536" w:type="dxa"/>
            <w:vAlign w:val="center"/>
          </w:tcPr>
          <w:p w:rsidR="00D31871" w:rsidRPr="00640EE4" w:rsidRDefault="00D31871" w:rsidP="00D31871">
            <w:pPr>
              <w:rPr>
                <w:rFonts w:eastAsia="Calibri"/>
                <w:i/>
                <w:sz w:val="16"/>
                <w:szCs w:val="16"/>
                <w:lang w:val="fr-FR"/>
              </w:rPr>
            </w:pPr>
            <w:r w:rsidRPr="00640EE4">
              <w:rPr>
                <w:rFonts w:eastAsia="Calibri"/>
                <w:i/>
                <w:sz w:val="16"/>
                <w:szCs w:val="16"/>
                <w:lang w:val="fr-FR"/>
              </w:rPr>
              <w:t>Formes de filaments</w:t>
            </w:r>
          </w:p>
        </w:tc>
        <w:tc>
          <w:tcPr>
            <w:tcW w:w="4512" w:type="dxa"/>
            <w:vAlign w:val="center"/>
          </w:tcPr>
          <w:p w:rsidR="00D31871" w:rsidRPr="00640EE4" w:rsidRDefault="00D31871" w:rsidP="00D31871">
            <w:pPr>
              <w:rPr>
                <w:rFonts w:eastAsia="Calibri"/>
                <w:i/>
                <w:sz w:val="16"/>
                <w:szCs w:val="16"/>
                <w:lang w:val="fr-FR"/>
              </w:rPr>
            </w:pPr>
            <w:r w:rsidRPr="00640EE4">
              <w:rPr>
                <w:rFonts w:eastAsia="Calibri"/>
                <w:i/>
                <w:sz w:val="16"/>
                <w:szCs w:val="16"/>
                <w:lang w:val="fr-FR"/>
              </w:rPr>
              <w:t>Remarques</w:t>
            </w:r>
          </w:p>
        </w:tc>
      </w:tr>
      <w:tr w:rsidR="00D31871" w:rsidRPr="00640EE4" w:rsidTr="00D31871">
        <w:trPr>
          <w:trHeight w:val="2106"/>
          <w:jc w:val="center"/>
        </w:trPr>
        <w:tc>
          <w:tcPr>
            <w:tcW w:w="565" w:type="dxa"/>
            <w:vAlign w:val="center"/>
          </w:tcPr>
          <w:p w:rsidR="00D31871" w:rsidRPr="00640EE4" w:rsidRDefault="00D31871" w:rsidP="00D31871">
            <w:pPr>
              <w:rPr>
                <w:rFonts w:eastAsia="Calibri"/>
                <w:lang w:val="fr-FR"/>
              </w:rPr>
            </w:pPr>
            <w:r w:rsidRPr="00640EE4">
              <w:rPr>
                <w:rFonts w:eastAsia="Calibri"/>
                <w:lang w:val="fr-FR"/>
              </w:rPr>
              <w:t>1</w:t>
            </w:r>
          </w:p>
        </w:tc>
        <w:tc>
          <w:tcPr>
            <w:tcW w:w="4536" w:type="dxa"/>
            <w:vAlign w:val="center"/>
          </w:tcPr>
          <w:p w:rsidR="00D31871" w:rsidRPr="00640EE4" w:rsidRDefault="00D31871" w:rsidP="00D31871">
            <w:pPr>
              <w:rPr>
                <w:rFonts w:eastAsia="Calibri"/>
                <w:lang w:val="fr-FR"/>
              </w:rPr>
            </w:pPr>
            <w:r w:rsidRPr="00640EE4">
              <w:rPr>
                <w:rFonts w:eastAsia="Calibri"/>
                <w:noProof/>
                <w:lang w:val="en-GB" w:eastAsia="en-GB"/>
              </w:rPr>
              <w:drawing>
                <wp:inline distT="0" distB="0" distL="0" distR="0" wp14:anchorId="7759C94C" wp14:editId="4A8C6571">
                  <wp:extent cx="2533650" cy="1266825"/>
                  <wp:effectExtent l="0" t="0" r="0" b="9525"/>
                  <wp:docPr id="11"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512" w:type="dxa"/>
          </w:tcPr>
          <w:p w:rsidR="00D31871" w:rsidRPr="00640EE4" w:rsidRDefault="00D31871" w:rsidP="00D31871">
            <w:pPr>
              <w:rPr>
                <w:rFonts w:eastAsia="Calibri"/>
                <w:lang w:val="fr-FR"/>
              </w:rPr>
            </w:pPr>
          </w:p>
          <w:p w:rsidR="00D31871" w:rsidRPr="00640EE4" w:rsidRDefault="00D31871" w:rsidP="00D31871">
            <w:pPr>
              <w:rPr>
                <w:rFonts w:eastAsia="Calibri"/>
                <w:lang w:val="fr-FR"/>
              </w:rPr>
            </w:pPr>
            <w:r w:rsidRPr="00640EE4">
              <w:rPr>
                <w:rFonts w:eastAsia="Calibri"/>
                <w:lang w:val="fr-FR"/>
              </w:rPr>
              <w:t>Avec b &gt; 1,5 h, l’écart de l’axe du filament par rapport au plan perpendiculaire à l’axe de référence ne doit pas dépasser 15°.</w:t>
            </w:r>
          </w:p>
        </w:tc>
      </w:tr>
      <w:tr w:rsidR="00D31871" w:rsidRPr="00640EE4" w:rsidTr="00D31871">
        <w:trPr>
          <w:trHeight w:val="2689"/>
          <w:jc w:val="center"/>
        </w:trPr>
        <w:tc>
          <w:tcPr>
            <w:tcW w:w="565" w:type="dxa"/>
            <w:vAlign w:val="center"/>
          </w:tcPr>
          <w:p w:rsidR="00D31871" w:rsidRPr="00640EE4" w:rsidRDefault="00D31871" w:rsidP="00D31871">
            <w:pPr>
              <w:rPr>
                <w:rFonts w:eastAsia="Calibri"/>
                <w:lang w:val="fr-FR"/>
              </w:rPr>
            </w:pPr>
            <w:r w:rsidRPr="00640EE4">
              <w:rPr>
                <w:rFonts w:eastAsia="Calibri"/>
                <w:lang w:val="fr-FR"/>
              </w:rPr>
              <w:t>2</w:t>
            </w:r>
          </w:p>
        </w:tc>
        <w:tc>
          <w:tcPr>
            <w:tcW w:w="4536" w:type="dxa"/>
            <w:vAlign w:val="center"/>
          </w:tcPr>
          <w:p w:rsidR="00D31871" w:rsidRPr="00640EE4" w:rsidRDefault="00D31871" w:rsidP="00D31871">
            <w:pPr>
              <w:rPr>
                <w:rFonts w:eastAsia="Calibri"/>
                <w:lang w:val="fr-FR"/>
              </w:rPr>
            </w:pPr>
            <w:r w:rsidRPr="00640EE4">
              <w:rPr>
                <w:rFonts w:eastAsia="Calibri"/>
                <w:noProof/>
                <w:lang w:val="en-GB" w:eastAsia="en-GB"/>
              </w:rPr>
              <w:drawing>
                <wp:inline distT="0" distB="0" distL="0" distR="0" wp14:anchorId="071C6B35" wp14:editId="68498AD8">
                  <wp:extent cx="2647950" cy="1524000"/>
                  <wp:effectExtent l="0" t="0" r="0" b="0"/>
                  <wp:docPr id="9"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512" w:type="dxa"/>
          </w:tcPr>
          <w:p w:rsidR="00D31871" w:rsidRPr="00640EE4" w:rsidRDefault="00D31871" w:rsidP="00D31871">
            <w:pPr>
              <w:rPr>
                <w:rFonts w:eastAsia="Calibri"/>
                <w:lang w:val="fr-FR"/>
              </w:rPr>
            </w:pPr>
          </w:p>
          <w:p w:rsidR="00D31871" w:rsidRPr="00640EE4" w:rsidRDefault="00D31871" w:rsidP="00D31871">
            <w:pPr>
              <w:rPr>
                <w:rFonts w:eastAsia="Calibri"/>
                <w:lang w:val="fr-FR"/>
              </w:rPr>
            </w:pPr>
            <w:r w:rsidRPr="00640EE4">
              <w:rPr>
                <w:rFonts w:eastAsia="Calibri"/>
                <w:lang w:val="fr-FR"/>
              </w:rPr>
              <w:t>Ne s’applique qu’aux filaments qui peuvent être inscrits dans un rectangle dont b &gt; 3 h.</w:t>
            </w:r>
          </w:p>
        </w:tc>
      </w:tr>
      <w:tr w:rsidR="00D31871" w:rsidRPr="00640EE4" w:rsidTr="00D31871">
        <w:trPr>
          <w:trHeight w:val="3168"/>
          <w:jc w:val="center"/>
        </w:trPr>
        <w:tc>
          <w:tcPr>
            <w:tcW w:w="565" w:type="dxa"/>
            <w:vAlign w:val="center"/>
          </w:tcPr>
          <w:p w:rsidR="00D31871" w:rsidRPr="00640EE4" w:rsidRDefault="00D31871" w:rsidP="00D31871">
            <w:pPr>
              <w:rPr>
                <w:rFonts w:eastAsia="Calibri"/>
                <w:lang w:val="fr-FR"/>
              </w:rPr>
            </w:pPr>
            <w:r w:rsidRPr="00640EE4">
              <w:rPr>
                <w:rFonts w:eastAsia="Calibri"/>
                <w:lang w:val="fr-FR"/>
              </w:rPr>
              <w:t>3</w:t>
            </w:r>
          </w:p>
        </w:tc>
        <w:tc>
          <w:tcPr>
            <w:tcW w:w="4536" w:type="dxa"/>
            <w:vAlign w:val="center"/>
          </w:tcPr>
          <w:p w:rsidR="00D31871" w:rsidRPr="00640EE4" w:rsidRDefault="00D31871" w:rsidP="00D31871">
            <w:pPr>
              <w:rPr>
                <w:rFonts w:eastAsia="Calibri"/>
                <w:lang w:val="fr-FR"/>
              </w:rPr>
            </w:pPr>
            <w:r w:rsidRPr="00640EE4">
              <w:rPr>
                <w:rFonts w:eastAsia="Calibri"/>
                <w:noProof/>
                <w:lang w:val="en-GB" w:eastAsia="en-GB"/>
              </w:rPr>
              <w:drawing>
                <wp:inline distT="0" distB="0" distL="0" distR="0" wp14:anchorId="68608251" wp14:editId="5974554F">
                  <wp:extent cx="2514600" cy="18478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512" w:type="dxa"/>
          </w:tcPr>
          <w:p w:rsidR="00D31871" w:rsidRPr="00640EE4" w:rsidRDefault="00D31871" w:rsidP="00D31871">
            <w:pPr>
              <w:rPr>
                <w:rFonts w:eastAsia="Calibri"/>
                <w:lang w:val="fr-FR"/>
              </w:rPr>
            </w:pPr>
          </w:p>
          <w:p w:rsidR="00D31871" w:rsidRPr="00640EE4" w:rsidRDefault="00D31871" w:rsidP="00D31871">
            <w:pPr>
              <w:rPr>
                <w:rFonts w:eastAsia="Calibri"/>
                <w:lang w:val="fr-FR"/>
              </w:rPr>
            </w:pPr>
            <w:r w:rsidRPr="00640EE4">
              <w:rPr>
                <w:rFonts w:eastAsia="Calibri"/>
                <w:lang w:val="fr-FR"/>
              </w:rPr>
              <w:t>S’applique aux filaments qui peuvent être inscrits dans un rectangle dont b ≤ 3 h, mais où k &lt; 2 h.</w:t>
            </w:r>
          </w:p>
        </w:tc>
      </w:tr>
    </w:tbl>
    <w:p w:rsidR="00D31871" w:rsidRPr="00640EE4" w:rsidRDefault="00D31871" w:rsidP="008545A5">
      <w:pPr>
        <w:pStyle w:val="SingleTxtG"/>
        <w:spacing w:before="240"/>
        <w:ind w:firstLine="567"/>
        <w:rPr>
          <w:lang w:val="fr-FR"/>
        </w:rPr>
      </w:pPr>
      <w:r w:rsidRPr="00640EE4">
        <w:rPr>
          <w:lang w:val="fr-FR"/>
        </w:rPr>
        <w:t>Les lignes latérales des rectangles circonscrits conformément aux n</w:t>
      </w:r>
      <w:r w:rsidRPr="00640EE4">
        <w:rPr>
          <w:vertAlign w:val="superscript"/>
          <w:lang w:val="fr-FR"/>
        </w:rPr>
        <w:t>os</w:t>
      </w:r>
      <w:r w:rsidRPr="00640EE4">
        <w:rPr>
          <w:lang w:val="fr-FR"/>
        </w:rPr>
        <w:t> 2 et 3 sont respectivement parallèles et perpendiculaires à l’axe de référence.</w:t>
      </w:r>
    </w:p>
    <w:p w:rsidR="00D31871" w:rsidRPr="00640EE4" w:rsidRDefault="00D31871" w:rsidP="008545A5">
      <w:pPr>
        <w:pStyle w:val="SingleTxtG"/>
        <w:ind w:firstLine="567"/>
        <w:rPr>
          <w:lang w:val="fr-FR"/>
        </w:rPr>
      </w:pPr>
      <w:r w:rsidRPr="00640EE4">
        <w:rPr>
          <w:lang w:val="fr-FR"/>
        </w:rPr>
        <w:t>Le centre de gravité lumineux est le point d’intersection des lignes à tirets et points.</w:t>
      </w:r>
    </w:p>
    <w:p w:rsidR="00D31871" w:rsidRPr="00640EE4" w:rsidRDefault="00D31871" w:rsidP="008545A5">
      <w:pPr>
        <w:pStyle w:val="SingleTxtG"/>
        <w:ind w:firstLine="567"/>
        <w:rPr>
          <w:lang w:val="fr-FR"/>
        </w:rPr>
      </w:pPr>
      <w:r w:rsidRPr="00640EE4">
        <w:rPr>
          <w:lang w:val="fr-FR"/>
        </w:rPr>
        <w:t>Les dessins ont seulement pour objet d’illustrer les principales dimensions.</w:t>
      </w:r>
    </w:p>
    <w:p w:rsidR="00D31871" w:rsidRPr="00640EE4" w:rsidRDefault="00D31871" w:rsidP="007D4F6A">
      <w:pPr>
        <w:pStyle w:val="HChG"/>
        <w:rPr>
          <w:lang w:val="fr-FR"/>
        </w:rPr>
      </w:pPr>
      <w:r w:rsidRPr="00640EE4">
        <w:rPr>
          <w:lang w:val="fr-FR"/>
        </w:rPr>
        <w:br w:type="page"/>
        <w:t>Annexe 5</w:t>
      </w:r>
    </w:p>
    <w:p w:rsidR="00D31871" w:rsidRPr="00640EE4" w:rsidRDefault="00D31871" w:rsidP="007D4F6A">
      <w:pPr>
        <w:pStyle w:val="HChG"/>
        <w:rPr>
          <w:lang w:val="fr-FR"/>
        </w:rPr>
      </w:pPr>
      <w:r w:rsidRPr="00640EE4">
        <w:rPr>
          <w:lang w:val="fr-FR"/>
        </w:rPr>
        <w:tab/>
      </w:r>
      <w:r w:rsidRPr="00640EE4">
        <w:rPr>
          <w:lang w:val="fr-FR"/>
        </w:rPr>
        <w:tab/>
        <w:t xml:space="preserve">Contrôle de la couleur des sources lumineuses </w:t>
      </w:r>
      <w:r w:rsidRPr="00640EE4">
        <w:rPr>
          <w:lang w:val="fr-FR"/>
        </w:rPr>
        <w:br/>
        <w:t>à incandescence</w:t>
      </w:r>
    </w:p>
    <w:p w:rsidR="00D31871" w:rsidRPr="00640EE4" w:rsidRDefault="00D31871" w:rsidP="007D4F6A">
      <w:pPr>
        <w:pStyle w:val="SingleTxtG"/>
        <w:ind w:left="2268" w:hanging="1134"/>
        <w:rPr>
          <w:rFonts w:eastAsia="Calibri"/>
          <w:lang w:val="fr-FR"/>
        </w:rPr>
      </w:pPr>
      <w:r w:rsidRPr="00640EE4">
        <w:rPr>
          <w:rFonts w:eastAsia="Calibri"/>
          <w:lang w:val="fr-FR"/>
        </w:rPr>
        <w:t>1.</w:t>
      </w:r>
      <w:r w:rsidRPr="00640EE4">
        <w:rPr>
          <w:rFonts w:eastAsia="Calibri"/>
          <w:lang w:val="fr-FR"/>
        </w:rPr>
        <w:tab/>
        <w:t>Dispositions générales</w:t>
      </w:r>
    </w:p>
    <w:p w:rsidR="00D31871" w:rsidRPr="00640EE4" w:rsidRDefault="00D31871" w:rsidP="007D4F6A">
      <w:pPr>
        <w:pStyle w:val="SingleTxtG"/>
        <w:ind w:left="2268" w:hanging="1134"/>
        <w:rPr>
          <w:rFonts w:eastAsia="Calibri"/>
          <w:lang w:val="fr-FR"/>
        </w:rPr>
      </w:pPr>
      <w:r w:rsidRPr="00640EE4">
        <w:rPr>
          <w:rFonts w:eastAsia="Calibri"/>
          <w:lang w:val="fr-FR"/>
        </w:rPr>
        <w:t>1.1</w:t>
      </w:r>
      <w:r w:rsidRPr="00640EE4">
        <w:rPr>
          <w:rFonts w:eastAsia="Calibri"/>
          <w:lang w:val="fr-FR"/>
        </w:rPr>
        <w:tab/>
        <w:t>Les mesures doivent être effectuées sur des sources lumineuses finies. Les sources lumineuses à incandescence à ampoule secondaire (extérieure) faisant office de filtre de couleur doivent être traitées comme des sources lumineuses à incandescence à ampoule primaire.</w:t>
      </w:r>
    </w:p>
    <w:p w:rsidR="00D31871" w:rsidRPr="00640EE4" w:rsidRDefault="00D31871" w:rsidP="007D4F6A">
      <w:pPr>
        <w:pStyle w:val="SingleTxtG"/>
        <w:ind w:left="2268" w:hanging="1134"/>
        <w:rPr>
          <w:rFonts w:eastAsia="Calibri"/>
          <w:lang w:val="fr-FR"/>
        </w:rPr>
      </w:pPr>
      <w:r w:rsidRPr="00640EE4">
        <w:rPr>
          <w:rFonts w:eastAsia="Calibri"/>
          <w:lang w:val="fr-FR"/>
        </w:rPr>
        <w:t>1.2</w:t>
      </w:r>
      <w:r w:rsidRPr="00640EE4">
        <w:rPr>
          <w:rFonts w:eastAsia="Calibri"/>
          <w:lang w:val="fr-FR"/>
        </w:rPr>
        <w:tab/>
        <w:t xml:space="preserve">Les essais doivent être effectués à une température ambiante de 23 </w:t>
      </w:r>
      <w:r w:rsidRPr="00640EE4">
        <w:rPr>
          <w:rFonts w:eastAsia="Calibri"/>
          <w:lang w:val="fr-FR"/>
        </w:rPr>
        <w:sym w:font="Symbol" w:char="F0B1"/>
      </w:r>
      <w:r w:rsidRPr="00640EE4">
        <w:rPr>
          <w:rFonts w:eastAsia="Calibri"/>
          <w:lang w:val="fr-FR"/>
        </w:rPr>
        <w:t xml:space="preserve"> 5 °C.</w:t>
      </w:r>
    </w:p>
    <w:p w:rsidR="00D31871" w:rsidRPr="00640EE4" w:rsidRDefault="00D31871" w:rsidP="007D4F6A">
      <w:pPr>
        <w:pStyle w:val="SingleTxtG"/>
        <w:ind w:left="2268" w:hanging="1134"/>
        <w:rPr>
          <w:rFonts w:eastAsia="Calibri"/>
          <w:lang w:val="fr-FR"/>
        </w:rPr>
      </w:pPr>
      <w:r w:rsidRPr="00640EE4">
        <w:rPr>
          <w:rFonts w:eastAsia="Calibri"/>
          <w:lang w:val="fr-FR"/>
        </w:rPr>
        <w:t>1.3</w:t>
      </w:r>
      <w:r w:rsidRPr="00640EE4">
        <w:rPr>
          <w:rFonts w:eastAsia="Calibri"/>
          <w:lang w:val="fr-FR"/>
        </w:rPr>
        <w:tab/>
        <w:t>Les essais doivent être effectués à la (aux) tension(s) d’essai spécifiée(s) sur la feuille de données de la source lumineuse concernée.</w:t>
      </w:r>
    </w:p>
    <w:p w:rsidR="00D31871" w:rsidRPr="00640EE4" w:rsidRDefault="00D31871" w:rsidP="007D4F6A">
      <w:pPr>
        <w:pStyle w:val="SingleTxtG"/>
        <w:ind w:left="2268" w:hanging="1134"/>
        <w:rPr>
          <w:rFonts w:eastAsia="Calibri"/>
          <w:lang w:val="fr-FR"/>
        </w:rPr>
      </w:pPr>
      <w:r w:rsidRPr="00640EE4">
        <w:rPr>
          <w:rFonts w:eastAsia="Calibri"/>
          <w:lang w:val="fr-FR"/>
        </w:rPr>
        <w:t>1.4</w:t>
      </w:r>
      <w:r w:rsidRPr="00640EE4">
        <w:rPr>
          <w:rFonts w:eastAsia="Calibri"/>
          <w:lang w:val="fr-FR"/>
        </w:rPr>
        <w:tab/>
        <w:t xml:space="preserve">Les mesures doivent être effectuées de préférence alors que les sources lumineuses à incandescence sont dans leur position normale de fonctionnement. Pour les sources lumineuses à incandescence à deux filaments, seul le filament de forte puissance (faisceau principal ou faisceau de route) doit être allumé. </w:t>
      </w:r>
    </w:p>
    <w:p w:rsidR="00D31871" w:rsidRPr="00640EE4" w:rsidRDefault="00D31871" w:rsidP="007D4F6A">
      <w:pPr>
        <w:pStyle w:val="SingleTxtG"/>
        <w:ind w:left="2268" w:hanging="1134"/>
        <w:rPr>
          <w:rFonts w:eastAsia="Calibri"/>
          <w:lang w:val="fr-FR"/>
        </w:rPr>
      </w:pPr>
      <w:r w:rsidRPr="00640EE4">
        <w:rPr>
          <w:rFonts w:eastAsia="Calibri"/>
          <w:lang w:val="fr-FR"/>
        </w:rPr>
        <w:t>1.5</w:t>
      </w:r>
      <w:r w:rsidRPr="00640EE4">
        <w:rPr>
          <w:rFonts w:eastAsia="Calibri"/>
          <w:lang w:val="fr-FR"/>
        </w:rPr>
        <w:tab/>
        <w:t xml:space="preserve">Avant l’essai, il faut stabiliser la température de la source lumineuse à incandescence en la faisant fonctionner à sa tension d’essai pendant dix minutes. Dans le cas des sources lumineuses à incandescence pour lesquelles plusieurs tensions d’essai sont spécifiées, il faut utiliser la tension d’essai pertinente pour procéder à la stabilisation. </w:t>
      </w:r>
    </w:p>
    <w:p w:rsidR="00D31871" w:rsidRPr="00640EE4" w:rsidRDefault="00D31871" w:rsidP="007D4F6A">
      <w:pPr>
        <w:pStyle w:val="SingleTxtG"/>
        <w:ind w:left="2268" w:hanging="1134"/>
        <w:rPr>
          <w:rFonts w:eastAsia="Calibri"/>
          <w:lang w:val="fr-FR"/>
        </w:rPr>
      </w:pPr>
      <w:r w:rsidRPr="00640EE4">
        <w:rPr>
          <w:rFonts w:eastAsia="Calibri"/>
          <w:lang w:val="fr-FR"/>
        </w:rPr>
        <w:t>2.</w:t>
      </w:r>
      <w:r w:rsidRPr="00640EE4">
        <w:rPr>
          <w:rFonts w:eastAsia="Calibri"/>
          <w:lang w:val="fr-FR"/>
        </w:rPr>
        <w:tab/>
        <w:t>Couleur</w:t>
      </w:r>
    </w:p>
    <w:p w:rsidR="00D31871" w:rsidRPr="00640EE4" w:rsidRDefault="00D31871" w:rsidP="007D4F6A">
      <w:pPr>
        <w:pStyle w:val="SingleTxtG"/>
        <w:ind w:left="2268" w:hanging="1134"/>
        <w:rPr>
          <w:rFonts w:eastAsia="Calibri"/>
          <w:lang w:val="fr-FR"/>
        </w:rPr>
      </w:pPr>
      <w:r w:rsidRPr="00640EE4">
        <w:rPr>
          <w:rFonts w:eastAsia="Calibri"/>
          <w:lang w:val="fr-FR"/>
        </w:rPr>
        <w:t>2.1</w:t>
      </w:r>
      <w:r w:rsidRPr="00640EE4">
        <w:rPr>
          <w:rFonts w:eastAsia="Calibri"/>
          <w:lang w:val="fr-FR"/>
        </w:rPr>
        <w:tab/>
        <w:t xml:space="preserve">Les essais de couleur doivent être effectués au moyen d’un système de mesure qui indique les coordonnées trichromatiques CEI de la lumière reçue, avec une précision de </w:t>
      </w:r>
      <w:r w:rsidRPr="00640EE4">
        <w:rPr>
          <w:rFonts w:eastAsia="Calibri"/>
          <w:lang w:val="fr-FR"/>
        </w:rPr>
        <w:sym w:font="Symbol" w:char="F0B1"/>
      </w:r>
      <w:r w:rsidRPr="00640EE4">
        <w:rPr>
          <w:rFonts w:eastAsia="Calibri"/>
          <w:lang w:val="fr-FR"/>
        </w:rPr>
        <w:t>0,002.</w:t>
      </w:r>
    </w:p>
    <w:p w:rsidR="00D31871" w:rsidRPr="00640EE4" w:rsidRDefault="00D31871" w:rsidP="007D4F6A">
      <w:pPr>
        <w:pStyle w:val="SingleTxtG"/>
        <w:ind w:left="2268" w:hanging="1134"/>
        <w:rPr>
          <w:rFonts w:eastAsia="Calibri"/>
          <w:lang w:val="fr-FR"/>
        </w:rPr>
      </w:pPr>
      <w:r w:rsidRPr="00640EE4">
        <w:rPr>
          <w:rFonts w:eastAsia="Calibri"/>
          <w:lang w:val="fr-FR"/>
        </w:rPr>
        <w:t>2.2</w:t>
      </w:r>
      <w:r w:rsidRPr="00640EE4">
        <w:rPr>
          <w:rFonts w:eastAsia="Calibri"/>
          <w:lang w:val="fr-FR"/>
        </w:rPr>
        <w:tab/>
        <w:t>Les coordonnées trichromatiques doivent être mesurées à l’aide d’un récepteur colorimétrique par intégration à l’intérieur d’un cône circulaire droit sous-tendant un angle d’une valeur comprise entre 5° et 15°, au centre du filament.</w:t>
      </w:r>
    </w:p>
    <w:p w:rsidR="00D31871" w:rsidRPr="00640EE4" w:rsidRDefault="00D31871" w:rsidP="007D4F6A">
      <w:pPr>
        <w:pStyle w:val="SingleTxtG"/>
        <w:ind w:left="2268" w:hanging="1134"/>
        <w:rPr>
          <w:rFonts w:eastAsia="Calibri"/>
          <w:lang w:val="fr-FR"/>
        </w:rPr>
      </w:pPr>
      <w:r w:rsidRPr="00640EE4">
        <w:rPr>
          <w:rFonts w:eastAsia="Calibri"/>
          <w:lang w:val="fr-FR"/>
        </w:rPr>
        <w:t>2.3</w:t>
      </w:r>
      <w:r w:rsidRPr="00640EE4">
        <w:rPr>
          <w:rFonts w:eastAsia="Calibri"/>
          <w:lang w:val="fr-FR"/>
        </w:rPr>
        <w:tab/>
        <w:t>Directions de mesure (voir la figure ci-dessous).</w:t>
      </w:r>
    </w:p>
    <w:p w:rsidR="00D31871" w:rsidRPr="00640EE4" w:rsidRDefault="00D31871" w:rsidP="007D4F6A">
      <w:pPr>
        <w:pStyle w:val="SingleTxtG"/>
        <w:ind w:left="2268" w:hanging="1134"/>
        <w:rPr>
          <w:rFonts w:eastAsia="Calibri"/>
          <w:lang w:val="fr-FR"/>
        </w:rPr>
      </w:pPr>
      <w:r w:rsidRPr="00640EE4">
        <w:rPr>
          <w:rFonts w:eastAsia="Calibri"/>
          <w:lang w:val="fr-FR"/>
        </w:rPr>
        <w:t>2.3.1</w:t>
      </w:r>
      <w:r w:rsidRPr="00640EE4">
        <w:rPr>
          <w:rFonts w:eastAsia="Calibri"/>
          <w:lang w:val="fr-FR"/>
        </w:rPr>
        <w:tab/>
        <w:t>Le récepteur doit d’abord être placé perpendiculairement à l’axe de la source lumineuse et à l’axe du filament (ou au plan du filament dans le cas d’un filament courbe). Une fois les mesures effectuées, le récepteur doit être déplacé autour de la source lumineuse à incandescence par pas bidirectionnels d’environ 30° jusqu’à ce que la zone définie aux paragraphes 2.3.2 ou 2.3.3 soit couverte. Il faut effectuer une mesure dans chaque position. Toutefois, aucune mesure ne doit être effectuée :</w:t>
      </w:r>
    </w:p>
    <w:p w:rsidR="00D31871" w:rsidRPr="00640EE4" w:rsidRDefault="007D4F6A" w:rsidP="007D4F6A">
      <w:pPr>
        <w:pStyle w:val="SingleTxtG"/>
        <w:ind w:left="2268" w:hanging="1134"/>
        <w:rPr>
          <w:rFonts w:eastAsia="Calibri"/>
          <w:bCs/>
          <w:lang w:val="fr-FR"/>
        </w:rPr>
      </w:pPr>
      <w:r>
        <w:rPr>
          <w:rFonts w:eastAsia="Calibri"/>
          <w:bCs/>
          <w:lang w:val="fr-FR"/>
        </w:rPr>
        <w:tab/>
      </w:r>
      <w:r w:rsidR="00D31871" w:rsidRPr="00640EE4">
        <w:rPr>
          <w:rFonts w:eastAsia="Calibri"/>
          <w:bCs/>
          <w:lang w:val="fr-FR"/>
        </w:rPr>
        <w:t>a)</w:t>
      </w:r>
      <w:r w:rsidR="00D31871" w:rsidRPr="00640EE4">
        <w:rPr>
          <w:rFonts w:eastAsia="Calibri"/>
          <w:bCs/>
          <w:lang w:val="fr-FR"/>
        </w:rPr>
        <w:tab/>
        <w:t>Lorsque l’axe du récepteur coïncide avec l’axe du filament ; ou</w:t>
      </w:r>
    </w:p>
    <w:p w:rsidR="00D31871" w:rsidRPr="00640EE4" w:rsidRDefault="007D4F6A" w:rsidP="007D4F6A">
      <w:pPr>
        <w:pStyle w:val="SingleTxtG"/>
        <w:ind w:left="2268" w:hanging="1134"/>
        <w:rPr>
          <w:rFonts w:eastAsia="Calibri"/>
          <w:bCs/>
          <w:lang w:val="fr-FR"/>
        </w:rPr>
      </w:pPr>
      <w:r>
        <w:rPr>
          <w:rFonts w:eastAsia="Calibri"/>
          <w:bCs/>
          <w:lang w:val="fr-FR"/>
        </w:rPr>
        <w:tab/>
      </w:r>
      <w:r w:rsidR="00D31871" w:rsidRPr="00640EE4">
        <w:rPr>
          <w:rFonts w:eastAsia="Calibri"/>
          <w:bCs/>
          <w:lang w:val="fr-FR"/>
        </w:rPr>
        <w:t>b)</w:t>
      </w:r>
      <w:r w:rsidR="00D31871" w:rsidRPr="00640EE4">
        <w:rPr>
          <w:rFonts w:eastAsia="Calibri"/>
          <w:bCs/>
          <w:lang w:val="fr-FR"/>
        </w:rPr>
        <w:tab/>
        <w:t>Lorsque sur la ligne droite reliant le récepteur et le filament se trouvent des éléments opaques (non transmetteurs) de la source lumineuse, tels que des fils de plomb ou un deuxième filament, le cas échéant.</w:t>
      </w:r>
    </w:p>
    <w:p w:rsidR="00D31871" w:rsidRPr="00640EE4" w:rsidRDefault="00D31871" w:rsidP="007D4F6A">
      <w:pPr>
        <w:pStyle w:val="SingleTxtG"/>
        <w:ind w:left="2268" w:hanging="1134"/>
        <w:rPr>
          <w:rFonts w:eastAsia="Calibri"/>
          <w:lang w:val="fr-FR"/>
        </w:rPr>
      </w:pPr>
      <w:r w:rsidRPr="00640EE4">
        <w:rPr>
          <w:rFonts w:eastAsia="Calibri"/>
          <w:lang w:val="fr-FR"/>
        </w:rPr>
        <w:t>2.3.2</w:t>
      </w:r>
      <w:r w:rsidRPr="00640EE4">
        <w:rPr>
          <w:rFonts w:eastAsia="Calibri"/>
          <w:lang w:val="fr-FR"/>
        </w:rPr>
        <w:tab/>
        <w:t xml:space="preserve">Sur les sources lumineuses à incandescence pour projecteurs, les mesures doivent être effectuées autour de la source lumineuse à incandescence, l’axe de l’ouverture du récepteur étant situé à l’intérieur d’un angle de </w:t>
      </w:r>
      <w:r w:rsidRPr="00640EE4">
        <w:rPr>
          <w:rFonts w:eastAsia="Calibri"/>
          <w:lang w:val="fr-FR"/>
        </w:rPr>
        <w:sym w:font="Symbol" w:char="F0B1"/>
      </w:r>
      <w:r w:rsidRPr="00640EE4">
        <w:rPr>
          <w:rFonts w:eastAsia="Calibri"/>
          <w:lang w:val="fr-FR"/>
        </w:rPr>
        <w:t>30° par rapport au plan perpendiculaire à l’axe de la source lumineuse, l’origine étant située au centre du filament. Dans le cas de sources lumineuses à incandescence à deux filaments, il faut retenir le centre du filament du faisceau de route.</w:t>
      </w:r>
    </w:p>
    <w:p w:rsidR="00D31871" w:rsidRPr="00640EE4" w:rsidRDefault="00D31871" w:rsidP="007D4F6A">
      <w:pPr>
        <w:pStyle w:val="SingleTxtG"/>
        <w:ind w:left="2268" w:hanging="1134"/>
        <w:rPr>
          <w:rFonts w:eastAsia="Calibri"/>
          <w:lang w:val="fr-FR"/>
        </w:rPr>
      </w:pPr>
      <w:r w:rsidRPr="00640EE4">
        <w:rPr>
          <w:rFonts w:eastAsia="Calibri"/>
          <w:lang w:val="fr-FR"/>
        </w:rPr>
        <w:t>2.3.3</w:t>
      </w:r>
      <w:r w:rsidRPr="00640EE4">
        <w:rPr>
          <w:rFonts w:eastAsia="Calibri"/>
          <w:lang w:val="fr-FR"/>
        </w:rPr>
        <w:tab/>
        <w:t>Sur les sources lumineuses à incandescence pour dispositifs de signalisation lumineuse, les mesures doivent être effectuées autour de la source lumineuse, à l’exception de :</w:t>
      </w:r>
    </w:p>
    <w:p w:rsidR="00D31871" w:rsidRPr="00640EE4" w:rsidRDefault="00D31871" w:rsidP="007D4F6A">
      <w:pPr>
        <w:pStyle w:val="SingleTxtG"/>
        <w:ind w:left="2268" w:hanging="1134"/>
        <w:rPr>
          <w:rFonts w:eastAsia="Calibri"/>
          <w:bCs/>
          <w:lang w:val="fr-FR"/>
        </w:rPr>
      </w:pPr>
      <w:r w:rsidRPr="00640EE4">
        <w:rPr>
          <w:rFonts w:eastAsia="Calibri"/>
          <w:bCs/>
          <w:lang w:val="fr-FR"/>
        </w:rPr>
        <w:tab/>
      </w:r>
      <w:r w:rsidR="007D4F6A">
        <w:rPr>
          <w:rFonts w:eastAsia="Calibri"/>
          <w:bCs/>
          <w:lang w:val="fr-FR"/>
        </w:rPr>
        <w:tab/>
      </w:r>
      <w:r w:rsidRPr="00640EE4">
        <w:rPr>
          <w:rFonts w:eastAsia="Calibri"/>
          <w:bCs/>
          <w:lang w:val="fr-FR"/>
        </w:rPr>
        <w:t>a)</w:t>
      </w:r>
      <w:r w:rsidRPr="00640EE4">
        <w:rPr>
          <w:rFonts w:eastAsia="Calibri"/>
          <w:bCs/>
          <w:lang w:val="fr-FR"/>
        </w:rPr>
        <w:tab/>
        <w:t xml:space="preserve">La zone masquée ou couverte par le culot de la </w:t>
      </w:r>
      <w:r w:rsidRPr="00640EE4">
        <w:rPr>
          <w:rFonts w:eastAsia="Calibri"/>
          <w:lang w:val="fr-FR"/>
        </w:rPr>
        <w:t>source lumineuse</w:t>
      </w:r>
      <w:r w:rsidR="004263B9">
        <w:rPr>
          <w:rFonts w:eastAsia="Calibri"/>
          <w:lang w:val="fr-FR"/>
        </w:rPr>
        <w:t> </w:t>
      </w:r>
      <w:r w:rsidRPr="00640EE4">
        <w:rPr>
          <w:rFonts w:eastAsia="Calibri"/>
          <w:bCs/>
          <w:lang w:val="fr-FR"/>
        </w:rPr>
        <w:t>; et</w:t>
      </w:r>
    </w:p>
    <w:p w:rsidR="00D31871" w:rsidRPr="00640EE4" w:rsidRDefault="007D4F6A" w:rsidP="007D4F6A">
      <w:pPr>
        <w:pStyle w:val="SingleTxtG"/>
        <w:ind w:left="2268" w:hanging="1134"/>
        <w:rPr>
          <w:rFonts w:eastAsia="Calibri"/>
          <w:bCs/>
          <w:lang w:val="fr-FR"/>
        </w:rPr>
      </w:pPr>
      <w:r>
        <w:rPr>
          <w:rFonts w:eastAsia="Calibri"/>
          <w:bCs/>
          <w:lang w:val="fr-FR"/>
        </w:rPr>
        <w:tab/>
      </w:r>
      <w:r w:rsidR="00D31871" w:rsidRPr="00640EE4">
        <w:rPr>
          <w:rFonts w:eastAsia="Calibri"/>
          <w:bCs/>
          <w:lang w:val="fr-FR"/>
        </w:rPr>
        <w:t>b)</w:t>
      </w:r>
      <w:r w:rsidR="00D31871" w:rsidRPr="00640EE4">
        <w:rPr>
          <w:rFonts w:eastAsia="Calibri"/>
          <w:bCs/>
          <w:lang w:val="fr-FR"/>
        </w:rPr>
        <w:tab/>
        <w:t>La zone de transition immédiate le long du culot</w:t>
      </w:r>
      <w:r w:rsidR="004263B9">
        <w:rPr>
          <w:rFonts w:eastAsia="Calibri"/>
          <w:bCs/>
          <w:lang w:val="fr-FR"/>
        </w:rPr>
        <w:t>.</w:t>
      </w:r>
    </w:p>
    <w:p w:rsidR="00D31871" w:rsidRPr="00640EE4" w:rsidRDefault="00D31871" w:rsidP="007D4F6A">
      <w:pPr>
        <w:pStyle w:val="SingleTxtG"/>
        <w:ind w:left="2268" w:hanging="1134"/>
        <w:rPr>
          <w:rFonts w:eastAsia="Calibri"/>
          <w:lang w:val="fr-FR"/>
        </w:rPr>
      </w:pPr>
      <w:r w:rsidRPr="00640EE4">
        <w:rPr>
          <w:rFonts w:eastAsia="Calibri"/>
          <w:lang w:val="fr-FR"/>
        </w:rPr>
        <w:tab/>
        <w:t xml:space="preserve">Dans le cas de sources lumineuses à incandescence à </w:t>
      </w:r>
      <w:r w:rsidRPr="007D4F6A">
        <w:rPr>
          <w:rFonts w:eastAsia="Times New Roman"/>
          <w:lang w:val="fr-FR"/>
        </w:rPr>
        <w:t>deux</w:t>
      </w:r>
      <w:r w:rsidRPr="00640EE4">
        <w:rPr>
          <w:rFonts w:eastAsia="Calibri"/>
          <w:lang w:val="fr-FR"/>
        </w:rPr>
        <w:t xml:space="preserve"> filaments, il faut retenir le centre du filament principal. </w:t>
      </w:r>
    </w:p>
    <w:p w:rsidR="00D31871" w:rsidRPr="00640EE4" w:rsidRDefault="00D31871" w:rsidP="007D4F6A">
      <w:pPr>
        <w:pStyle w:val="SingleTxtG"/>
        <w:ind w:left="2268"/>
        <w:rPr>
          <w:rFonts w:eastAsia="Calibri"/>
          <w:lang w:val="fr-FR"/>
        </w:rPr>
      </w:pPr>
      <w:r w:rsidRPr="00640EE4">
        <w:rPr>
          <w:rFonts w:eastAsia="Calibri"/>
          <w:lang w:val="fr-FR"/>
        </w:rPr>
        <w:t xml:space="preserve">Dans le cas des catégories de sources lumineuses à </w:t>
      </w:r>
      <w:r w:rsidRPr="007D4F6A">
        <w:rPr>
          <w:rFonts w:eastAsia="Times New Roman"/>
          <w:lang w:val="fr-FR"/>
        </w:rPr>
        <w:t>incandescence</w:t>
      </w:r>
      <w:r w:rsidRPr="00640EE4">
        <w:rPr>
          <w:rFonts w:eastAsia="Calibri"/>
          <w:lang w:val="fr-FR"/>
        </w:rPr>
        <w:t xml:space="preserve"> présentant un angle sans distorsion défini, la mes</w:t>
      </w:r>
      <w:r w:rsidR="007D4F6A">
        <w:rPr>
          <w:rFonts w:eastAsia="Calibri"/>
          <w:lang w:val="fr-FR"/>
        </w:rPr>
        <w:t>ure ne doit être effectuée qu’à</w:t>
      </w:r>
      <w:r w:rsidR="00784D74">
        <w:rPr>
          <w:rFonts w:eastAsia="Calibri"/>
          <w:lang w:val="fr-FR"/>
        </w:rPr>
        <w:t xml:space="preserve"> </w:t>
      </w:r>
      <w:r w:rsidRPr="00640EE4">
        <w:rPr>
          <w:rFonts w:eastAsia="Calibri"/>
          <w:lang w:val="fr-FR"/>
        </w:rPr>
        <w:t>l’intérieur de cet angle.</w:t>
      </w:r>
    </w:p>
    <w:p w:rsidR="00D31871" w:rsidRPr="007D4F6A" w:rsidRDefault="00D31871" w:rsidP="007D4F6A">
      <w:pPr>
        <w:pStyle w:val="Heading1"/>
        <w:rPr>
          <w:b/>
          <w:lang w:val="fr-FR"/>
        </w:rPr>
      </w:pPr>
      <w:r w:rsidRPr="007D4F6A">
        <w:rPr>
          <w:b/>
          <w:lang w:val="fr-FR"/>
        </w:rPr>
        <w:t>Figure illustrant les positions du récepteur colorimétrique</w:t>
      </w:r>
    </w:p>
    <w:p w:rsidR="00D31871" w:rsidRDefault="00D31871" w:rsidP="007D4F6A">
      <w:pPr>
        <w:jc w:val="center"/>
        <w:rPr>
          <w:rFonts w:eastAsia="Calibri"/>
          <w:lang w:val="fr-FR"/>
        </w:rPr>
      </w:pPr>
      <w:r w:rsidRPr="00640EE4">
        <w:rPr>
          <w:rFonts w:eastAsia="Calibri"/>
          <w:noProof/>
          <w:lang w:val="en-GB" w:eastAsia="en-GB"/>
        </w:rPr>
        <mc:AlternateContent>
          <mc:Choice Requires="wpg">
            <w:drawing>
              <wp:anchor distT="0" distB="0" distL="114300" distR="114300" simplePos="0" relativeHeight="251664384" behindDoc="0" locked="0" layoutInCell="1" allowOverlap="1" wp14:anchorId="5EF9A984" wp14:editId="2AE9036C">
                <wp:simplePos x="0" y="0"/>
                <wp:positionH relativeFrom="column">
                  <wp:posOffset>1236726</wp:posOffset>
                </wp:positionH>
                <wp:positionV relativeFrom="paragraph">
                  <wp:posOffset>123952</wp:posOffset>
                </wp:positionV>
                <wp:extent cx="3579502" cy="3303573"/>
                <wp:effectExtent l="0" t="0" r="1905" b="11430"/>
                <wp:wrapNone/>
                <wp:docPr id="25" name="Group 25"/>
                <wp:cNvGraphicFramePr/>
                <a:graphic xmlns:a="http://schemas.openxmlformats.org/drawingml/2006/main">
                  <a:graphicData uri="http://schemas.microsoft.com/office/word/2010/wordprocessingGroup">
                    <wpg:wgp>
                      <wpg:cNvGrpSpPr/>
                      <wpg:grpSpPr>
                        <a:xfrm>
                          <a:off x="0" y="0"/>
                          <a:ext cx="3579502" cy="3303573"/>
                          <a:chOff x="188976" y="-24384"/>
                          <a:chExt cx="3579502" cy="3303573"/>
                        </a:xfrm>
                      </wpg:grpSpPr>
                      <wps:wsp>
                        <wps:cNvPr id="307" name="Text Box 2"/>
                        <wps:cNvSpPr txBox="1">
                          <a:spLocks noChangeArrowheads="1"/>
                        </wps:cNvSpPr>
                        <wps:spPr bwMode="auto">
                          <a:xfrm>
                            <a:off x="188976" y="-24384"/>
                            <a:ext cx="2553419" cy="146649"/>
                          </a:xfrm>
                          <a:prstGeom prst="rect">
                            <a:avLst/>
                          </a:prstGeom>
                          <a:noFill/>
                          <a:ln w="9525">
                            <a:noFill/>
                            <a:miter lim="800000"/>
                            <a:headEnd/>
                            <a:tailEnd/>
                          </a:ln>
                        </wps:spPr>
                        <wps:txbx>
                          <w:txbxContent>
                            <w:p w:rsidR="00812A19" w:rsidRPr="00DD351C" w:rsidRDefault="00812A19" w:rsidP="00D31871">
                              <w:pPr>
                                <w:spacing w:line="220" w:lineRule="exact"/>
                                <w:rPr>
                                  <w:sz w:val="18"/>
                                  <w:szCs w:val="18"/>
                                  <w:lang w:val="en-US"/>
                                </w:rPr>
                              </w:pPr>
                              <w:r w:rsidRPr="00DD351C">
                                <w:rPr>
                                  <w:sz w:val="18"/>
                                  <w:szCs w:val="18"/>
                                </w:rPr>
                                <w:t>Lampes à incandescence pour projecteurs</w:t>
                              </w:r>
                            </w:p>
                          </w:txbxContent>
                        </wps:txbx>
                        <wps:bodyPr rot="0" vert="horz" wrap="square" lIns="0" tIns="0" rIns="0" bIns="0" anchor="t" anchorCtr="0">
                          <a:spAutoFit/>
                        </wps:bodyPr>
                      </wps:wsp>
                      <wps:wsp>
                        <wps:cNvPr id="22" name="Text Box 2"/>
                        <wps:cNvSpPr txBox="1">
                          <a:spLocks noChangeArrowheads="1"/>
                        </wps:cNvSpPr>
                        <wps:spPr bwMode="auto">
                          <a:xfrm>
                            <a:off x="1578341" y="176093"/>
                            <a:ext cx="2070762" cy="310552"/>
                          </a:xfrm>
                          <a:prstGeom prst="rect">
                            <a:avLst/>
                          </a:prstGeom>
                          <a:noFill/>
                          <a:ln w="9525">
                            <a:noFill/>
                            <a:miter lim="800000"/>
                            <a:headEnd/>
                            <a:tailEnd/>
                          </a:ln>
                        </wps:spPr>
                        <wps:txbx>
                          <w:txbxContent>
                            <w:p w:rsidR="00812A19" w:rsidRPr="00D147AE" w:rsidRDefault="00812A19" w:rsidP="00D31871">
                              <w:pPr>
                                <w:spacing w:line="240" w:lineRule="auto"/>
                                <w:rPr>
                                  <w:sz w:val="16"/>
                                  <w:szCs w:val="16"/>
                                </w:rPr>
                              </w:pPr>
                              <w:r w:rsidRPr="00D147AE">
                                <w:rPr>
                                  <w:sz w:val="16"/>
                                  <w:szCs w:val="16"/>
                                </w:rPr>
                                <w:t>L’axe du récepteur do</w:t>
                              </w:r>
                              <w:r>
                                <w:rPr>
                                  <w:sz w:val="16"/>
                                  <w:szCs w:val="16"/>
                                </w:rPr>
                                <w:t>it se déplacer à l’intérieur de </w:t>
                              </w:r>
                              <w:r w:rsidRPr="00D147AE">
                                <w:rPr>
                                  <w:sz w:val="16"/>
                                  <w:szCs w:val="16"/>
                                </w:rPr>
                                <w:t xml:space="preserve">l’angle </w:t>
                              </w:r>
                              <w:r w:rsidRPr="00D147AE">
                                <w:rPr>
                                  <w:rFonts w:ascii="Symbol" w:hAnsi="Symbol"/>
                                  <w:sz w:val="16"/>
                                  <w:szCs w:val="16"/>
                                  <w:lang w:val="en-US"/>
                                </w:rPr>
                                <w:t></w:t>
                              </w:r>
                              <w:r w:rsidRPr="00D147AE">
                                <w:rPr>
                                  <w:rFonts w:ascii="Symbol" w:hAnsi="Symbol"/>
                                  <w:sz w:val="16"/>
                                  <w:szCs w:val="16"/>
                                  <w:lang w:val="en-US"/>
                                </w:rPr>
                                <w:t></w:t>
                              </w:r>
                              <w:r w:rsidRPr="00D147AE">
                                <w:rPr>
                                  <w:sz w:val="16"/>
                                  <w:szCs w:val="16"/>
                                </w:rPr>
                                <w:t xml:space="preserve">autour de la </w:t>
                              </w:r>
                              <w:r w:rsidRPr="00D147AE">
                                <w:rPr>
                                  <w:snapToGrid w:val="0"/>
                                  <w:sz w:val="16"/>
                                  <w:szCs w:val="16"/>
                                </w:rPr>
                                <w:t>source lumineuse</w:t>
                              </w:r>
                              <w:r w:rsidRPr="00D147AE">
                                <w:rPr>
                                  <w:bCs/>
                                  <w:snapToGrid w:val="0"/>
                                  <w:sz w:val="16"/>
                                  <w:szCs w:val="16"/>
                                </w:rPr>
                                <w:t>.</w:t>
                              </w:r>
                            </w:p>
                          </w:txbxContent>
                        </wps:txbx>
                        <wps:bodyPr rot="0" vert="horz" wrap="square" lIns="0" tIns="0" rIns="0" bIns="0" anchor="t" anchorCtr="0">
                          <a:noAutofit/>
                        </wps:bodyPr>
                      </wps:wsp>
                      <wps:wsp>
                        <wps:cNvPr id="23" name="Text Box 2"/>
                        <wps:cNvSpPr txBox="1">
                          <a:spLocks noChangeArrowheads="1"/>
                        </wps:cNvSpPr>
                        <wps:spPr bwMode="auto">
                          <a:xfrm>
                            <a:off x="231648" y="2013981"/>
                            <a:ext cx="3536830" cy="146649"/>
                          </a:xfrm>
                          <a:prstGeom prst="rect">
                            <a:avLst/>
                          </a:prstGeom>
                          <a:noFill/>
                          <a:ln w="9525">
                            <a:noFill/>
                            <a:miter lim="800000"/>
                            <a:headEnd/>
                            <a:tailEnd/>
                          </a:ln>
                        </wps:spPr>
                        <wps:txbx>
                          <w:txbxContent>
                            <w:p w:rsidR="00812A19" w:rsidRPr="00DD351C" w:rsidRDefault="00812A19" w:rsidP="00D31871">
                              <w:pPr>
                                <w:spacing w:line="220" w:lineRule="exact"/>
                                <w:rPr>
                                  <w:sz w:val="18"/>
                                  <w:szCs w:val="18"/>
                                </w:rPr>
                              </w:pPr>
                              <w:r w:rsidRPr="00DD351C">
                                <w:rPr>
                                  <w:sz w:val="18"/>
                                  <w:szCs w:val="18"/>
                                </w:rPr>
                                <w:t>Lampes à incandescence pour dispositifs de signalisation lumineuse</w:t>
                              </w:r>
                            </w:p>
                          </w:txbxContent>
                        </wps:txbx>
                        <wps:bodyPr rot="0" vert="horz" wrap="square" lIns="0" tIns="0" rIns="0" bIns="0" anchor="t" anchorCtr="0">
                          <a:spAutoFit/>
                        </wps:bodyPr>
                      </wps:wsp>
                      <wps:wsp>
                        <wps:cNvPr id="24" name="Text Box 2"/>
                        <wps:cNvSpPr txBox="1">
                          <a:spLocks noChangeArrowheads="1"/>
                        </wps:cNvSpPr>
                        <wps:spPr bwMode="auto">
                          <a:xfrm>
                            <a:off x="2010767" y="2218105"/>
                            <a:ext cx="1725391" cy="1061084"/>
                          </a:xfrm>
                          <a:prstGeom prst="rect">
                            <a:avLst/>
                          </a:prstGeom>
                          <a:noFill/>
                          <a:ln w="9525">
                            <a:noFill/>
                            <a:miter lim="800000"/>
                            <a:headEnd/>
                            <a:tailEnd/>
                          </a:ln>
                        </wps:spPr>
                        <wps:txbx>
                          <w:txbxContent>
                            <w:p w:rsidR="00812A19" w:rsidRPr="00D147AE" w:rsidRDefault="00812A19" w:rsidP="00D31871">
                              <w:pPr>
                                <w:spacing w:line="240" w:lineRule="auto"/>
                                <w:rPr>
                                  <w:sz w:val="16"/>
                                  <w:szCs w:val="16"/>
                                </w:rPr>
                              </w:pPr>
                              <w:r w:rsidRPr="00D147AE">
                                <w:rPr>
                                  <w:sz w:val="16"/>
                                  <w:szCs w:val="16"/>
                                </w:rPr>
                                <w:t xml:space="preserve">Le récepteur doit se déplacer autour du filament mais l’ouverture ne doit recouvrir aucune partie formant le culot ni sa zone de transition immédiate. </w:t>
                              </w:r>
                            </w:p>
                            <w:p w:rsidR="00812A19" w:rsidRPr="00D147AE" w:rsidRDefault="00812A19" w:rsidP="00D31871">
                              <w:pPr>
                                <w:spacing w:line="240" w:lineRule="auto"/>
                                <w:rPr>
                                  <w:sz w:val="16"/>
                                  <w:szCs w:val="16"/>
                                </w:rPr>
                              </w:pPr>
                              <w:r w:rsidRPr="00D147AE">
                                <w:rPr>
                                  <w:sz w:val="16"/>
                                  <w:szCs w:val="16"/>
                                </w:rPr>
                                <w:t>Dans le cas des catégories de sources lumineuses à incandesce</w:t>
                              </w:r>
                              <w:r>
                                <w:rPr>
                                  <w:sz w:val="16"/>
                                  <w:szCs w:val="16"/>
                                </w:rPr>
                                <w:t>nce présentant un </w:t>
                              </w:r>
                              <w:r w:rsidRPr="00D147AE">
                                <w:rPr>
                                  <w:sz w:val="16"/>
                                  <w:szCs w:val="16"/>
                                </w:rPr>
                                <w:t>angle sans distorsion défini, la mesure ne doit être effectuée qu’à l’intérieur de</w:t>
                              </w:r>
                              <w:r>
                                <w:rPr>
                                  <w:sz w:val="16"/>
                                  <w:szCs w:val="16"/>
                                </w:rPr>
                                <w:t> </w:t>
                              </w:r>
                              <w:r w:rsidRPr="00D147AE">
                                <w:rPr>
                                  <w:sz w:val="16"/>
                                  <w:szCs w:val="16"/>
                                </w:rPr>
                                <w:t>cet angle.</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EF9A984" id="Group 25" o:spid="_x0000_s1028" style="position:absolute;left:0;text-align:left;margin-left:97.4pt;margin-top:9.75pt;width:281.85pt;height:260.1pt;z-index:251664384;mso-width-relative:margin;mso-height-relative:margin" coordorigin="1889,-243" coordsize="35795,3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">
                <v:shape id="Text Box 2" o:spid="_x0000_s1029" type="#_x0000_t202" style="position:absolute;left:1889;top:-243;width:25534;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" filled="f" stroked="f">
                  <v:textbox style="mso-fit-shape-to-text:t" inset="0,0,0,0">
                    <w:txbxContent>
                      <w:p w:rsidR="00812A19" w:rsidRPr="00DD351C" w:rsidRDefault="00812A19" w:rsidP="00D31871">
                        <w:pPr>
                          <w:spacing w:line="220" w:lineRule="exact"/>
                          <w:rPr>
                            <w:sz w:val="18"/>
                            <w:szCs w:val="18"/>
                            <w:lang w:val="en-US"/>
                          </w:rPr>
                        </w:pPr>
                        <w:r w:rsidRPr="00DD351C">
                          <w:rPr>
                            <w:sz w:val="18"/>
                            <w:szCs w:val="18"/>
                          </w:rPr>
                          <w:t>Lampes à incandescence pour projecteurs</w:t>
                        </w:r>
                      </w:p>
                    </w:txbxContent>
                  </v:textbox>
                </v:shape>
                <v:shape id="Text Box 2" o:spid="_x0000_s1030" type="#_x0000_t202" style="position:absolute;left:15783;top:1760;width:20708;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12A19" w:rsidRPr="00D147AE" w:rsidRDefault="00812A19" w:rsidP="00D31871">
                        <w:pPr>
                          <w:spacing w:line="240" w:lineRule="auto"/>
                          <w:rPr>
                            <w:sz w:val="16"/>
                            <w:szCs w:val="16"/>
                          </w:rPr>
                        </w:pPr>
                        <w:r w:rsidRPr="00D147AE">
                          <w:rPr>
                            <w:sz w:val="16"/>
                            <w:szCs w:val="16"/>
                          </w:rPr>
                          <w:t>L’axe du récepteur do</w:t>
                        </w:r>
                        <w:r>
                          <w:rPr>
                            <w:sz w:val="16"/>
                            <w:szCs w:val="16"/>
                          </w:rPr>
                          <w:t>it se déplacer à l’intérieur de </w:t>
                        </w:r>
                        <w:r w:rsidRPr="00D147AE">
                          <w:rPr>
                            <w:sz w:val="16"/>
                            <w:szCs w:val="16"/>
                          </w:rPr>
                          <w:t xml:space="preserve">l’angle </w:t>
                        </w:r>
                        <w:r w:rsidRPr="00D147AE">
                          <w:rPr>
                            <w:rFonts w:ascii="Symbol" w:hAnsi="Symbol"/>
                            <w:sz w:val="16"/>
                            <w:szCs w:val="16"/>
                            <w:lang w:val="en-US"/>
                          </w:rPr>
                          <w:t></w:t>
                        </w:r>
                        <w:r w:rsidRPr="00D147AE">
                          <w:rPr>
                            <w:rFonts w:ascii="Symbol" w:hAnsi="Symbol"/>
                            <w:sz w:val="16"/>
                            <w:szCs w:val="16"/>
                            <w:lang w:val="en-US"/>
                          </w:rPr>
                          <w:t></w:t>
                        </w:r>
                        <w:r w:rsidRPr="00D147AE">
                          <w:rPr>
                            <w:sz w:val="16"/>
                            <w:szCs w:val="16"/>
                          </w:rPr>
                          <w:t xml:space="preserve">autour de la </w:t>
                        </w:r>
                        <w:r w:rsidRPr="00D147AE">
                          <w:rPr>
                            <w:snapToGrid w:val="0"/>
                            <w:sz w:val="16"/>
                            <w:szCs w:val="16"/>
                          </w:rPr>
                          <w:t>source lumineuse</w:t>
                        </w:r>
                        <w:r w:rsidRPr="00D147AE">
                          <w:rPr>
                            <w:bCs/>
                            <w:snapToGrid w:val="0"/>
                            <w:sz w:val="16"/>
                            <w:szCs w:val="16"/>
                          </w:rPr>
                          <w:t>.</w:t>
                        </w:r>
                      </w:p>
                    </w:txbxContent>
                  </v:textbox>
                </v:shape>
                <v:shape id="Text Box 2" o:spid="_x0000_s1031" type="#_x0000_t202" style="position:absolute;left:2316;top:20139;width:35368;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812A19" w:rsidRPr="00DD351C" w:rsidRDefault="00812A19" w:rsidP="00D31871">
                        <w:pPr>
                          <w:spacing w:line="220" w:lineRule="exact"/>
                          <w:rPr>
                            <w:sz w:val="18"/>
                            <w:szCs w:val="18"/>
                          </w:rPr>
                        </w:pPr>
                        <w:r w:rsidRPr="00DD351C">
                          <w:rPr>
                            <w:sz w:val="18"/>
                            <w:szCs w:val="18"/>
                          </w:rPr>
                          <w:t>Lampes à incandescence pour dispositifs de signalisation lumineuse</w:t>
                        </w:r>
                      </w:p>
                    </w:txbxContent>
                  </v:textbox>
                </v:shape>
                <v:shape id="Text Box 2" o:spid="_x0000_s1032" type="#_x0000_t202" style="position:absolute;left:20107;top:22181;width:17254;height:10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kwwAAANsAAAAPAAAAZHJzL2Rvd25yZXYueG1sRI9Ba8JA&#10;FITvBf/D8oReim4SS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IjuOJMMAAADbAAAADwAA&#10;AAAAAAAAAAAAAAAHAgAAZHJzL2Rvd25yZXYueG1sUEsFBgAAAAADAAMAtwAAAPcCAAAAAA==&#10;" filled="f" stroked="f">
                  <v:textbox style="mso-fit-shape-to-text:t" inset="0,0,0,0">
                    <w:txbxContent>
                      <w:p w:rsidR="00812A19" w:rsidRPr="00D147AE" w:rsidRDefault="00812A19" w:rsidP="00D31871">
                        <w:pPr>
                          <w:spacing w:line="240" w:lineRule="auto"/>
                          <w:rPr>
                            <w:sz w:val="16"/>
                            <w:szCs w:val="16"/>
                          </w:rPr>
                        </w:pPr>
                        <w:r w:rsidRPr="00D147AE">
                          <w:rPr>
                            <w:sz w:val="16"/>
                            <w:szCs w:val="16"/>
                          </w:rPr>
                          <w:t xml:space="preserve">Le récepteur doit se déplacer autour du filament mais l’ouverture ne doit recouvrir aucune partie formant le culot ni sa zone de transition immédiate. </w:t>
                        </w:r>
                      </w:p>
                      <w:p w:rsidR="00812A19" w:rsidRPr="00D147AE" w:rsidRDefault="00812A19" w:rsidP="00D31871">
                        <w:pPr>
                          <w:spacing w:line="240" w:lineRule="auto"/>
                          <w:rPr>
                            <w:sz w:val="16"/>
                            <w:szCs w:val="16"/>
                          </w:rPr>
                        </w:pPr>
                        <w:r w:rsidRPr="00D147AE">
                          <w:rPr>
                            <w:sz w:val="16"/>
                            <w:szCs w:val="16"/>
                          </w:rPr>
                          <w:t>Dans le cas des catégories de sources lumineuses à incandesce</w:t>
                        </w:r>
                        <w:r>
                          <w:rPr>
                            <w:sz w:val="16"/>
                            <w:szCs w:val="16"/>
                          </w:rPr>
                          <w:t>nce présentant un </w:t>
                        </w:r>
                        <w:r w:rsidRPr="00D147AE">
                          <w:rPr>
                            <w:sz w:val="16"/>
                            <w:szCs w:val="16"/>
                          </w:rPr>
                          <w:t>angle sans distorsion défini, la mesure ne doit être effectuée qu’à l’intérieur de</w:t>
                        </w:r>
                        <w:r>
                          <w:rPr>
                            <w:sz w:val="16"/>
                            <w:szCs w:val="16"/>
                          </w:rPr>
                          <w:t> </w:t>
                        </w:r>
                        <w:r w:rsidRPr="00D147AE">
                          <w:rPr>
                            <w:sz w:val="16"/>
                            <w:szCs w:val="16"/>
                          </w:rPr>
                          <w:t>cet angle.</w:t>
                        </w:r>
                      </w:p>
                    </w:txbxContent>
                  </v:textbox>
                </v:shape>
              </v:group>
            </w:pict>
          </mc:Fallback>
        </mc:AlternateContent>
      </w:r>
      <w:r w:rsidRPr="00640EE4">
        <w:rPr>
          <w:rFonts w:eastAsia="Calibri"/>
          <w:noProof/>
          <w:lang w:val="en-GB" w:eastAsia="en-GB"/>
        </w:rPr>
        <w:drawing>
          <wp:inline distT="0" distB="0" distL="0" distR="0" wp14:anchorId="4835113D" wp14:editId="36E3242E">
            <wp:extent cx="3925614" cy="44243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841.jpg"/>
                    <pic:cNvPicPr/>
                  </pic:nvPicPr>
                  <pic:blipFill rotWithShape="1">
                    <a:blip r:embed="rId25">
                      <a:extLst>
                        <a:ext uri="{28A0092B-C50C-407E-A947-70E740481C1C}">
                          <a14:useLocalDpi xmlns:a14="http://schemas.microsoft.com/office/drawing/2010/main" val="0"/>
                        </a:ext>
                      </a:extLst>
                    </a:blip>
                    <a:srcRect r="26229" b="4159"/>
                    <a:stretch/>
                  </pic:blipFill>
                  <pic:spPr bwMode="auto">
                    <a:xfrm>
                      <a:off x="0" y="0"/>
                      <a:ext cx="3942843" cy="4443748"/>
                    </a:xfrm>
                    <a:prstGeom prst="rect">
                      <a:avLst/>
                    </a:prstGeom>
                    <a:ln>
                      <a:noFill/>
                    </a:ln>
                    <a:extLst>
                      <a:ext uri="{53640926-AAD7-44D8-BBD7-CCE9431645EC}">
                        <a14:shadowObscured xmlns:a14="http://schemas.microsoft.com/office/drawing/2010/main"/>
                      </a:ext>
                    </a:extLst>
                  </pic:spPr>
                </pic:pic>
              </a:graphicData>
            </a:graphic>
          </wp:inline>
        </w:drawing>
      </w:r>
    </w:p>
    <w:p w:rsidR="00D31871" w:rsidRPr="00640EE4" w:rsidRDefault="007D4F6A" w:rsidP="007D4F6A">
      <w:pPr>
        <w:pStyle w:val="HChG"/>
        <w:rPr>
          <w:snapToGrid w:val="0"/>
          <w:lang w:val="fr-FR"/>
        </w:rPr>
      </w:pPr>
      <w:r>
        <w:rPr>
          <w:rFonts w:eastAsia="Calibri"/>
          <w:lang w:val="fr-FR"/>
        </w:rPr>
        <w:br w:type="page"/>
      </w:r>
      <w:r w:rsidR="00D31871" w:rsidRPr="00640EE4">
        <w:rPr>
          <w:snapToGrid w:val="0"/>
          <w:lang w:val="fr-FR"/>
        </w:rPr>
        <w:t>Annexe 6</w:t>
      </w:r>
    </w:p>
    <w:p w:rsidR="00D31871" w:rsidRPr="00640EE4" w:rsidRDefault="00D31871" w:rsidP="007D4F6A">
      <w:pPr>
        <w:pStyle w:val="HChG"/>
        <w:rPr>
          <w:snapToGrid w:val="0"/>
          <w:lang w:val="fr-FR"/>
        </w:rPr>
      </w:pPr>
      <w:r w:rsidRPr="00640EE4">
        <w:rPr>
          <w:snapToGrid w:val="0"/>
          <w:lang w:val="fr-FR"/>
        </w:rPr>
        <w:tab/>
      </w:r>
      <w:r w:rsidRPr="00640EE4">
        <w:rPr>
          <w:snapToGrid w:val="0"/>
          <w:lang w:val="fr-FR"/>
        </w:rPr>
        <w:tab/>
        <w:t xml:space="preserve">Prescriptions minimales concernant les procédures </w:t>
      </w:r>
      <w:r w:rsidRPr="00640EE4">
        <w:rPr>
          <w:snapToGrid w:val="0"/>
          <w:lang w:val="fr-FR"/>
        </w:rPr>
        <w:br/>
        <w:t xml:space="preserve">de contrôle de la qualité suivies par le fabricant </w:t>
      </w:r>
    </w:p>
    <w:p w:rsidR="00D31871" w:rsidRPr="00640EE4" w:rsidRDefault="00D31871" w:rsidP="00EB0DF5">
      <w:pPr>
        <w:pStyle w:val="SingleTxtG"/>
        <w:keepNext/>
        <w:ind w:left="2268" w:hanging="1134"/>
        <w:rPr>
          <w:rFonts w:eastAsia="Calibri"/>
          <w:snapToGrid w:val="0"/>
          <w:lang w:val="fr-FR"/>
        </w:rPr>
      </w:pPr>
      <w:r w:rsidRPr="00640EE4">
        <w:rPr>
          <w:rFonts w:eastAsia="Calibri"/>
          <w:snapToGrid w:val="0"/>
          <w:lang w:val="fr-FR"/>
        </w:rPr>
        <w:t>1.</w:t>
      </w:r>
      <w:r w:rsidRPr="00640EE4">
        <w:rPr>
          <w:rFonts w:eastAsia="Calibri"/>
          <w:snapToGrid w:val="0"/>
          <w:lang w:val="fr-FR"/>
        </w:rPr>
        <w:tab/>
        <w:t>Généralités</w:t>
      </w:r>
    </w:p>
    <w:p w:rsidR="00D31871" w:rsidRPr="00640EE4" w:rsidRDefault="00D31871" w:rsidP="00EB0DF5">
      <w:pPr>
        <w:pStyle w:val="SingleTxtG"/>
        <w:keepNext/>
        <w:ind w:left="2268"/>
        <w:rPr>
          <w:rFonts w:eastAsia="Calibri"/>
          <w:snapToGrid w:val="0"/>
          <w:lang w:val="fr-FR"/>
        </w:rPr>
      </w:pPr>
      <w:r w:rsidRPr="00640EE4">
        <w:rPr>
          <w:rFonts w:eastAsia="Calibri"/>
          <w:snapToGrid w:val="0"/>
          <w:lang w:val="fr-FR"/>
        </w:rPr>
        <w:t>Les prescriptions relatives à la conformité doivent être considérées comme satisfaites du point de vue photométrique, géométrique, visuel et électrique si les tolérances spécifiées pour les sources lumineuses à incandescence de série sur la feuille de caractéristiques pertinente de l’annexe 1 et sur la feuille de caractéristiques pour les culots, sont respectées.</w:t>
      </w:r>
    </w:p>
    <w:p w:rsidR="00D31871" w:rsidRPr="00640EE4" w:rsidRDefault="00D31871" w:rsidP="00EB0DF5">
      <w:pPr>
        <w:pStyle w:val="SingleTxtG"/>
        <w:keepNext/>
        <w:ind w:left="2268" w:hanging="1134"/>
        <w:rPr>
          <w:rFonts w:eastAsia="Calibri"/>
          <w:snapToGrid w:val="0"/>
          <w:lang w:val="fr-FR"/>
        </w:rPr>
      </w:pPr>
      <w:r w:rsidRPr="00640EE4">
        <w:rPr>
          <w:rFonts w:eastAsia="Calibri"/>
          <w:snapToGrid w:val="0"/>
          <w:lang w:val="fr-FR"/>
        </w:rPr>
        <w:t>2.</w:t>
      </w:r>
      <w:r w:rsidRPr="00640EE4">
        <w:rPr>
          <w:rFonts w:eastAsia="Calibri"/>
          <w:snapToGrid w:val="0"/>
          <w:lang w:val="fr-FR"/>
        </w:rPr>
        <w:tab/>
        <w:t>Prescriptions minimales concernant la vérification de la conformité par le fabricant</w:t>
      </w:r>
    </w:p>
    <w:p w:rsidR="00D31871" w:rsidRPr="00640EE4" w:rsidRDefault="00D31871" w:rsidP="00EB0DF5">
      <w:pPr>
        <w:pStyle w:val="SingleTxtG"/>
        <w:keepNext/>
        <w:ind w:left="2268"/>
        <w:rPr>
          <w:rFonts w:eastAsia="Calibri"/>
          <w:snapToGrid w:val="0"/>
          <w:lang w:val="fr-FR"/>
        </w:rPr>
      </w:pPr>
      <w:r w:rsidRPr="00640EE4">
        <w:rPr>
          <w:rFonts w:eastAsia="Calibri"/>
          <w:snapToGrid w:val="0"/>
          <w:lang w:val="fr-FR"/>
        </w:rPr>
        <w:t xml:space="preserve">Pour chaque type de source lumineuse à incandescence, le fabricant ou le titulaire de la marque </w:t>
      </w:r>
      <w:r w:rsidRPr="007D4F6A">
        <w:rPr>
          <w:rFonts w:eastAsia="Times New Roman"/>
          <w:snapToGrid w:val="0"/>
          <w:lang w:val="fr-FR"/>
        </w:rPr>
        <w:t>d’homologation</w:t>
      </w:r>
      <w:r w:rsidRPr="00640EE4">
        <w:rPr>
          <w:rFonts w:eastAsia="Calibri"/>
          <w:snapToGrid w:val="0"/>
          <w:lang w:val="fr-FR"/>
        </w:rPr>
        <w:t xml:space="preserve"> doit effectuer des essais, conformément aux dispositions du présent Règlement, à des intervalles appropriés.</w:t>
      </w:r>
    </w:p>
    <w:p w:rsidR="00D31871" w:rsidRPr="00640EE4" w:rsidRDefault="00D31871" w:rsidP="00EB0DF5">
      <w:pPr>
        <w:pStyle w:val="SingleTxtG"/>
        <w:keepNext/>
        <w:ind w:left="2268" w:hanging="1134"/>
        <w:rPr>
          <w:rFonts w:eastAsia="Calibri"/>
          <w:snapToGrid w:val="0"/>
          <w:lang w:val="fr-FR"/>
        </w:rPr>
      </w:pPr>
      <w:r w:rsidRPr="00640EE4">
        <w:rPr>
          <w:rFonts w:eastAsia="Calibri"/>
          <w:snapToGrid w:val="0"/>
          <w:lang w:val="fr-FR"/>
        </w:rPr>
        <w:t>2.1</w:t>
      </w:r>
      <w:r w:rsidRPr="00640EE4">
        <w:rPr>
          <w:rFonts w:eastAsia="Calibri"/>
          <w:snapToGrid w:val="0"/>
          <w:lang w:val="fr-FR"/>
        </w:rPr>
        <w:tab/>
        <w:t xml:space="preserve">Nature des essais </w:t>
      </w:r>
    </w:p>
    <w:p w:rsidR="00D31871" w:rsidRPr="00640EE4" w:rsidRDefault="00D31871" w:rsidP="00EB0DF5">
      <w:pPr>
        <w:pStyle w:val="SingleTxtG"/>
        <w:keepNext/>
        <w:ind w:left="2268"/>
        <w:rPr>
          <w:rFonts w:eastAsia="Calibri"/>
          <w:snapToGrid w:val="0"/>
          <w:lang w:val="fr-FR"/>
        </w:rPr>
      </w:pPr>
      <w:r w:rsidRPr="00640EE4">
        <w:rPr>
          <w:rFonts w:eastAsia="Calibri"/>
          <w:snapToGrid w:val="0"/>
          <w:lang w:val="fr-FR"/>
        </w:rPr>
        <w:t>Les essais de conformité relatifs à ces spécifications doivent porter sur les caractéristiques photométriques, géométriques et optiques.</w:t>
      </w:r>
    </w:p>
    <w:p w:rsidR="00D31871" w:rsidRPr="00640EE4" w:rsidRDefault="00D31871" w:rsidP="007D4F6A">
      <w:pPr>
        <w:pStyle w:val="SingleTxtG"/>
        <w:ind w:left="2268" w:hanging="1134"/>
        <w:rPr>
          <w:rFonts w:eastAsia="Calibri"/>
          <w:snapToGrid w:val="0"/>
          <w:lang w:val="fr-FR"/>
        </w:rPr>
      </w:pPr>
      <w:r w:rsidRPr="00640EE4">
        <w:rPr>
          <w:rFonts w:eastAsia="Calibri"/>
          <w:snapToGrid w:val="0"/>
          <w:lang w:val="fr-FR"/>
        </w:rPr>
        <w:t>2.2</w:t>
      </w:r>
      <w:r w:rsidRPr="00640EE4">
        <w:rPr>
          <w:rFonts w:eastAsia="Calibri"/>
          <w:snapToGrid w:val="0"/>
          <w:lang w:val="fr-FR"/>
        </w:rPr>
        <w:tab/>
        <w:t xml:space="preserve">Méthodes utilisées au cours des essais </w:t>
      </w:r>
    </w:p>
    <w:p w:rsidR="00D31871" w:rsidRPr="00640EE4" w:rsidRDefault="00D31871" w:rsidP="007D4F6A">
      <w:pPr>
        <w:pStyle w:val="SingleTxtG"/>
        <w:ind w:left="2268" w:hanging="1134"/>
        <w:rPr>
          <w:rFonts w:eastAsia="Calibri"/>
          <w:snapToGrid w:val="0"/>
          <w:lang w:val="fr-FR"/>
        </w:rPr>
      </w:pPr>
      <w:r w:rsidRPr="00640EE4">
        <w:rPr>
          <w:rFonts w:eastAsia="Calibri"/>
          <w:snapToGrid w:val="0"/>
          <w:lang w:val="fr-FR"/>
        </w:rPr>
        <w:t>2.2.1</w:t>
      </w:r>
      <w:r w:rsidRPr="00640EE4">
        <w:rPr>
          <w:rFonts w:eastAsia="Calibri"/>
          <w:snapToGrid w:val="0"/>
          <w:lang w:val="fr-FR"/>
        </w:rPr>
        <w:tab/>
        <w:t>D’une manière générale, les essais doivent être effectués conformément aux méthodes indiquées dans le présent</w:t>
      </w:r>
      <w:r w:rsidR="004263B9">
        <w:rPr>
          <w:rFonts w:eastAsia="Calibri"/>
          <w:snapToGrid w:val="0"/>
          <w:lang w:val="fr-FR"/>
        </w:rPr>
        <w:t xml:space="preserve"> Règlement.</w:t>
      </w:r>
    </w:p>
    <w:p w:rsidR="00D31871" w:rsidRPr="00640EE4" w:rsidRDefault="00D31871" w:rsidP="007D4F6A">
      <w:pPr>
        <w:pStyle w:val="SingleTxtG"/>
        <w:ind w:left="2268" w:hanging="1134"/>
        <w:rPr>
          <w:rFonts w:eastAsia="Calibri"/>
          <w:snapToGrid w:val="0"/>
          <w:lang w:val="fr-FR"/>
        </w:rPr>
      </w:pPr>
      <w:r w:rsidRPr="00640EE4">
        <w:rPr>
          <w:rFonts w:eastAsia="Calibri"/>
          <w:snapToGrid w:val="0"/>
          <w:lang w:val="fr-FR"/>
        </w:rPr>
        <w:t>2.2.2</w:t>
      </w:r>
      <w:r w:rsidRPr="00640EE4">
        <w:rPr>
          <w:rFonts w:eastAsia="Calibri"/>
          <w:snapToGrid w:val="0"/>
          <w:lang w:val="fr-FR"/>
        </w:rPr>
        <w:tab/>
        <w:t xml:space="preserve">L’application du paragraphe 2.2.1 exige un étalonnage régulier de l’appareillage d’essai et une corrélation avec les mesures effectuées par une autorité d’homologation de type compétente. </w:t>
      </w:r>
    </w:p>
    <w:p w:rsidR="00D31871" w:rsidRPr="00640EE4" w:rsidRDefault="00D31871" w:rsidP="00EB0DF5">
      <w:pPr>
        <w:pStyle w:val="SingleTxtG"/>
        <w:keepNext/>
        <w:ind w:left="2268" w:hanging="1134"/>
        <w:rPr>
          <w:rFonts w:eastAsia="Calibri"/>
          <w:snapToGrid w:val="0"/>
          <w:lang w:val="fr-FR"/>
        </w:rPr>
      </w:pPr>
      <w:r w:rsidRPr="00640EE4">
        <w:rPr>
          <w:rFonts w:eastAsia="Calibri"/>
          <w:snapToGrid w:val="0"/>
          <w:lang w:val="fr-FR"/>
        </w:rPr>
        <w:t>2.3</w:t>
      </w:r>
      <w:r w:rsidRPr="00640EE4">
        <w:rPr>
          <w:rFonts w:eastAsia="Calibri"/>
          <w:snapToGrid w:val="0"/>
          <w:lang w:val="fr-FR"/>
        </w:rPr>
        <w:tab/>
        <w:t>Nature de l’échantillonnage</w:t>
      </w:r>
    </w:p>
    <w:p w:rsidR="00D31871" w:rsidRPr="00640EE4" w:rsidRDefault="00D31871" w:rsidP="00EB0DF5">
      <w:pPr>
        <w:pStyle w:val="SingleTxtG"/>
        <w:keepNext/>
        <w:ind w:left="2268"/>
        <w:rPr>
          <w:rFonts w:eastAsia="Calibri"/>
          <w:snapToGrid w:val="0"/>
          <w:lang w:val="fr-FR"/>
        </w:rPr>
      </w:pPr>
      <w:r w:rsidRPr="00640EE4">
        <w:rPr>
          <w:rFonts w:eastAsia="Calibri"/>
          <w:snapToGrid w:val="0"/>
          <w:lang w:val="fr-FR"/>
        </w:rPr>
        <w:t>Des échantillons de sources lumineuses à incandescence doivent être prélevés au hasard sur un lot uniforme de production. Par lot uniforme, on entend un ensemble de sources lumineuses à incandescence du même type, défini conformément aux méthodes de fabrication du fabricant.</w:t>
      </w:r>
    </w:p>
    <w:p w:rsidR="00D31871" w:rsidRPr="00640EE4" w:rsidRDefault="00D31871" w:rsidP="007D4F6A">
      <w:pPr>
        <w:pStyle w:val="SingleTxtG"/>
        <w:ind w:left="2268" w:hanging="1134"/>
        <w:rPr>
          <w:rFonts w:eastAsia="Calibri"/>
          <w:snapToGrid w:val="0"/>
          <w:lang w:val="fr-FR"/>
        </w:rPr>
      </w:pPr>
      <w:r w:rsidRPr="00640EE4">
        <w:rPr>
          <w:rFonts w:eastAsia="Calibri"/>
          <w:snapToGrid w:val="0"/>
          <w:lang w:val="fr-FR"/>
        </w:rPr>
        <w:t>2.4</w:t>
      </w:r>
      <w:r w:rsidRPr="00640EE4">
        <w:rPr>
          <w:rFonts w:eastAsia="Calibri"/>
          <w:snapToGrid w:val="0"/>
          <w:lang w:val="fr-FR"/>
        </w:rPr>
        <w:tab/>
        <w:t xml:space="preserve">Inspection des sources lumineuses et enregistrement de leurs caractéristiques </w:t>
      </w:r>
    </w:p>
    <w:p w:rsidR="00D31871" w:rsidRPr="00640EE4" w:rsidRDefault="00D31871" w:rsidP="007D4F6A">
      <w:pPr>
        <w:pStyle w:val="SingleTxtG"/>
        <w:ind w:left="2268"/>
        <w:rPr>
          <w:rFonts w:eastAsia="Calibri"/>
          <w:snapToGrid w:val="0"/>
          <w:lang w:val="fr-FR"/>
        </w:rPr>
      </w:pPr>
      <w:r w:rsidRPr="00640EE4">
        <w:rPr>
          <w:rFonts w:eastAsia="Calibri"/>
          <w:snapToGrid w:val="0"/>
          <w:lang w:val="fr-FR"/>
        </w:rPr>
        <w:t xml:space="preserve">Les sources lumineuses à incandescence doivent faire l’objet d’une inspection et les résultats des essais être </w:t>
      </w:r>
      <w:r w:rsidRPr="007D4F6A">
        <w:rPr>
          <w:rFonts w:eastAsia="Times New Roman"/>
          <w:snapToGrid w:val="0"/>
          <w:lang w:val="fr-FR"/>
        </w:rPr>
        <w:t>enregistrés</w:t>
      </w:r>
      <w:r w:rsidRPr="00640EE4">
        <w:rPr>
          <w:rFonts w:eastAsia="Calibri"/>
          <w:snapToGrid w:val="0"/>
          <w:lang w:val="fr-FR"/>
        </w:rPr>
        <w:t xml:space="preserve"> en fonction des groupes de caractéristiques dont la liste figure au tableau 1 de l’annexe 7.</w:t>
      </w:r>
    </w:p>
    <w:p w:rsidR="00D31871" w:rsidRPr="00640EE4" w:rsidRDefault="00D31871" w:rsidP="007D4F6A">
      <w:pPr>
        <w:pStyle w:val="SingleTxtG"/>
        <w:ind w:left="2268" w:hanging="1134"/>
        <w:rPr>
          <w:rFonts w:eastAsia="Calibri"/>
          <w:snapToGrid w:val="0"/>
          <w:lang w:val="fr-FR"/>
        </w:rPr>
      </w:pPr>
      <w:r w:rsidRPr="00640EE4">
        <w:rPr>
          <w:rFonts w:eastAsia="Calibri"/>
          <w:snapToGrid w:val="0"/>
          <w:lang w:val="fr-FR"/>
        </w:rPr>
        <w:t>2.5</w:t>
      </w:r>
      <w:r w:rsidRPr="00640EE4">
        <w:rPr>
          <w:rFonts w:eastAsia="Calibri"/>
          <w:snapToGrid w:val="0"/>
          <w:lang w:val="fr-FR"/>
        </w:rPr>
        <w:tab/>
        <w:t xml:space="preserve">Critères régissant l’admissibilité </w:t>
      </w:r>
    </w:p>
    <w:p w:rsidR="00D31871" w:rsidRPr="00640EE4" w:rsidRDefault="00D31871" w:rsidP="007D4F6A">
      <w:pPr>
        <w:pStyle w:val="SingleTxtG"/>
        <w:ind w:left="2268"/>
        <w:rPr>
          <w:rFonts w:eastAsia="Calibri"/>
          <w:snapToGrid w:val="0"/>
          <w:lang w:val="fr-FR"/>
        </w:rPr>
      </w:pPr>
      <w:r w:rsidRPr="00640EE4">
        <w:rPr>
          <w:rFonts w:eastAsia="Calibri"/>
          <w:snapToGrid w:val="0"/>
          <w:lang w:val="fr-FR"/>
        </w:rPr>
        <w:t>Il incombe au fabricant ou au titulaire de l’homologation d’effectuer une étude statistique des résultats des essais pour satisfaire aux spécifications énoncées au paragraphe</w:t>
      </w:r>
      <w:r w:rsidR="00166698">
        <w:rPr>
          <w:rFonts w:eastAsia="Calibri"/>
          <w:snapToGrid w:val="0"/>
          <w:lang w:val="fr-FR"/>
        </w:rPr>
        <w:t> </w:t>
      </w:r>
      <w:r w:rsidRPr="00640EE4">
        <w:rPr>
          <w:rFonts w:eastAsia="Calibri"/>
          <w:snapToGrid w:val="0"/>
          <w:lang w:val="fr-FR"/>
        </w:rPr>
        <w:t>4.1 du présent Règlement en ce qui concerne la vérification de la conformité des produits.</w:t>
      </w:r>
    </w:p>
    <w:p w:rsidR="00D31871" w:rsidRPr="00640EE4" w:rsidRDefault="00D31871" w:rsidP="007D4F6A">
      <w:pPr>
        <w:pStyle w:val="SingleTxtG"/>
        <w:ind w:left="2268"/>
        <w:rPr>
          <w:rFonts w:eastAsia="Calibri"/>
          <w:snapToGrid w:val="0"/>
          <w:lang w:val="fr-FR"/>
        </w:rPr>
      </w:pPr>
      <w:r w:rsidRPr="00640EE4">
        <w:rPr>
          <w:rFonts w:eastAsia="Calibri"/>
          <w:snapToGrid w:val="0"/>
          <w:lang w:val="fr-FR"/>
        </w:rPr>
        <w:t>La conformité est assurée si le niveau acceptable de non-conformité par groupe de caractéristiques indiqué au tableau 1 de l’annexe 7 n’est pas dépassé c’est-à-dire si le nombre de sources lumineuses qui ne satisfait pas à la prescription fixée pour un groupe quelconque de caractéristiques de n’importe quel type de sources lumineuses à incandescence ne dépasse pas les tolérances indiquées au tableau pertinent (2, 3 ou 4) de l’annexe 7.</w:t>
      </w:r>
    </w:p>
    <w:p w:rsidR="00D31871" w:rsidRPr="00640EE4" w:rsidRDefault="00D31871" w:rsidP="007D4F6A">
      <w:pPr>
        <w:pStyle w:val="SingleTxtG"/>
        <w:ind w:left="2268"/>
        <w:rPr>
          <w:rFonts w:eastAsia="Calibri"/>
          <w:snapToGrid w:val="0"/>
          <w:lang w:val="fr-FR"/>
        </w:rPr>
      </w:pPr>
      <w:r w:rsidRPr="00640EE4">
        <w:rPr>
          <w:rFonts w:eastAsia="Calibri"/>
          <w:i/>
          <w:snapToGrid w:val="0"/>
          <w:lang w:val="fr-FR"/>
        </w:rPr>
        <w:t>Note </w:t>
      </w:r>
      <w:r w:rsidRPr="00640EE4">
        <w:rPr>
          <w:rFonts w:eastAsia="Calibri"/>
          <w:iCs/>
          <w:snapToGrid w:val="0"/>
          <w:lang w:val="fr-FR"/>
        </w:rPr>
        <w:t>:</w:t>
      </w:r>
      <w:r w:rsidRPr="00640EE4">
        <w:rPr>
          <w:rFonts w:eastAsia="Calibri"/>
          <w:snapToGrid w:val="0"/>
          <w:lang w:val="fr-FR"/>
        </w:rPr>
        <w:t xml:space="preserve"> Chaque prescription relative à une source lumineuse</w:t>
      </w:r>
      <w:r w:rsidRPr="00640EE4">
        <w:rPr>
          <w:rFonts w:eastAsia="Calibri"/>
          <w:b/>
          <w:snapToGrid w:val="0"/>
          <w:lang w:val="fr-FR"/>
        </w:rPr>
        <w:t xml:space="preserve"> </w:t>
      </w:r>
      <w:r w:rsidRPr="00640EE4">
        <w:rPr>
          <w:rFonts w:eastAsia="Calibri"/>
          <w:snapToGrid w:val="0"/>
          <w:lang w:val="fr-FR"/>
        </w:rPr>
        <w:t>à incandescence doit être considérée comme une caractéristique.</w:t>
      </w:r>
    </w:p>
    <w:p w:rsidR="00D31871" w:rsidRPr="00640EE4" w:rsidRDefault="00D31871" w:rsidP="007D4F6A">
      <w:pPr>
        <w:pStyle w:val="HChG"/>
        <w:rPr>
          <w:lang w:val="fr-FR"/>
        </w:rPr>
      </w:pPr>
      <w:r w:rsidRPr="00640EE4">
        <w:rPr>
          <w:lang w:val="fr-FR"/>
        </w:rPr>
        <w:br w:type="page"/>
        <w:t>Annexe 7</w:t>
      </w:r>
    </w:p>
    <w:p w:rsidR="00D31871" w:rsidRPr="00640EE4" w:rsidRDefault="00D31871" w:rsidP="007D4F6A">
      <w:pPr>
        <w:pStyle w:val="HChG"/>
        <w:rPr>
          <w:lang w:val="fr-FR"/>
        </w:rPr>
      </w:pPr>
      <w:r w:rsidRPr="00640EE4">
        <w:rPr>
          <w:lang w:val="fr-FR"/>
        </w:rPr>
        <w:tab/>
      </w:r>
      <w:r w:rsidRPr="00640EE4">
        <w:rPr>
          <w:lang w:val="fr-FR"/>
        </w:rPr>
        <w:tab/>
        <w:t>Échantillonnage et niveaux de conformité en ce qui concerne les procès-verbaux d’essai du fabricant</w:t>
      </w:r>
    </w:p>
    <w:p w:rsidR="00D31871" w:rsidRPr="00640EE4" w:rsidRDefault="00D31871" w:rsidP="007D4F6A">
      <w:pPr>
        <w:pStyle w:val="Heading1"/>
        <w:spacing w:after="120" w:line="240" w:lineRule="atLeast"/>
        <w:rPr>
          <w:lang w:val="fr-FR"/>
        </w:rPr>
      </w:pPr>
      <w:r w:rsidRPr="00640EE4">
        <w:rPr>
          <w:lang w:val="fr-FR"/>
        </w:rPr>
        <w:t xml:space="preserve">Tableau 1 </w:t>
      </w:r>
      <w:r w:rsidRPr="00640EE4">
        <w:rPr>
          <w:lang w:val="fr-FR"/>
        </w:rPr>
        <w:br/>
      </w:r>
      <w:r w:rsidRPr="007D4F6A">
        <w:rPr>
          <w:b/>
          <w:lang w:val="fr-FR"/>
        </w:rPr>
        <w:t>Caractéristiques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0"/>
        <w:gridCol w:w="2818"/>
        <w:gridCol w:w="1560"/>
        <w:gridCol w:w="1836"/>
      </w:tblGrid>
      <w:tr w:rsidR="00D31871" w:rsidRPr="00640EE4" w:rsidTr="00D31871">
        <w:trPr>
          <w:tblHeader/>
        </w:trPr>
        <w:tc>
          <w:tcPr>
            <w:tcW w:w="2290" w:type="dxa"/>
            <w:shd w:val="clear" w:color="auto" w:fill="auto"/>
            <w:vAlign w:val="bottom"/>
          </w:tcPr>
          <w:p w:rsidR="00D31871" w:rsidRPr="00640EE4" w:rsidRDefault="00D31871" w:rsidP="00B72B57">
            <w:pPr>
              <w:spacing w:before="80" w:after="80" w:line="200" w:lineRule="exact"/>
              <w:ind w:left="57" w:right="57"/>
              <w:rPr>
                <w:rFonts w:eastAsia="Calibri"/>
                <w:i/>
                <w:sz w:val="16"/>
                <w:lang w:val="fr-FR"/>
              </w:rPr>
            </w:pPr>
            <w:r w:rsidRPr="00640EE4">
              <w:rPr>
                <w:rFonts w:eastAsia="Calibri"/>
                <w:i/>
                <w:sz w:val="16"/>
                <w:lang w:val="fr-FR"/>
              </w:rPr>
              <w:t>Groupe de caractéristiques</w:t>
            </w:r>
          </w:p>
        </w:tc>
        <w:tc>
          <w:tcPr>
            <w:tcW w:w="2818" w:type="dxa"/>
            <w:shd w:val="clear" w:color="auto" w:fill="auto"/>
            <w:vAlign w:val="bottom"/>
          </w:tcPr>
          <w:p w:rsidR="00D31871" w:rsidRPr="00640EE4" w:rsidRDefault="00D31871" w:rsidP="00B72B57">
            <w:pPr>
              <w:spacing w:before="80" w:after="80" w:line="200" w:lineRule="exact"/>
              <w:ind w:left="57" w:right="57"/>
              <w:rPr>
                <w:rFonts w:eastAsia="Calibri"/>
                <w:i/>
                <w:sz w:val="16"/>
                <w:lang w:val="fr-FR"/>
              </w:rPr>
            </w:pPr>
            <w:r w:rsidRPr="00640EE4">
              <w:rPr>
                <w:rFonts w:eastAsia="Calibri"/>
                <w:i/>
                <w:sz w:val="16"/>
                <w:lang w:val="fr-FR"/>
              </w:rPr>
              <w:t>Groupement* des procès-verbaux d’essai selon les types de source lumineuse à incandescence</w:t>
            </w:r>
          </w:p>
        </w:tc>
        <w:tc>
          <w:tcPr>
            <w:tcW w:w="1560" w:type="dxa"/>
            <w:shd w:val="clear" w:color="auto" w:fill="auto"/>
            <w:vAlign w:val="bottom"/>
          </w:tcPr>
          <w:p w:rsidR="00D31871" w:rsidRPr="00640EE4" w:rsidRDefault="00D31871" w:rsidP="00B72B57">
            <w:pPr>
              <w:spacing w:before="80" w:after="80" w:line="200" w:lineRule="exact"/>
              <w:ind w:left="57" w:right="57"/>
              <w:rPr>
                <w:rFonts w:eastAsia="Calibri"/>
                <w:i/>
                <w:sz w:val="16"/>
                <w:lang w:val="fr-FR"/>
              </w:rPr>
            </w:pPr>
            <w:r w:rsidRPr="00640EE4">
              <w:rPr>
                <w:rFonts w:eastAsia="Calibri"/>
                <w:i/>
                <w:sz w:val="16"/>
                <w:lang w:val="fr-FR"/>
              </w:rPr>
              <w:t>Échantillon annuel minimal par groupe*</w:t>
            </w:r>
          </w:p>
        </w:tc>
        <w:tc>
          <w:tcPr>
            <w:tcW w:w="1836" w:type="dxa"/>
            <w:shd w:val="clear" w:color="auto" w:fill="auto"/>
            <w:vAlign w:val="bottom"/>
          </w:tcPr>
          <w:p w:rsidR="00D31871" w:rsidRPr="00640EE4" w:rsidRDefault="00D31871" w:rsidP="00B72B57">
            <w:pPr>
              <w:spacing w:before="80" w:after="80" w:line="200" w:lineRule="exact"/>
              <w:ind w:left="57" w:right="57"/>
              <w:rPr>
                <w:rFonts w:eastAsia="Calibri"/>
                <w:i/>
                <w:sz w:val="16"/>
                <w:lang w:val="fr-FR"/>
              </w:rPr>
            </w:pPr>
            <w:r w:rsidRPr="00640EE4">
              <w:rPr>
                <w:rFonts w:eastAsia="Calibri"/>
                <w:i/>
                <w:sz w:val="16"/>
                <w:lang w:val="fr-FR"/>
              </w:rPr>
              <w:t>Niveau acceptable de non-conformité par groupe de caractéristiques (%)</w:t>
            </w:r>
          </w:p>
        </w:tc>
      </w:tr>
      <w:tr w:rsidR="00D31871" w:rsidRPr="00640EE4" w:rsidTr="00D31871">
        <w:tc>
          <w:tcPr>
            <w:tcW w:w="2290"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Marquage, lisibilité et</w:t>
            </w:r>
            <w:r w:rsidR="007D4F6A">
              <w:rPr>
                <w:rFonts w:eastAsia="Calibri"/>
                <w:sz w:val="18"/>
                <w:lang w:val="fr-FR"/>
              </w:rPr>
              <w:t xml:space="preserve"> </w:t>
            </w:r>
            <w:r w:rsidRPr="00640EE4">
              <w:rPr>
                <w:rFonts w:eastAsia="Calibri"/>
                <w:sz w:val="18"/>
                <w:lang w:val="fr-FR"/>
              </w:rPr>
              <w:t>durabilité</w:t>
            </w:r>
          </w:p>
        </w:tc>
        <w:tc>
          <w:tcPr>
            <w:tcW w:w="2818"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Tous les types possédant les mêmes dimensions extérieures</w:t>
            </w:r>
          </w:p>
        </w:tc>
        <w:tc>
          <w:tcPr>
            <w:tcW w:w="1560"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315</w:t>
            </w:r>
          </w:p>
        </w:tc>
        <w:tc>
          <w:tcPr>
            <w:tcW w:w="1836"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1</w:t>
            </w:r>
          </w:p>
        </w:tc>
      </w:tr>
      <w:tr w:rsidR="00D31871" w:rsidRPr="00640EE4" w:rsidTr="00D31871">
        <w:tc>
          <w:tcPr>
            <w:tcW w:w="2290"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Qualité de l’ampoule</w:t>
            </w:r>
          </w:p>
        </w:tc>
        <w:tc>
          <w:tcPr>
            <w:tcW w:w="2818"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 xml:space="preserve">Tous les types possédant la même ampoule </w:t>
            </w:r>
          </w:p>
        </w:tc>
        <w:tc>
          <w:tcPr>
            <w:tcW w:w="1560"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315</w:t>
            </w:r>
          </w:p>
        </w:tc>
        <w:tc>
          <w:tcPr>
            <w:tcW w:w="1836"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1</w:t>
            </w:r>
          </w:p>
        </w:tc>
      </w:tr>
      <w:tr w:rsidR="00D31871" w:rsidRPr="00640EE4" w:rsidTr="00D31871">
        <w:tc>
          <w:tcPr>
            <w:tcW w:w="2290"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Couleur de l’ampoule</w:t>
            </w:r>
          </w:p>
        </w:tc>
        <w:tc>
          <w:tcPr>
            <w:tcW w:w="2818"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 xml:space="preserve">Tous les types d’ampoules (émettant de la lumière rouge et jaune-auto) de la même catégorie utilisant la même technique de coloration </w:t>
            </w:r>
          </w:p>
        </w:tc>
        <w:tc>
          <w:tcPr>
            <w:tcW w:w="1560" w:type="dxa"/>
            <w:shd w:val="clear" w:color="auto" w:fill="auto"/>
          </w:tcPr>
          <w:p w:rsidR="00D31871" w:rsidRPr="00640EE4" w:rsidRDefault="00D31871" w:rsidP="00B72B57">
            <w:pPr>
              <w:spacing w:before="40" w:after="40" w:line="220" w:lineRule="exact"/>
              <w:ind w:left="57" w:right="57"/>
              <w:jc w:val="right"/>
              <w:rPr>
                <w:rFonts w:eastAsia="Calibri"/>
                <w:sz w:val="18"/>
                <w:szCs w:val="18"/>
                <w:lang w:val="fr-FR"/>
              </w:rPr>
            </w:pPr>
            <w:r w:rsidRPr="00640EE4">
              <w:rPr>
                <w:rFonts w:eastAsia="Calibri"/>
                <w:sz w:val="18"/>
                <w:lang w:val="fr-FR"/>
              </w:rPr>
              <w:t>20</w:t>
            </w:r>
          </w:p>
        </w:tc>
        <w:tc>
          <w:tcPr>
            <w:tcW w:w="1836"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1</w:t>
            </w:r>
          </w:p>
        </w:tc>
      </w:tr>
      <w:tr w:rsidR="00D31871" w:rsidRPr="00640EE4" w:rsidTr="00D31871">
        <w:tc>
          <w:tcPr>
            <w:tcW w:w="2290"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Dimensions extérieures de la source lumineuse à incandescence (compte non tenu du culot et de la base)</w:t>
            </w:r>
          </w:p>
        </w:tc>
        <w:tc>
          <w:tcPr>
            <w:tcW w:w="2818"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 xml:space="preserve">Tous les types de la même catégorie </w:t>
            </w:r>
          </w:p>
        </w:tc>
        <w:tc>
          <w:tcPr>
            <w:tcW w:w="1560"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200</w:t>
            </w:r>
          </w:p>
        </w:tc>
        <w:tc>
          <w:tcPr>
            <w:tcW w:w="1836"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1</w:t>
            </w:r>
          </w:p>
        </w:tc>
      </w:tr>
      <w:tr w:rsidR="00D31871" w:rsidRPr="00640EE4" w:rsidTr="00D31871">
        <w:tc>
          <w:tcPr>
            <w:tcW w:w="2290"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Dimensions des culots et</w:t>
            </w:r>
            <w:r w:rsidR="007D4F6A">
              <w:rPr>
                <w:rFonts w:eastAsia="Calibri"/>
                <w:sz w:val="18"/>
                <w:lang w:val="fr-FR"/>
              </w:rPr>
              <w:t xml:space="preserve"> </w:t>
            </w:r>
            <w:r w:rsidRPr="00640EE4">
              <w:rPr>
                <w:rFonts w:eastAsia="Calibri"/>
                <w:sz w:val="18"/>
                <w:lang w:val="fr-FR"/>
              </w:rPr>
              <w:t xml:space="preserve">des bases </w:t>
            </w:r>
          </w:p>
        </w:tc>
        <w:tc>
          <w:tcPr>
            <w:tcW w:w="2818"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 xml:space="preserve">Tous les types de la même catégorie </w:t>
            </w:r>
          </w:p>
        </w:tc>
        <w:tc>
          <w:tcPr>
            <w:tcW w:w="1560"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200</w:t>
            </w:r>
          </w:p>
        </w:tc>
        <w:tc>
          <w:tcPr>
            <w:tcW w:w="1836"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6,5</w:t>
            </w:r>
          </w:p>
        </w:tc>
      </w:tr>
      <w:tr w:rsidR="00D31871" w:rsidRPr="00640EE4" w:rsidTr="00D31871">
        <w:tc>
          <w:tcPr>
            <w:tcW w:w="2290"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Dimensions des éléments intérieurs**</w:t>
            </w:r>
          </w:p>
        </w:tc>
        <w:tc>
          <w:tcPr>
            <w:tcW w:w="2818"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Toutes les sources lumineuses à incandescence du</w:t>
            </w:r>
            <w:r w:rsidR="007D4F6A">
              <w:rPr>
                <w:rFonts w:eastAsia="Calibri"/>
                <w:sz w:val="18"/>
                <w:lang w:val="fr-FR"/>
              </w:rPr>
              <w:t xml:space="preserve"> </w:t>
            </w:r>
            <w:r w:rsidRPr="00640EE4">
              <w:rPr>
                <w:rFonts w:eastAsia="Calibri"/>
                <w:sz w:val="18"/>
                <w:lang w:val="fr-FR"/>
              </w:rPr>
              <w:t>même type</w:t>
            </w:r>
          </w:p>
        </w:tc>
        <w:tc>
          <w:tcPr>
            <w:tcW w:w="1560"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200</w:t>
            </w:r>
          </w:p>
        </w:tc>
        <w:tc>
          <w:tcPr>
            <w:tcW w:w="1836"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6,5</w:t>
            </w:r>
          </w:p>
        </w:tc>
      </w:tr>
      <w:tr w:rsidR="00D31871" w:rsidRPr="00640EE4" w:rsidTr="00D31871">
        <w:tc>
          <w:tcPr>
            <w:tcW w:w="2290"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Lectures initiales, watts et</w:t>
            </w:r>
            <w:r w:rsidR="007D4F6A">
              <w:rPr>
                <w:rFonts w:eastAsia="Calibri"/>
                <w:sz w:val="18"/>
                <w:lang w:val="fr-FR"/>
              </w:rPr>
              <w:t xml:space="preserve"> </w:t>
            </w:r>
            <w:r w:rsidRPr="00640EE4">
              <w:rPr>
                <w:rFonts w:eastAsia="Calibri"/>
                <w:sz w:val="18"/>
                <w:lang w:val="fr-FR"/>
              </w:rPr>
              <w:t>lumens**</w:t>
            </w:r>
          </w:p>
        </w:tc>
        <w:tc>
          <w:tcPr>
            <w:tcW w:w="2818"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Toutes les sources lumineuses à incandescence du</w:t>
            </w:r>
            <w:r w:rsidR="007D4F6A">
              <w:rPr>
                <w:rFonts w:eastAsia="Calibri"/>
                <w:sz w:val="18"/>
                <w:lang w:val="fr-FR"/>
              </w:rPr>
              <w:t xml:space="preserve"> </w:t>
            </w:r>
            <w:r w:rsidRPr="00640EE4">
              <w:rPr>
                <w:rFonts w:eastAsia="Calibri"/>
                <w:sz w:val="18"/>
                <w:lang w:val="fr-FR"/>
              </w:rPr>
              <w:t>même type</w:t>
            </w:r>
          </w:p>
        </w:tc>
        <w:tc>
          <w:tcPr>
            <w:tcW w:w="1560"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200</w:t>
            </w:r>
          </w:p>
        </w:tc>
        <w:tc>
          <w:tcPr>
            <w:tcW w:w="1836"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1</w:t>
            </w:r>
          </w:p>
        </w:tc>
      </w:tr>
      <w:tr w:rsidR="00D31871" w:rsidRPr="00640EE4" w:rsidTr="00D31871">
        <w:tc>
          <w:tcPr>
            <w:tcW w:w="2290" w:type="dxa"/>
            <w:shd w:val="clear" w:color="auto" w:fill="auto"/>
          </w:tcPr>
          <w:p w:rsidR="00D31871" w:rsidRPr="00640EE4" w:rsidRDefault="007D4F6A" w:rsidP="00B72B57">
            <w:pPr>
              <w:spacing w:before="40" w:after="40" w:line="220" w:lineRule="exact"/>
              <w:ind w:left="57" w:right="57"/>
              <w:rPr>
                <w:rFonts w:eastAsia="Calibri"/>
                <w:sz w:val="18"/>
                <w:lang w:val="fr-FR"/>
              </w:rPr>
            </w:pPr>
            <w:r>
              <w:rPr>
                <w:rFonts w:eastAsia="Calibri"/>
                <w:sz w:val="18"/>
                <w:lang w:val="fr-FR"/>
              </w:rPr>
              <w:t xml:space="preserve">Essai de résistance des </w:t>
            </w:r>
            <w:r w:rsidR="00D31871" w:rsidRPr="00640EE4">
              <w:rPr>
                <w:rFonts w:eastAsia="Calibri"/>
                <w:sz w:val="18"/>
                <w:lang w:val="fr-FR"/>
              </w:rPr>
              <w:t xml:space="preserve">couleurs </w:t>
            </w:r>
          </w:p>
        </w:tc>
        <w:tc>
          <w:tcPr>
            <w:tcW w:w="2818"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Toutes les sources lumineuses à incandescence (émettant de la lumière rouge, jaune-auto et blanche) utilisant la même technique de revêtement colorant</w:t>
            </w:r>
          </w:p>
        </w:tc>
        <w:tc>
          <w:tcPr>
            <w:tcW w:w="1560"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20***</w:t>
            </w:r>
          </w:p>
        </w:tc>
        <w:tc>
          <w:tcPr>
            <w:tcW w:w="1836" w:type="dxa"/>
            <w:shd w:val="clear" w:color="auto" w:fill="auto"/>
          </w:tcPr>
          <w:p w:rsidR="00D31871" w:rsidRPr="00640EE4" w:rsidRDefault="00D31871" w:rsidP="00B72B57">
            <w:pPr>
              <w:spacing w:before="40" w:after="40" w:line="220" w:lineRule="exact"/>
              <w:ind w:left="57" w:right="57"/>
              <w:jc w:val="right"/>
              <w:rPr>
                <w:rFonts w:eastAsia="Calibri"/>
                <w:sz w:val="18"/>
                <w:lang w:val="fr-FR"/>
              </w:rPr>
            </w:pPr>
            <w:r w:rsidRPr="00640EE4">
              <w:rPr>
                <w:rFonts w:eastAsia="Calibri"/>
                <w:sz w:val="18"/>
                <w:lang w:val="fr-FR"/>
              </w:rPr>
              <w:t>1</w:t>
            </w:r>
          </w:p>
        </w:tc>
      </w:tr>
    </w:tbl>
    <w:p w:rsidR="00D31871" w:rsidRPr="00A37EAD" w:rsidRDefault="00D31871" w:rsidP="007D4F6A">
      <w:pPr>
        <w:pStyle w:val="SingleTxtGR"/>
        <w:tabs>
          <w:tab w:val="left" w:pos="1276"/>
        </w:tabs>
        <w:spacing w:before="120" w:after="0" w:line="220" w:lineRule="exact"/>
        <w:ind w:right="0"/>
        <w:jc w:val="left"/>
        <w:rPr>
          <w:rFonts w:eastAsia="Calibri"/>
          <w:sz w:val="18"/>
          <w:lang w:val="fr-CH"/>
        </w:rPr>
      </w:pPr>
      <w:r w:rsidRPr="00A37EAD">
        <w:rPr>
          <w:rFonts w:eastAsia="Calibri"/>
          <w:sz w:val="18"/>
          <w:lang w:val="fr-CH"/>
        </w:rPr>
        <w:tab/>
        <w:t>*</w:t>
      </w:r>
      <w:r w:rsidRPr="00A37EAD">
        <w:rPr>
          <w:rFonts w:eastAsia="Calibri"/>
          <w:sz w:val="18"/>
          <w:lang w:val="fr-CH"/>
        </w:rPr>
        <w:tab/>
      </w:r>
      <w:r w:rsidRPr="00640EE4">
        <w:rPr>
          <w:rFonts w:eastAsia="Calibri"/>
          <w:sz w:val="18"/>
          <w:szCs w:val="18"/>
          <w:lang w:val="fr-FR"/>
        </w:rPr>
        <w:t xml:space="preserve">L’évaluation porte en général sur des sources lumineuses à </w:t>
      </w:r>
      <w:r w:rsidRPr="007D4F6A">
        <w:rPr>
          <w:sz w:val="18"/>
          <w:szCs w:val="18"/>
          <w:lang w:val="fr-FR"/>
        </w:rPr>
        <w:t>incandescence</w:t>
      </w:r>
      <w:r w:rsidRPr="00640EE4">
        <w:rPr>
          <w:rFonts w:eastAsia="Calibri"/>
          <w:sz w:val="18"/>
          <w:szCs w:val="18"/>
          <w:lang w:val="fr-FR"/>
        </w:rPr>
        <w:t xml:space="preserve"> de série provenant de diverses usines. Un fabricant peut regrouper les procès-verbaux concernant le même type de sources lumineuses provenant de plusieurs usines, à condition qu’y soient mis en œuvre le même système de qualité et la même gestion de la qualité. </w:t>
      </w:r>
    </w:p>
    <w:p w:rsidR="00D31871" w:rsidRPr="00A37EAD" w:rsidRDefault="00D31871" w:rsidP="007D4F6A">
      <w:pPr>
        <w:pStyle w:val="SingleTxtGR"/>
        <w:tabs>
          <w:tab w:val="left" w:pos="1276"/>
        </w:tabs>
        <w:spacing w:after="0" w:line="220" w:lineRule="exact"/>
        <w:ind w:right="0"/>
        <w:jc w:val="left"/>
        <w:rPr>
          <w:rFonts w:eastAsia="Calibri"/>
          <w:sz w:val="18"/>
          <w:lang w:val="fr-CH"/>
        </w:rPr>
      </w:pPr>
      <w:r w:rsidRPr="00A37EAD">
        <w:rPr>
          <w:rFonts w:eastAsia="Calibri"/>
          <w:sz w:val="18"/>
          <w:lang w:val="fr-CH"/>
        </w:rPr>
        <w:tab/>
        <w:t>**</w:t>
      </w:r>
      <w:r w:rsidRPr="00A37EAD">
        <w:rPr>
          <w:rFonts w:eastAsia="Calibri"/>
          <w:sz w:val="18"/>
          <w:lang w:val="fr-CH"/>
        </w:rPr>
        <w:tab/>
      </w:r>
      <w:r w:rsidRPr="00640EE4">
        <w:rPr>
          <w:rFonts w:eastAsia="Calibri"/>
          <w:sz w:val="18"/>
          <w:szCs w:val="18"/>
          <w:lang w:val="fr-FR"/>
        </w:rPr>
        <w:t xml:space="preserve">Lorsqu’une source lumineuse à incandescence possède plus </w:t>
      </w:r>
      <w:r w:rsidRPr="007D4F6A">
        <w:rPr>
          <w:sz w:val="18"/>
          <w:szCs w:val="18"/>
          <w:lang w:val="fr-FR"/>
        </w:rPr>
        <w:t>d’un</w:t>
      </w:r>
      <w:r w:rsidRPr="00640EE4">
        <w:rPr>
          <w:rFonts w:eastAsia="Calibri"/>
          <w:sz w:val="18"/>
          <w:szCs w:val="18"/>
          <w:lang w:val="fr-FR"/>
        </w:rPr>
        <w:t xml:space="preserve"> élément intérieur (filament, coupelle), le groupe de caractéristiques (dimensions, watts, lumens) s’applique séparément à chaque élément.</w:t>
      </w:r>
    </w:p>
    <w:p w:rsidR="00D31871" w:rsidRPr="00A37EAD" w:rsidRDefault="00D31871" w:rsidP="007D4F6A">
      <w:pPr>
        <w:pStyle w:val="SingleTxtGR"/>
        <w:tabs>
          <w:tab w:val="left" w:pos="1276"/>
        </w:tabs>
        <w:spacing w:after="0" w:line="220" w:lineRule="exact"/>
        <w:ind w:right="0"/>
        <w:jc w:val="left"/>
        <w:rPr>
          <w:rFonts w:eastAsia="Calibri"/>
          <w:sz w:val="18"/>
          <w:lang w:val="fr-CH"/>
        </w:rPr>
      </w:pPr>
      <w:r w:rsidRPr="00A37EAD">
        <w:rPr>
          <w:rFonts w:eastAsia="Calibri"/>
          <w:sz w:val="18"/>
          <w:lang w:val="fr-CH"/>
        </w:rPr>
        <w:tab/>
        <w:t>***</w:t>
      </w:r>
      <w:r w:rsidRPr="00A37EAD">
        <w:rPr>
          <w:rFonts w:eastAsia="Calibri"/>
          <w:sz w:val="18"/>
          <w:lang w:val="fr-CH"/>
        </w:rPr>
        <w:tab/>
      </w:r>
      <w:r w:rsidRPr="00640EE4">
        <w:rPr>
          <w:rFonts w:eastAsia="Calibri"/>
          <w:sz w:val="18"/>
          <w:szCs w:val="18"/>
          <w:lang w:val="fr-FR"/>
        </w:rPr>
        <w:t xml:space="preserve">Répartition représentative par catégories de sources </w:t>
      </w:r>
      <w:r w:rsidRPr="007D4F6A">
        <w:rPr>
          <w:sz w:val="18"/>
          <w:szCs w:val="18"/>
          <w:lang w:val="fr-FR"/>
        </w:rPr>
        <w:t>lumineuses</w:t>
      </w:r>
      <w:r w:rsidRPr="00640EE4">
        <w:rPr>
          <w:rFonts w:eastAsia="Calibri"/>
          <w:sz w:val="18"/>
          <w:szCs w:val="18"/>
          <w:lang w:val="fr-FR"/>
        </w:rPr>
        <w:t xml:space="preserve"> à incandescence colorées avec les mêmes technologies et techniques de finissage, et comprenant des sources lumineuses à incandescence de diamètres extérieurs minimal et maximal, chacune de la puissance nominale la plus élevée.</w:t>
      </w:r>
    </w:p>
    <w:p w:rsidR="00D31871" w:rsidRPr="007D4F6A" w:rsidRDefault="00D31871" w:rsidP="007D4F6A">
      <w:pPr>
        <w:pStyle w:val="SingleTxtG"/>
        <w:spacing w:before="240"/>
        <w:ind w:firstLine="567"/>
      </w:pPr>
      <w:r w:rsidRPr="007D4F6A">
        <w:t>Les tolérances (nombre maximum de résultats non conformes) sont énumérées au tableau 2 en fonction du nombre de résultats d’essai pour chaque groupe de caractéristiques. Ces tolérances sont fondées sur un niveau acceptable de 1</w:t>
      </w:r>
      <w:r w:rsidR="007D4F6A">
        <w:t> </w:t>
      </w:r>
      <w:r w:rsidRPr="007D4F6A">
        <w:t>% de résultats non conformes, en supposant une probabilité d’acceptation d’au moins 0,95.</w:t>
      </w:r>
    </w:p>
    <w:p w:rsidR="00D31871" w:rsidRPr="007D4F6A" w:rsidRDefault="00D31871" w:rsidP="007D4F6A">
      <w:pPr>
        <w:pStyle w:val="Heading1"/>
        <w:spacing w:before="360" w:after="120" w:line="240" w:lineRule="exact"/>
        <w:rPr>
          <w:b/>
          <w:lang w:val="fr-FR"/>
        </w:rPr>
      </w:pPr>
      <w:r w:rsidRPr="007D4F6A">
        <w:rPr>
          <w:b/>
          <w:lang w:val="fr-FR"/>
        </w:rPr>
        <w:t>Tableau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3401"/>
      </w:tblGrid>
      <w:tr w:rsidR="00D31871" w:rsidRPr="00640EE4" w:rsidTr="00D31871">
        <w:trPr>
          <w:tblHeader/>
        </w:trPr>
        <w:tc>
          <w:tcPr>
            <w:tcW w:w="3969" w:type="dxa"/>
            <w:shd w:val="clear" w:color="auto" w:fill="auto"/>
            <w:vAlign w:val="bottom"/>
          </w:tcPr>
          <w:p w:rsidR="00D31871" w:rsidRPr="00640EE4" w:rsidRDefault="00D31871" w:rsidP="00B72B57">
            <w:pPr>
              <w:spacing w:before="80" w:after="80" w:line="200" w:lineRule="exact"/>
              <w:ind w:left="57" w:right="57"/>
              <w:rPr>
                <w:rFonts w:eastAsia="Calibri"/>
                <w:i/>
                <w:sz w:val="16"/>
                <w:lang w:val="fr-FR"/>
              </w:rPr>
            </w:pPr>
            <w:r w:rsidRPr="00640EE4">
              <w:rPr>
                <w:rFonts w:eastAsia="Calibri"/>
                <w:i/>
                <w:sz w:val="16"/>
                <w:lang w:val="fr-FR"/>
              </w:rPr>
              <w:t>Nombre de résultats d’essai pour chaque caractéristique</w:t>
            </w:r>
          </w:p>
        </w:tc>
        <w:tc>
          <w:tcPr>
            <w:tcW w:w="3401" w:type="dxa"/>
            <w:shd w:val="clear" w:color="auto" w:fill="auto"/>
            <w:vAlign w:val="bottom"/>
          </w:tcPr>
          <w:p w:rsidR="00D31871" w:rsidRPr="00640EE4" w:rsidRDefault="00D31871" w:rsidP="00B72B57">
            <w:pPr>
              <w:spacing w:before="80" w:after="80" w:line="200" w:lineRule="exact"/>
              <w:ind w:left="57" w:right="57"/>
              <w:rPr>
                <w:rFonts w:eastAsia="Calibri"/>
                <w:i/>
                <w:sz w:val="16"/>
                <w:lang w:val="fr-FR"/>
              </w:rPr>
            </w:pPr>
            <w:r w:rsidRPr="00640EE4">
              <w:rPr>
                <w:rFonts w:eastAsia="Calibri"/>
                <w:i/>
                <w:sz w:val="16"/>
                <w:lang w:val="fr-FR"/>
              </w:rPr>
              <w:t>Tolérances</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20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0</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21-50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51-80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2</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81-125</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3</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126-200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5</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201-260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6</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261-315</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7</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316-370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8</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371-435</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9</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436-500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10</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501-570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11</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571-645</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12</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646-720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13</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721-800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14</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801-860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15</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861-920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16</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921-990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17</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991-1 060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18</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1 061-1 125</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19</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1 126-1 190</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20</w:t>
            </w:r>
          </w:p>
        </w:tc>
      </w:tr>
      <w:tr w:rsidR="00D31871" w:rsidRPr="00640EE4" w:rsidTr="00D31871">
        <w:tc>
          <w:tcPr>
            <w:tcW w:w="3969" w:type="dxa"/>
            <w:shd w:val="clear" w:color="auto" w:fill="auto"/>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1 191-1 249</w:t>
            </w:r>
          </w:p>
        </w:tc>
        <w:tc>
          <w:tcPr>
            <w:tcW w:w="3401" w:type="dxa"/>
            <w:shd w:val="clear" w:color="auto" w:fill="auto"/>
            <w:vAlign w:val="bottom"/>
          </w:tcPr>
          <w:p w:rsidR="00D31871" w:rsidRPr="00640EE4" w:rsidRDefault="00D31871" w:rsidP="00B72B57">
            <w:pPr>
              <w:spacing w:before="40" w:after="40" w:line="220" w:lineRule="exact"/>
              <w:ind w:left="57" w:right="57"/>
              <w:rPr>
                <w:rFonts w:eastAsia="Calibri"/>
                <w:sz w:val="18"/>
                <w:lang w:val="fr-FR"/>
              </w:rPr>
            </w:pPr>
            <w:r w:rsidRPr="00640EE4">
              <w:rPr>
                <w:rFonts w:eastAsia="Calibri"/>
                <w:sz w:val="18"/>
                <w:lang w:val="fr-FR"/>
              </w:rPr>
              <w:t>21</w:t>
            </w:r>
          </w:p>
        </w:tc>
      </w:tr>
    </w:tbl>
    <w:p w:rsidR="00D31871" w:rsidRPr="00640EE4" w:rsidRDefault="00D31871" w:rsidP="007D4F6A">
      <w:pPr>
        <w:pStyle w:val="SingleTxtG"/>
        <w:tabs>
          <w:tab w:val="left" w:pos="1418"/>
        </w:tabs>
        <w:spacing w:before="120" w:line="220" w:lineRule="exact"/>
        <w:jc w:val="left"/>
      </w:pPr>
      <w:r w:rsidRPr="00640EE4">
        <w:tab/>
        <w:t>*</w:t>
      </w:r>
      <w:r w:rsidRPr="00640EE4">
        <w:tab/>
      </w:r>
      <w:r w:rsidRPr="007D4F6A">
        <w:rPr>
          <w:sz w:val="18"/>
          <w:szCs w:val="18"/>
          <w:lang w:val="fr-FR"/>
        </w:rPr>
        <w:t xml:space="preserve">Conformément à la norme ISO 2859-1:1999 “Règles d’échantillonnage pour les contrôles par attributs </w:t>
      </w:r>
      <w:r w:rsidR="00FD14E6">
        <w:rPr>
          <w:sz w:val="18"/>
          <w:szCs w:val="18"/>
          <w:lang w:val="fr-FR"/>
        </w:rPr>
        <w:t>−</w:t>
      </w:r>
      <w:r w:rsidRPr="007D4F6A">
        <w:rPr>
          <w:sz w:val="18"/>
          <w:szCs w:val="18"/>
          <w:lang w:val="fr-FR"/>
        </w:rPr>
        <w:t xml:space="preserve"> Partie 1 : Procédures d’échantillonnage pour les contrôles lot par lot, indexés d’après le niveau de qualité acceptable (NQA)”, y compris le rectificatif technique 1:2001</w:t>
      </w:r>
      <w:r w:rsidRPr="00640EE4">
        <w:rPr>
          <w:lang w:val="fr-FR"/>
        </w:rPr>
        <w:t>.</w:t>
      </w:r>
    </w:p>
    <w:p w:rsidR="00D31871" w:rsidRPr="00640EE4" w:rsidRDefault="00D31871" w:rsidP="00C075EB">
      <w:pPr>
        <w:pStyle w:val="SingleTxtG"/>
        <w:ind w:firstLine="567"/>
        <w:rPr>
          <w:snapToGrid w:val="0"/>
          <w:lang w:val="fr-FR"/>
        </w:rPr>
      </w:pPr>
      <w:r w:rsidRPr="00640EE4">
        <w:rPr>
          <w:snapToGrid w:val="0"/>
          <w:lang w:val="fr-FR"/>
        </w:rPr>
        <w:br w:type="page"/>
        <w:t>Les tolérances (nombre maximum de résultats non conformes) sont énumérées au tableau</w:t>
      </w:r>
      <w:r w:rsidR="00FD14E6">
        <w:rPr>
          <w:snapToGrid w:val="0"/>
          <w:lang w:val="fr-FR"/>
        </w:rPr>
        <w:t> </w:t>
      </w:r>
      <w:r w:rsidRPr="00640EE4">
        <w:rPr>
          <w:snapToGrid w:val="0"/>
          <w:lang w:val="fr-FR"/>
        </w:rPr>
        <w:t>3 en fonction du nombre de résultats d’essai pour chaque groupe de caractéristiques. Ces tolérances sont fondées sur un niveau acceptable de 6,5 % de résultats non conformes, en supposant une probabilité d’acceptation d’au moins 0,95.</w:t>
      </w:r>
    </w:p>
    <w:p w:rsidR="00D31871" w:rsidRPr="00C075EB" w:rsidRDefault="00D31871" w:rsidP="00C075EB">
      <w:pPr>
        <w:pStyle w:val="Heading1"/>
        <w:spacing w:before="240" w:after="120" w:line="220" w:lineRule="exact"/>
        <w:rPr>
          <w:b/>
          <w:lang w:val="fr-FR"/>
        </w:rPr>
      </w:pPr>
      <w:r w:rsidRPr="00C075EB">
        <w:rPr>
          <w:b/>
          <w:lang w:val="fr-FR"/>
        </w:rPr>
        <w:t>Tableau 3</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3"/>
        <w:gridCol w:w="1145"/>
        <w:gridCol w:w="1703"/>
        <w:gridCol w:w="1145"/>
        <w:gridCol w:w="1703"/>
        <w:gridCol w:w="1105"/>
      </w:tblGrid>
      <w:tr w:rsidR="00D31871" w:rsidRPr="00640EE4" w:rsidTr="00D31871">
        <w:trPr>
          <w:tblHeader/>
        </w:trPr>
        <w:tc>
          <w:tcPr>
            <w:tcW w:w="1757" w:type="dxa"/>
            <w:shd w:val="clear" w:color="auto" w:fill="auto"/>
            <w:vAlign w:val="bottom"/>
          </w:tcPr>
          <w:p w:rsidR="00D31871" w:rsidRPr="00640EE4" w:rsidRDefault="00D31871" w:rsidP="00FD14E6">
            <w:pPr>
              <w:spacing w:before="80" w:after="80" w:line="200" w:lineRule="exact"/>
              <w:ind w:left="57" w:right="57"/>
              <w:rPr>
                <w:rFonts w:eastAsia="Calibri"/>
                <w:i/>
                <w:sz w:val="16"/>
                <w:lang w:val="fr-FR"/>
              </w:rPr>
            </w:pPr>
            <w:r w:rsidRPr="00640EE4">
              <w:rPr>
                <w:rFonts w:eastAsia="Calibri"/>
                <w:i/>
                <w:sz w:val="16"/>
                <w:lang w:val="fr-FR"/>
              </w:rPr>
              <w:t xml:space="preserve">Nombre des </w:t>
            </w:r>
            <w:r w:rsidRPr="00640EE4">
              <w:rPr>
                <w:rFonts w:eastAsia="Calibri"/>
                <w:bCs/>
                <w:i/>
                <w:sz w:val="16"/>
                <w:lang w:val="fr-FR"/>
              </w:rPr>
              <w:t>sources lumineuses à incandescence</w:t>
            </w:r>
            <w:r w:rsidRPr="00640EE4">
              <w:rPr>
                <w:rFonts w:eastAsia="Calibri"/>
                <w:i/>
                <w:sz w:val="16"/>
                <w:lang w:val="fr-FR"/>
              </w:rPr>
              <w:t xml:space="preserve"> figurant sur les procès-verbaux </w:t>
            </w:r>
          </w:p>
        </w:tc>
        <w:tc>
          <w:tcPr>
            <w:tcW w:w="1181" w:type="dxa"/>
            <w:shd w:val="clear" w:color="auto" w:fill="auto"/>
            <w:vAlign w:val="bottom"/>
          </w:tcPr>
          <w:p w:rsidR="00D31871" w:rsidRPr="00640EE4" w:rsidRDefault="00D31871" w:rsidP="00FD14E6">
            <w:pPr>
              <w:spacing w:before="80" w:after="80" w:line="200" w:lineRule="exact"/>
              <w:ind w:left="57" w:right="57"/>
              <w:rPr>
                <w:rFonts w:eastAsia="Calibri"/>
                <w:i/>
                <w:sz w:val="16"/>
                <w:lang w:val="fr-FR"/>
              </w:rPr>
            </w:pPr>
            <w:r w:rsidRPr="00640EE4">
              <w:rPr>
                <w:rFonts w:eastAsia="Calibri"/>
                <w:i/>
                <w:sz w:val="16"/>
                <w:lang w:val="fr-FR"/>
              </w:rPr>
              <w:t>Tolérance</w:t>
            </w:r>
          </w:p>
        </w:tc>
        <w:tc>
          <w:tcPr>
            <w:tcW w:w="1757" w:type="dxa"/>
            <w:shd w:val="clear" w:color="auto" w:fill="auto"/>
            <w:vAlign w:val="bottom"/>
          </w:tcPr>
          <w:p w:rsidR="00D31871" w:rsidRPr="00640EE4" w:rsidRDefault="00D31871" w:rsidP="00FD14E6">
            <w:pPr>
              <w:spacing w:before="80" w:after="80" w:line="200" w:lineRule="exact"/>
              <w:ind w:left="57" w:right="57"/>
              <w:rPr>
                <w:rFonts w:eastAsia="Calibri"/>
                <w:i/>
                <w:sz w:val="16"/>
                <w:lang w:val="fr-FR"/>
              </w:rPr>
            </w:pPr>
            <w:r w:rsidRPr="00640EE4">
              <w:rPr>
                <w:rFonts w:eastAsia="Calibri"/>
                <w:i/>
                <w:sz w:val="16"/>
                <w:lang w:val="fr-FR"/>
              </w:rPr>
              <w:t xml:space="preserve">Nombre des </w:t>
            </w:r>
            <w:r w:rsidRPr="00640EE4">
              <w:rPr>
                <w:rFonts w:eastAsia="Calibri"/>
                <w:bCs/>
                <w:i/>
                <w:sz w:val="16"/>
                <w:lang w:val="fr-FR"/>
              </w:rPr>
              <w:t>sources lumineuses à incandescence</w:t>
            </w:r>
            <w:r w:rsidRPr="00640EE4">
              <w:rPr>
                <w:rFonts w:eastAsia="Calibri"/>
                <w:i/>
                <w:sz w:val="16"/>
                <w:lang w:val="fr-FR"/>
              </w:rPr>
              <w:t xml:space="preserve"> figurant sur les procès-verbaux </w:t>
            </w:r>
          </w:p>
        </w:tc>
        <w:tc>
          <w:tcPr>
            <w:tcW w:w="1181" w:type="dxa"/>
            <w:shd w:val="clear" w:color="auto" w:fill="auto"/>
            <w:vAlign w:val="bottom"/>
          </w:tcPr>
          <w:p w:rsidR="00D31871" w:rsidRPr="00640EE4" w:rsidRDefault="00D31871" w:rsidP="00FD14E6">
            <w:pPr>
              <w:spacing w:before="80" w:after="80" w:line="200" w:lineRule="exact"/>
              <w:ind w:left="57" w:right="57"/>
              <w:rPr>
                <w:rFonts w:eastAsia="Calibri"/>
                <w:i/>
                <w:sz w:val="16"/>
                <w:lang w:val="fr-FR"/>
              </w:rPr>
            </w:pPr>
            <w:r w:rsidRPr="00640EE4">
              <w:rPr>
                <w:rFonts w:eastAsia="Calibri"/>
                <w:i/>
                <w:sz w:val="16"/>
                <w:lang w:val="fr-FR"/>
              </w:rPr>
              <w:t>Tolérance</w:t>
            </w:r>
          </w:p>
        </w:tc>
        <w:tc>
          <w:tcPr>
            <w:tcW w:w="1757" w:type="dxa"/>
            <w:shd w:val="clear" w:color="auto" w:fill="auto"/>
            <w:vAlign w:val="bottom"/>
          </w:tcPr>
          <w:p w:rsidR="00D31871" w:rsidRPr="00640EE4" w:rsidRDefault="00D31871" w:rsidP="00FD14E6">
            <w:pPr>
              <w:spacing w:before="80" w:after="80" w:line="200" w:lineRule="exact"/>
              <w:ind w:left="57" w:right="57"/>
              <w:rPr>
                <w:rFonts w:eastAsia="Calibri"/>
                <w:i/>
                <w:sz w:val="16"/>
                <w:lang w:val="fr-FR"/>
              </w:rPr>
            </w:pPr>
            <w:r w:rsidRPr="00640EE4">
              <w:rPr>
                <w:rFonts w:eastAsia="Calibri"/>
                <w:i/>
                <w:sz w:val="16"/>
                <w:lang w:val="fr-FR"/>
              </w:rPr>
              <w:t xml:space="preserve">Nombre des </w:t>
            </w:r>
            <w:r w:rsidRPr="00640EE4">
              <w:rPr>
                <w:rFonts w:eastAsia="Calibri"/>
                <w:bCs/>
                <w:i/>
                <w:sz w:val="16"/>
                <w:lang w:val="fr-FR"/>
              </w:rPr>
              <w:t>sources lumineuses à incandescence</w:t>
            </w:r>
            <w:r w:rsidRPr="00640EE4">
              <w:rPr>
                <w:rFonts w:eastAsia="Calibri"/>
                <w:i/>
                <w:sz w:val="16"/>
                <w:lang w:val="fr-FR"/>
              </w:rPr>
              <w:t xml:space="preserve"> figurant sur les procès-verbaux </w:t>
            </w:r>
          </w:p>
        </w:tc>
        <w:tc>
          <w:tcPr>
            <w:tcW w:w="1140" w:type="dxa"/>
            <w:shd w:val="clear" w:color="auto" w:fill="auto"/>
            <w:vAlign w:val="bottom"/>
          </w:tcPr>
          <w:p w:rsidR="00D31871" w:rsidRPr="00640EE4" w:rsidRDefault="00D31871" w:rsidP="00FD14E6">
            <w:pPr>
              <w:spacing w:before="80" w:after="80" w:line="200" w:lineRule="exact"/>
              <w:ind w:left="57" w:right="57"/>
              <w:rPr>
                <w:rFonts w:eastAsia="Calibri"/>
                <w:i/>
                <w:sz w:val="16"/>
                <w:lang w:val="fr-FR"/>
              </w:rPr>
            </w:pPr>
            <w:r w:rsidRPr="00640EE4">
              <w:rPr>
                <w:rFonts w:eastAsia="Calibri"/>
                <w:i/>
                <w:sz w:val="16"/>
                <w:lang w:val="fr-FR"/>
              </w:rPr>
              <w:t>Tolérance</w:t>
            </w:r>
          </w:p>
        </w:tc>
      </w:tr>
      <w:tr w:rsidR="00D31871" w:rsidRPr="00640EE4" w:rsidTr="00D31871">
        <w:tc>
          <w:tcPr>
            <w:tcW w:w="1757" w:type="dxa"/>
            <w:shd w:val="clear" w:color="auto" w:fill="auto"/>
          </w:tcPr>
          <w:p w:rsidR="00D31871" w:rsidRPr="00640EE4" w:rsidRDefault="00D31871" w:rsidP="00FD14E6">
            <w:pPr>
              <w:ind w:left="57" w:right="57"/>
              <w:rPr>
                <w:rFonts w:eastAsia="Calibri"/>
                <w:sz w:val="18"/>
                <w:szCs w:val="17"/>
                <w:lang w:val="fr-FR"/>
              </w:rPr>
            </w:pPr>
            <w:r w:rsidRPr="00640EE4">
              <w:rPr>
                <w:rFonts w:eastAsia="Calibri"/>
                <w:sz w:val="18"/>
                <w:lang w:val="fr-FR"/>
              </w:rPr>
              <w:t xml:space="preserve">      -</w:t>
            </w:r>
            <w:r w:rsidRPr="00640EE4">
              <w:rPr>
                <w:rFonts w:eastAsia="Calibri"/>
                <w:sz w:val="18"/>
                <w:szCs w:val="17"/>
                <w:lang w:val="fr-FR"/>
              </w:rPr>
              <w:t>200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201-213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214-227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228-240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241-254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255-268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269-281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282-295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296-308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309-322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323-336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337-349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350-363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364-376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377-390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391-404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405-417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418-431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432-444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445-458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459-472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473-485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486-499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500-512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513-526</w:t>
            </w:r>
          </w:p>
          <w:p w:rsidR="00D31871" w:rsidRPr="00640EE4" w:rsidRDefault="00D31871" w:rsidP="00FD14E6">
            <w:pPr>
              <w:ind w:left="57" w:right="57"/>
              <w:rPr>
                <w:rFonts w:eastAsia="Calibri"/>
                <w:sz w:val="18"/>
                <w:lang w:val="fr-FR"/>
              </w:rPr>
            </w:pPr>
            <w:r w:rsidRPr="00640EE4">
              <w:rPr>
                <w:rFonts w:eastAsia="Calibri"/>
                <w:sz w:val="18"/>
                <w:szCs w:val="17"/>
                <w:lang w:val="fr-FR"/>
              </w:rPr>
              <w:t>527-540</w:t>
            </w:r>
          </w:p>
        </w:tc>
        <w:tc>
          <w:tcPr>
            <w:tcW w:w="1181" w:type="dxa"/>
            <w:shd w:val="clear" w:color="auto" w:fill="auto"/>
            <w:vAlign w:val="bottom"/>
          </w:tcPr>
          <w:p w:rsidR="00D31871" w:rsidRPr="00640EE4" w:rsidRDefault="00D31871" w:rsidP="00FD14E6">
            <w:pPr>
              <w:ind w:left="57" w:right="57"/>
              <w:rPr>
                <w:rFonts w:eastAsia="Calibri"/>
                <w:sz w:val="18"/>
                <w:szCs w:val="17"/>
                <w:lang w:val="fr-FR"/>
              </w:rPr>
            </w:pPr>
            <w:r w:rsidRPr="00640EE4">
              <w:rPr>
                <w:rFonts w:eastAsia="Calibri"/>
                <w:sz w:val="18"/>
                <w:szCs w:val="17"/>
                <w:lang w:val="fr-FR"/>
              </w:rPr>
              <w:t>21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29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39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46</w:t>
            </w:r>
          </w:p>
        </w:tc>
        <w:tc>
          <w:tcPr>
            <w:tcW w:w="1757" w:type="dxa"/>
            <w:shd w:val="clear" w:color="auto" w:fill="auto"/>
            <w:vAlign w:val="bottom"/>
          </w:tcPr>
          <w:p w:rsidR="00D31871" w:rsidRPr="00640EE4" w:rsidRDefault="00D31871" w:rsidP="00FD14E6">
            <w:pPr>
              <w:ind w:left="57" w:right="57"/>
              <w:rPr>
                <w:rFonts w:eastAsia="Calibri"/>
                <w:sz w:val="18"/>
                <w:szCs w:val="17"/>
                <w:lang w:val="fr-FR"/>
              </w:rPr>
            </w:pPr>
            <w:r w:rsidRPr="00640EE4">
              <w:rPr>
                <w:rFonts w:eastAsia="Calibri"/>
                <w:sz w:val="18"/>
                <w:szCs w:val="17"/>
                <w:lang w:val="fr-FR"/>
              </w:rPr>
              <w:t>541-553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554-567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568-580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581-594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595-608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609-621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622-635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636-648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649-662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663-676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677-689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690-703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704-716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717-730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731-744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745-757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758-771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772-784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785-798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799-812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813-825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826-839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840-852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853-866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867-880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881-893</w:t>
            </w:r>
          </w:p>
        </w:tc>
        <w:tc>
          <w:tcPr>
            <w:tcW w:w="1181" w:type="dxa"/>
            <w:shd w:val="clear" w:color="auto" w:fill="auto"/>
            <w:vAlign w:val="bottom"/>
          </w:tcPr>
          <w:p w:rsidR="00D31871" w:rsidRPr="00640EE4" w:rsidRDefault="00D31871" w:rsidP="00FD14E6">
            <w:pPr>
              <w:ind w:left="57" w:right="57"/>
              <w:rPr>
                <w:rFonts w:eastAsia="Calibri"/>
                <w:sz w:val="18"/>
                <w:szCs w:val="17"/>
                <w:lang w:val="fr-FR"/>
              </w:rPr>
            </w:pPr>
            <w:r w:rsidRPr="00640EE4">
              <w:rPr>
                <w:rFonts w:eastAsia="Calibri"/>
                <w:sz w:val="18"/>
                <w:szCs w:val="17"/>
                <w:lang w:val="fr-FR"/>
              </w:rPr>
              <w:t>47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49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59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69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72</w:t>
            </w:r>
          </w:p>
        </w:tc>
        <w:tc>
          <w:tcPr>
            <w:tcW w:w="1757" w:type="dxa"/>
            <w:shd w:val="clear" w:color="auto" w:fill="auto"/>
            <w:vAlign w:val="bottom"/>
          </w:tcPr>
          <w:p w:rsidR="00D31871" w:rsidRPr="00640EE4" w:rsidRDefault="00D31871" w:rsidP="00FD14E6">
            <w:pPr>
              <w:ind w:left="57" w:right="57"/>
              <w:rPr>
                <w:rFonts w:eastAsia="Calibri"/>
                <w:sz w:val="18"/>
                <w:szCs w:val="17"/>
                <w:lang w:val="fr-FR"/>
              </w:rPr>
            </w:pPr>
            <w:r w:rsidRPr="00640EE4">
              <w:rPr>
                <w:rFonts w:eastAsia="Calibri"/>
                <w:sz w:val="18"/>
                <w:szCs w:val="17"/>
                <w:lang w:val="fr-FR"/>
              </w:rPr>
              <w:t>894-907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908-920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921-934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935-948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949-961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962-975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976-988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989-1 002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1 003-1 016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1 017-1 029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1 030-1 043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1 044-1 056</w:t>
            </w:r>
          </w:p>
          <w:p w:rsidR="00D31871" w:rsidRPr="00640EE4" w:rsidRDefault="00D31871" w:rsidP="00FD14E6">
            <w:pPr>
              <w:spacing w:before="40" w:after="40" w:line="220" w:lineRule="exact"/>
              <w:ind w:left="57" w:right="57"/>
              <w:rPr>
                <w:rFonts w:eastAsia="Calibri"/>
                <w:sz w:val="18"/>
                <w:szCs w:val="17"/>
                <w:lang w:val="fr-FR"/>
              </w:rPr>
            </w:pPr>
            <w:r w:rsidRPr="00640EE4">
              <w:rPr>
                <w:rFonts w:eastAsia="Calibri"/>
                <w:sz w:val="18"/>
                <w:szCs w:val="17"/>
                <w:lang w:val="fr-FR"/>
              </w:rPr>
              <w:t>1 057-1 070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1 071-1 084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1 085-1 097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1 098-1 111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1 112-1 124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1 125-1 138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1 139-1 152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1 153-1 165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1 166-1 179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1 180-1 192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1 193-1 206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1 207-1 220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1 221-1 233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1 234-1 249</w:t>
            </w:r>
          </w:p>
        </w:tc>
        <w:tc>
          <w:tcPr>
            <w:tcW w:w="1140" w:type="dxa"/>
            <w:shd w:val="clear" w:color="auto" w:fill="auto"/>
            <w:vAlign w:val="bottom"/>
          </w:tcPr>
          <w:p w:rsidR="00D31871" w:rsidRPr="00640EE4" w:rsidRDefault="00D31871" w:rsidP="00FD14E6">
            <w:pPr>
              <w:ind w:left="57" w:right="57"/>
              <w:rPr>
                <w:rFonts w:eastAsia="Calibri"/>
                <w:sz w:val="18"/>
                <w:szCs w:val="17"/>
                <w:lang w:val="fr-FR"/>
              </w:rPr>
            </w:pPr>
            <w:r w:rsidRPr="00640EE4">
              <w:rPr>
                <w:rFonts w:eastAsia="Calibri"/>
                <w:sz w:val="18"/>
                <w:szCs w:val="17"/>
                <w:lang w:val="fr-FR"/>
              </w:rPr>
              <w:t>73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79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88</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89</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90</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91</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92</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93</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94</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95</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96</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97</w:t>
            </w:r>
          </w:p>
          <w:p w:rsidR="00D31871" w:rsidRPr="00640EE4" w:rsidRDefault="00D31871" w:rsidP="00FD14E6">
            <w:pPr>
              <w:ind w:left="57" w:right="57"/>
              <w:rPr>
                <w:rFonts w:eastAsia="Calibri"/>
                <w:sz w:val="18"/>
                <w:szCs w:val="17"/>
                <w:lang w:val="fr-FR"/>
              </w:rPr>
            </w:pPr>
            <w:r w:rsidRPr="00640EE4">
              <w:rPr>
                <w:rFonts w:eastAsia="Calibri"/>
                <w:sz w:val="18"/>
                <w:szCs w:val="17"/>
                <w:lang w:val="fr-FR"/>
              </w:rPr>
              <w:t>98</w:t>
            </w:r>
          </w:p>
        </w:tc>
      </w:tr>
    </w:tbl>
    <w:p w:rsidR="00D31871" w:rsidRPr="00640EE4" w:rsidRDefault="00D31871" w:rsidP="00D31871">
      <w:pPr>
        <w:rPr>
          <w:rFonts w:eastAsia="Calibri"/>
          <w:lang w:val="fr-FR"/>
        </w:rPr>
      </w:pPr>
    </w:p>
    <w:p w:rsidR="00D31871" w:rsidRPr="00640EE4" w:rsidRDefault="00D31871" w:rsidP="00C075EB">
      <w:pPr>
        <w:pStyle w:val="SingleTxtG"/>
        <w:ind w:firstLine="567"/>
      </w:pPr>
      <w:r w:rsidRPr="00640EE4">
        <w:br w:type="page"/>
        <w:t>Les tolérances (en pourcentage des résultats) sont énumérées au tableau 4 en fonction du nombre de résultats d’essai pour chaque groupe de caractéristiques en supposant une probabilité d’acceptation d’au moins 0,95.</w:t>
      </w:r>
    </w:p>
    <w:p w:rsidR="00D31871" w:rsidRPr="00C075EB" w:rsidRDefault="00D31871" w:rsidP="00C075EB">
      <w:pPr>
        <w:pStyle w:val="Heading1"/>
        <w:spacing w:before="240" w:after="120" w:line="240" w:lineRule="exact"/>
        <w:rPr>
          <w:b/>
          <w:lang w:val="fr-FR"/>
        </w:rPr>
      </w:pPr>
      <w:r w:rsidRPr="00C075EB">
        <w:rPr>
          <w:b/>
          <w:lang w:val="fr-FR"/>
        </w:rPr>
        <w:t>Tableau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D31871" w:rsidRPr="00640EE4" w:rsidTr="00D31871">
        <w:trPr>
          <w:trHeight w:val="432"/>
          <w:tblHeader/>
        </w:trPr>
        <w:tc>
          <w:tcPr>
            <w:tcW w:w="2456" w:type="dxa"/>
            <w:vMerge w:val="restart"/>
            <w:shd w:val="clear" w:color="auto" w:fill="auto"/>
            <w:vAlign w:val="bottom"/>
          </w:tcPr>
          <w:p w:rsidR="00D31871" w:rsidRPr="00640EE4" w:rsidRDefault="00D31871" w:rsidP="0021538E">
            <w:pPr>
              <w:spacing w:before="80" w:after="80" w:line="200" w:lineRule="exact"/>
              <w:ind w:left="57" w:right="57"/>
              <w:rPr>
                <w:rFonts w:eastAsia="Calibri"/>
                <w:i/>
                <w:sz w:val="16"/>
                <w:lang w:val="fr-FR"/>
              </w:rPr>
            </w:pPr>
            <w:r w:rsidRPr="00640EE4">
              <w:rPr>
                <w:rFonts w:eastAsia="Calibri"/>
                <w:i/>
                <w:sz w:val="16"/>
                <w:lang w:val="fr-FR"/>
              </w:rPr>
              <w:t xml:space="preserve">Nombre de résultats d’essai </w:t>
            </w:r>
            <w:r w:rsidRPr="00640EE4">
              <w:rPr>
                <w:rFonts w:eastAsia="Calibri"/>
                <w:i/>
                <w:sz w:val="16"/>
                <w:lang w:val="fr-FR"/>
              </w:rPr>
              <w:br/>
              <w:t>pour chaque caractéristique</w:t>
            </w:r>
          </w:p>
        </w:tc>
        <w:tc>
          <w:tcPr>
            <w:tcW w:w="4914" w:type="dxa"/>
            <w:gridSpan w:val="2"/>
            <w:shd w:val="clear" w:color="auto" w:fill="auto"/>
            <w:vAlign w:val="bottom"/>
          </w:tcPr>
          <w:p w:rsidR="00D31871" w:rsidRPr="00640EE4" w:rsidRDefault="00D31871" w:rsidP="0021538E">
            <w:pPr>
              <w:spacing w:before="80" w:after="80" w:line="200" w:lineRule="exact"/>
              <w:ind w:left="57" w:right="57"/>
              <w:jc w:val="center"/>
              <w:rPr>
                <w:rFonts w:eastAsia="Calibri"/>
                <w:i/>
                <w:sz w:val="16"/>
                <w:lang w:val="fr-FR"/>
              </w:rPr>
            </w:pPr>
            <w:r w:rsidRPr="00640EE4">
              <w:rPr>
                <w:rFonts w:eastAsia="Calibri"/>
                <w:i/>
                <w:sz w:val="16"/>
                <w:lang w:val="fr-FR"/>
              </w:rPr>
              <w:t>Tolérances indiquées en pourcentage des résultats</w:t>
            </w:r>
          </w:p>
        </w:tc>
      </w:tr>
      <w:tr w:rsidR="00D31871" w:rsidRPr="00640EE4" w:rsidTr="00D31871">
        <w:trPr>
          <w:trHeight w:val="432"/>
          <w:tblHeader/>
        </w:trPr>
        <w:tc>
          <w:tcPr>
            <w:tcW w:w="2456" w:type="dxa"/>
            <w:vMerge/>
            <w:shd w:val="clear" w:color="auto" w:fill="auto"/>
            <w:vAlign w:val="bottom"/>
          </w:tcPr>
          <w:p w:rsidR="00D31871" w:rsidRPr="00640EE4" w:rsidRDefault="00D31871" w:rsidP="0021538E">
            <w:pPr>
              <w:spacing w:before="80" w:after="80" w:line="200" w:lineRule="exact"/>
              <w:ind w:left="57" w:right="57"/>
              <w:rPr>
                <w:rFonts w:eastAsia="Calibri"/>
                <w:i/>
                <w:sz w:val="16"/>
                <w:lang w:val="fr-FR"/>
              </w:rPr>
            </w:pPr>
          </w:p>
        </w:tc>
        <w:tc>
          <w:tcPr>
            <w:tcW w:w="2457" w:type="dxa"/>
            <w:shd w:val="clear" w:color="auto" w:fill="auto"/>
            <w:vAlign w:val="bottom"/>
          </w:tcPr>
          <w:p w:rsidR="00D31871" w:rsidRPr="00640EE4" w:rsidRDefault="00D31871" w:rsidP="0021538E">
            <w:pPr>
              <w:spacing w:before="80" w:after="80" w:line="200" w:lineRule="exact"/>
              <w:ind w:left="57" w:right="57"/>
              <w:jc w:val="right"/>
              <w:rPr>
                <w:rFonts w:eastAsia="Calibri"/>
                <w:i/>
                <w:sz w:val="16"/>
                <w:lang w:val="fr-FR"/>
              </w:rPr>
            </w:pPr>
            <w:r w:rsidRPr="00640EE4">
              <w:rPr>
                <w:rFonts w:eastAsia="Calibri"/>
                <w:i/>
                <w:sz w:val="16"/>
                <w:lang w:val="fr-FR"/>
              </w:rPr>
              <w:t xml:space="preserve">Niveau acceptable de 1 % </w:t>
            </w:r>
            <w:r w:rsidRPr="00640EE4">
              <w:rPr>
                <w:rFonts w:eastAsia="Calibri"/>
                <w:i/>
                <w:sz w:val="16"/>
                <w:lang w:val="fr-FR"/>
              </w:rPr>
              <w:br/>
              <w:t>de résultats non conformes</w:t>
            </w:r>
          </w:p>
        </w:tc>
        <w:tc>
          <w:tcPr>
            <w:tcW w:w="2457" w:type="dxa"/>
            <w:shd w:val="clear" w:color="auto" w:fill="auto"/>
            <w:vAlign w:val="bottom"/>
          </w:tcPr>
          <w:p w:rsidR="00D31871" w:rsidRPr="00640EE4" w:rsidRDefault="00D31871" w:rsidP="0021538E">
            <w:pPr>
              <w:spacing w:before="80" w:after="80" w:line="200" w:lineRule="exact"/>
              <w:ind w:left="57" w:right="57"/>
              <w:jc w:val="right"/>
              <w:rPr>
                <w:rFonts w:eastAsia="Calibri"/>
                <w:i/>
                <w:sz w:val="16"/>
                <w:lang w:val="fr-FR"/>
              </w:rPr>
            </w:pPr>
            <w:r w:rsidRPr="00640EE4">
              <w:rPr>
                <w:rFonts w:eastAsia="Calibri"/>
                <w:i/>
                <w:sz w:val="16"/>
                <w:lang w:val="fr-FR"/>
              </w:rPr>
              <w:t xml:space="preserve">Niveau acceptable de 6,5 % </w:t>
            </w:r>
            <w:r w:rsidRPr="00640EE4">
              <w:rPr>
                <w:rFonts w:eastAsia="Calibri"/>
                <w:i/>
                <w:sz w:val="16"/>
                <w:lang w:val="fr-FR"/>
              </w:rPr>
              <w:br/>
              <w:t>de résultats non conformes</w:t>
            </w:r>
          </w:p>
        </w:tc>
      </w:tr>
      <w:tr w:rsidR="00D31871" w:rsidRPr="00640EE4" w:rsidTr="00D31871">
        <w:tc>
          <w:tcPr>
            <w:tcW w:w="2456" w:type="dxa"/>
            <w:shd w:val="clear" w:color="auto" w:fill="auto"/>
          </w:tcPr>
          <w:p w:rsidR="00D31871" w:rsidRPr="00640EE4" w:rsidRDefault="00C075EB" w:rsidP="0021538E">
            <w:pPr>
              <w:spacing w:before="40" w:after="40" w:line="220" w:lineRule="exact"/>
              <w:ind w:left="57" w:right="57"/>
              <w:rPr>
                <w:rFonts w:eastAsia="Calibri"/>
                <w:sz w:val="18"/>
                <w:lang w:val="fr-FR"/>
              </w:rPr>
            </w:pPr>
            <w:r>
              <w:rPr>
                <w:rFonts w:eastAsia="Calibri"/>
                <w:sz w:val="18"/>
                <w:lang w:val="fr-FR"/>
              </w:rPr>
              <w:t>1 </w:t>
            </w:r>
            <w:r w:rsidR="00D31871" w:rsidRPr="00640EE4">
              <w:rPr>
                <w:rFonts w:eastAsia="Calibri"/>
                <w:sz w:val="18"/>
                <w:lang w:val="fr-FR"/>
              </w:rPr>
              <w:t>250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1,68</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7,91</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2</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1,52</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7,61</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4</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1,37</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7,29</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6</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1,30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7,15</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8</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1,26</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7,06</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10</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1,23</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7,00</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20</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1,16</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6,85</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40</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1,12</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6,75</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80</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1,09</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6,68</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100</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1,08</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6,65</w:t>
            </w:r>
          </w:p>
        </w:tc>
      </w:tr>
      <w:tr w:rsidR="00D31871" w:rsidRPr="00640EE4" w:rsidTr="00D31871">
        <w:tc>
          <w:tcPr>
            <w:tcW w:w="2456"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1</w:t>
            </w:r>
            <w:r w:rsidR="00C075EB">
              <w:rPr>
                <w:rFonts w:eastAsia="Calibri"/>
                <w:sz w:val="18"/>
                <w:lang w:val="fr-FR"/>
              </w:rPr>
              <w:t> </w:t>
            </w:r>
            <w:r w:rsidRPr="00640EE4">
              <w:rPr>
                <w:rFonts w:eastAsia="Calibri"/>
                <w:sz w:val="18"/>
                <w:lang w:val="fr-FR"/>
              </w:rPr>
              <w:t>000</w:t>
            </w:r>
            <w:r w:rsidR="00C075EB">
              <w:rPr>
                <w:rFonts w:eastAsia="Calibri"/>
                <w:sz w:val="18"/>
                <w:lang w:val="fr-FR"/>
              </w:rPr>
              <w:t> </w:t>
            </w:r>
            <w:r w:rsidRPr="00640EE4">
              <w:rPr>
                <w:rFonts w:eastAsia="Calibri"/>
                <w:sz w:val="18"/>
                <w:lang w:val="fr-FR"/>
              </w:rPr>
              <w:t>000</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1,02</w:t>
            </w:r>
          </w:p>
        </w:tc>
        <w:tc>
          <w:tcPr>
            <w:tcW w:w="2457"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6,55</w:t>
            </w:r>
          </w:p>
        </w:tc>
      </w:tr>
    </w:tbl>
    <w:p w:rsidR="00D31871" w:rsidRPr="00640EE4" w:rsidRDefault="00D31871" w:rsidP="00D31871">
      <w:pPr>
        <w:rPr>
          <w:rFonts w:eastAsia="Calibri"/>
          <w:lang w:val="fr-FR"/>
        </w:rPr>
      </w:pPr>
    </w:p>
    <w:p w:rsidR="00D31871" w:rsidRPr="00640EE4" w:rsidRDefault="00D31871" w:rsidP="000C3A2C">
      <w:pPr>
        <w:pStyle w:val="HChG"/>
        <w:rPr>
          <w:lang w:val="fr-FR"/>
        </w:rPr>
      </w:pPr>
      <w:r w:rsidRPr="00640EE4">
        <w:rPr>
          <w:lang w:val="fr-FR"/>
        </w:rPr>
        <w:br w:type="page"/>
        <w:t>Annexe 8</w:t>
      </w:r>
    </w:p>
    <w:p w:rsidR="00D31871" w:rsidRPr="00640EE4" w:rsidRDefault="00D31871" w:rsidP="000C3A2C">
      <w:pPr>
        <w:pStyle w:val="HChG"/>
        <w:rPr>
          <w:lang w:val="fr-FR"/>
        </w:rPr>
      </w:pPr>
      <w:r w:rsidRPr="00640EE4">
        <w:rPr>
          <w:lang w:val="fr-FR"/>
        </w:rPr>
        <w:tab/>
      </w:r>
      <w:r w:rsidRPr="00640EE4">
        <w:rPr>
          <w:lang w:val="fr-FR"/>
        </w:rPr>
        <w:tab/>
        <w:t xml:space="preserve">Prescriptions minimales concernant les contrôles </w:t>
      </w:r>
      <w:r w:rsidRPr="00640EE4">
        <w:rPr>
          <w:lang w:val="fr-FR"/>
        </w:rPr>
        <w:br/>
        <w:t xml:space="preserve">par sondage effectués par l’autorité d’homologation </w:t>
      </w:r>
      <w:r w:rsidRPr="00640EE4">
        <w:rPr>
          <w:lang w:val="fr-FR"/>
        </w:rPr>
        <w:br/>
        <w:t>de type</w:t>
      </w:r>
    </w:p>
    <w:p w:rsidR="00D31871" w:rsidRPr="00640EE4" w:rsidRDefault="00D31871" w:rsidP="000C3A2C">
      <w:pPr>
        <w:pStyle w:val="SingleTxtG"/>
        <w:ind w:left="2268" w:hanging="1134"/>
        <w:rPr>
          <w:rFonts w:eastAsia="Calibri"/>
          <w:snapToGrid w:val="0"/>
          <w:szCs w:val="24"/>
          <w:lang w:val="fr-FR"/>
        </w:rPr>
      </w:pPr>
      <w:r w:rsidRPr="00640EE4">
        <w:rPr>
          <w:rFonts w:eastAsia="Calibri"/>
          <w:snapToGrid w:val="0"/>
          <w:szCs w:val="24"/>
          <w:lang w:val="fr-FR"/>
        </w:rPr>
        <w:t>1.</w:t>
      </w:r>
      <w:r w:rsidRPr="00640EE4">
        <w:rPr>
          <w:rFonts w:eastAsia="Calibri"/>
          <w:snapToGrid w:val="0"/>
          <w:szCs w:val="24"/>
          <w:lang w:val="fr-FR"/>
        </w:rPr>
        <w:tab/>
        <w:t>Généralités</w:t>
      </w:r>
    </w:p>
    <w:p w:rsidR="00D31871" w:rsidRPr="00640EE4" w:rsidRDefault="00D31871" w:rsidP="000C3A2C">
      <w:pPr>
        <w:pStyle w:val="SingleTxtG"/>
        <w:ind w:left="2268"/>
        <w:rPr>
          <w:rFonts w:eastAsia="Calibri"/>
          <w:snapToGrid w:val="0"/>
          <w:lang w:val="fr-FR"/>
        </w:rPr>
      </w:pPr>
      <w:r w:rsidRPr="00640EE4">
        <w:rPr>
          <w:rFonts w:eastAsia="Calibri"/>
          <w:snapToGrid w:val="0"/>
          <w:lang w:val="fr-FR"/>
        </w:rPr>
        <w:t xml:space="preserve">Les prescriptions relatives à la conformité doivent être considérées comme satisfaites du point de vue </w:t>
      </w:r>
      <w:r w:rsidRPr="000C3A2C">
        <w:rPr>
          <w:rFonts w:eastAsia="Times New Roman"/>
          <w:snapToGrid w:val="0"/>
          <w:lang w:val="fr-FR"/>
        </w:rPr>
        <w:t>photométrique</w:t>
      </w:r>
      <w:r w:rsidRPr="00640EE4">
        <w:rPr>
          <w:rFonts w:eastAsia="Calibri"/>
          <w:snapToGrid w:val="0"/>
          <w:lang w:val="fr-FR"/>
        </w:rPr>
        <w:t xml:space="preserve">, géométrique, visuel et électrique si les tolérances spécifiées pour les </w:t>
      </w:r>
      <w:r w:rsidRPr="00640EE4">
        <w:rPr>
          <w:rFonts w:eastAsia="Calibri"/>
          <w:lang w:val="fr-FR"/>
        </w:rPr>
        <w:t xml:space="preserve">sources lumineuses </w:t>
      </w:r>
      <w:r w:rsidRPr="00640EE4">
        <w:rPr>
          <w:rFonts w:eastAsia="Calibri"/>
          <w:snapToGrid w:val="0"/>
          <w:lang w:val="fr-FR"/>
        </w:rPr>
        <w:t>à incandescence de série sur la feuille de données correspondantes de l’annexe 1 et sur la feuille contenant les caractéristiques des culots sont respectées.</w:t>
      </w:r>
    </w:p>
    <w:p w:rsidR="00D31871" w:rsidRPr="00640EE4" w:rsidRDefault="00D31871" w:rsidP="000C3A2C">
      <w:pPr>
        <w:pStyle w:val="SingleTxtG"/>
        <w:ind w:left="2268" w:hanging="1134"/>
        <w:rPr>
          <w:rFonts w:eastAsia="Calibri"/>
          <w:snapToGrid w:val="0"/>
          <w:szCs w:val="24"/>
          <w:lang w:val="fr-FR"/>
        </w:rPr>
      </w:pPr>
      <w:r w:rsidRPr="00640EE4">
        <w:rPr>
          <w:rFonts w:eastAsia="Calibri"/>
          <w:snapToGrid w:val="0"/>
          <w:szCs w:val="24"/>
          <w:lang w:val="fr-FR"/>
        </w:rPr>
        <w:t>2.</w:t>
      </w:r>
      <w:r w:rsidRPr="00640EE4">
        <w:rPr>
          <w:rFonts w:eastAsia="Calibri"/>
          <w:snapToGrid w:val="0"/>
          <w:szCs w:val="24"/>
          <w:lang w:val="fr-FR"/>
        </w:rPr>
        <w:tab/>
        <w:t xml:space="preserve">La conformité des </w:t>
      </w:r>
      <w:r w:rsidRPr="00640EE4">
        <w:rPr>
          <w:rFonts w:eastAsia="Calibri"/>
          <w:szCs w:val="24"/>
          <w:lang w:val="fr-FR"/>
        </w:rPr>
        <w:t xml:space="preserve">sources lumineuses </w:t>
      </w:r>
      <w:r w:rsidRPr="00640EE4">
        <w:rPr>
          <w:rFonts w:eastAsia="Calibri"/>
          <w:snapToGrid w:val="0"/>
          <w:szCs w:val="24"/>
          <w:lang w:val="fr-FR"/>
        </w:rPr>
        <w:t>à incandescence de grande série ne doit pas être contestée si les résultats sont conformes à l’annexe 9 du présent Règlement</w:t>
      </w:r>
      <w:r w:rsidR="0021538E">
        <w:rPr>
          <w:rFonts w:eastAsia="Calibri"/>
          <w:snapToGrid w:val="0"/>
          <w:szCs w:val="24"/>
          <w:lang w:val="fr-FR"/>
        </w:rPr>
        <w:t>.</w:t>
      </w:r>
    </w:p>
    <w:p w:rsidR="00D31871" w:rsidRPr="00640EE4" w:rsidRDefault="00D31871" w:rsidP="000C3A2C">
      <w:pPr>
        <w:pStyle w:val="SingleTxtG"/>
        <w:ind w:left="2268" w:hanging="1134"/>
        <w:rPr>
          <w:rFonts w:eastAsia="Calibri"/>
          <w:snapToGrid w:val="0"/>
          <w:szCs w:val="24"/>
          <w:lang w:val="fr-FR"/>
        </w:rPr>
      </w:pPr>
      <w:r w:rsidRPr="00640EE4">
        <w:rPr>
          <w:rFonts w:eastAsia="Calibri"/>
          <w:snapToGrid w:val="0"/>
          <w:szCs w:val="24"/>
          <w:lang w:val="fr-FR"/>
        </w:rPr>
        <w:t>3.</w:t>
      </w:r>
      <w:r w:rsidRPr="00640EE4">
        <w:rPr>
          <w:rFonts w:eastAsia="Calibri"/>
          <w:snapToGrid w:val="0"/>
          <w:szCs w:val="24"/>
          <w:lang w:val="fr-FR"/>
        </w:rPr>
        <w:tab/>
        <w:t xml:space="preserve">La conformité des </w:t>
      </w:r>
      <w:r w:rsidRPr="00640EE4">
        <w:rPr>
          <w:rFonts w:eastAsia="Calibri"/>
          <w:szCs w:val="24"/>
          <w:lang w:val="fr-FR"/>
        </w:rPr>
        <w:t xml:space="preserve">sources lumineuses </w:t>
      </w:r>
      <w:r w:rsidRPr="00640EE4">
        <w:rPr>
          <w:rFonts w:eastAsia="Calibri"/>
          <w:snapToGrid w:val="0"/>
          <w:szCs w:val="24"/>
          <w:lang w:val="fr-FR"/>
        </w:rPr>
        <w:t>doit être contestée et il convient de demander au fabricant de rendre sa production conforme aux prescriptions si les résultats ne satisfont pas à l’annexe 9 du présent Règlement.</w:t>
      </w:r>
    </w:p>
    <w:p w:rsidR="00D31871" w:rsidRPr="00640EE4" w:rsidRDefault="00D31871" w:rsidP="000C3A2C">
      <w:pPr>
        <w:pStyle w:val="SingleTxtG"/>
        <w:ind w:left="2268" w:hanging="1134"/>
        <w:rPr>
          <w:rFonts w:eastAsia="Calibri"/>
          <w:snapToGrid w:val="0"/>
          <w:szCs w:val="24"/>
          <w:lang w:val="fr-FR"/>
        </w:rPr>
      </w:pPr>
      <w:r w:rsidRPr="00640EE4">
        <w:rPr>
          <w:rFonts w:eastAsia="Calibri"/>
          <w:snapToGrid w:val="0"/>
          <w:szCs w:val="24"/>
          <w:lang w:val="fr-FR"/>
        </w:rPr>
        <w:t>4.</w:t>
      </w:r>
      <w:r w:rsidRPr="00640EE4">
        <w:rPr>
          <w:rFonts w:eastAsia="Calibri"/>
          <w:snapToGrid w:val="0"/>
          <w:szCs w:val="24"/>
          <w:lang w:val="fr-FR"/>
        </w:rPr>
        <w:tab/>
        <w:t xml:space="preserve">En cas d’application du paragraphe 3 de la présente annexe, il convient de prélever, dans un délai de deux mois, un nouvel échantillon de 250 </w:t>
      </w:r>
      <w:r w:rsidRPr="00640EE4">
        <w:rPr>
          <w:rFonts w:eastAsia="Calibri"/>
          <w:szCs w:val="24"/>
          <w:lang w:val="fr-FR"/>
        </w:rPr>
        <w:t xml:space="preserve">sources lumineuses </w:t>
      </w:r>
      <w:r w:rsidRPr="00640EE4">
        <w:rPr>
          <w:rFonts w:eastAsia="Calibri"/>
          <w:snapToGrid w:val="0"/>
          <w:szCs w:val="24"/>
          <w:lang w:val="fr-FR"/>
        </w:rPr>
        <w:t>à incandescence prises au hasard dans une série de fabrication récente.</w:t>
      </w:r>
    </w:p>
    <w:p w:rsidR="00D31871" w:rsidRPr="00640EE4" w:rsidRDefault="00D31871" w:rsidP="000C3A2C">
      <w:pPr>
        <w:pStyle w:val="HChG"/>
        <w:rPr>
          <w:lang w:val="fr-FR"/>
        </w:rPr>
      </w:pPr>
      <w:r w:rsidRPr="00640EE4">
        <w:rPr>
          <w:lang w:val="fr-FR"/>
        </w:rPr>
        <w:br w:type="page"/>
        <w:t>Annexe 9</w:t>
      </w:r>
    </w:p>
    <w:p w:rsidR="00D31871" w:rsidRPr="00640EE4" w:rsidRDefault="00D31871" w:rsidP="000C3A2C">
      <w:pPr>
        <w:pStyle w:val="HChG"/>
        <w:rPr>
          <w:lang w:val="fr-FR"/>
        </w:rPr>
      </w:pPr>
      <w:r w:rsidRPr="00640EE4">
        <w:rPr>
          <w:lang w:val="fr-FR"/>
        </w:rPr>
        <w:tab/>
      </w:r>
      <w:r w:rsidRPr="00640EE4">
        <w:rPr>
          <w:lang w:val="fr-FR"/>
        </w:rPr>
        <w:tab/>
        <w:t xml:space="preserve">Vérification de la conformité de la production </w:t>
      </w:r>
      <w:r w:rsidRPr="00640EE4">
        <w:rPr>
          <w:lang w:val="fr-FR"/>
        </w:rPr>
        <w:br/>
        <w:t>par des contrôles inopinés</w:t>
      </w:r>
    </w:p>
    <w:p w:rsidR="00D31871" w:rsidRPr="00640EE4" w:rsidRDefault="00D31871" w:rsidP="000C3A2C">
      <w:pPr>
        <w:pStyle w:val="SingleTxtG"/>
        <w:ind w:firstLine="567"/>
        <w:rPr>
          <w:snapToGrid w:val="0"/>
          <w:lang w:val="fr-FR"/>
        </w:rPr>
      </w:pPr>
      <w:r w:rsidRPr="00640EE4">
        <w:rPr>
          <w:snapToGrid w:val="0"/>
          <w:lang w:val="fr-FR"/>
        </w:rPr>
        <w:t xml:space="preserve">La conformité de la production doit être vérifiée d’après les valeurs indiquées au tableau 1. Pour chaque groupe de caractéristiques, les </w:t>
      </w:r>
      <w:r w:rsidRPr="00640EE4">
        <w:rPr>
          <w:lang w:val="fr-FR"/>
        </w:rPr>
        <w:t xml:space="preserve">sources lumineuses </w:t>
      </w:r>
      <w:r w:rsidRPr="00640EE4">
        <w:rPr>
          <w:snapToGrid w:val="0"/>
          <w:lang w:val="fr-FR"/>
        </w:rPr>
        <w:t>à incandescence doivent être acceptées ou rejetées conformément aux valeurs indiquées au tableau 1*.</w:t>
      </w:r>
    </w:p>
    <w:p w:rsidR="00D31871" w:rsidRPr="000C3A2C" w:rsidRDefault="00D31871" w:rsidP="000C3A2C">
      <w:pPr>
        <w:pStyle w:val="Heading1"/>
        <w:spacing w:before="240" w:after="120" w:line="240" w:lineRule="exact"/>
        <w:rPr>
          <w:b/>
          <w:lang w:val="fr-FR"/>
        </w:rPr>
      </w:pPr>
      <w:r w:rsidRPr="000C3A2C">
        <w:rPr>
          <w:b/>
          <w:lang w:val="fr-FR"/>
        </w:rPr>
        <w:t>Tableau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1271"/>
        <w:gridCol w:w="851"/>
        <w:gridCol w:w="990"/>
        <w:gridCol w:w="851"/>
      </w:tblGrid>
      <w:tr w:rsidR="00D31871" w:rsidRPr="00640EE4" w:rsidTr="00D31871">
        <w:trPr>
          <w:tblHeader/>
        </w:trPr>
        <w:tc>
          <w:tcPr>
            <w:tcW w:w="3407" w:type="dxa"/>
            <w:vMerge w:val="restart"/>
            <w:shd w:val="clear" w:color="auto" w:fill="auto"/>
            <w:vAlign w:val="bottom"/>
          </w:tcPr>
          <w:p w:rsidR="00D31871" w:rsidRPr="00640EE4" w:rsidRDefault="00D31871" w:rsidP="0021538E">
            <w:pPr>
              <w:spacing w:before="80" w:after="80" w:line="200" w:lineRule="exact"/>
              <w:ind w:left="57" w:right="57"/>
              <w:rPr>
                <w:rFonts w:eastAsia="Calibri"/>
                <w:i/>
                <w:sz w:val="16"/>
                <w:lang w:val="fr-FR"/>
              </w:rPr>
            </w:pPr>
          </w:p>
        </w:tc>
        <w:tc>
          <w:tcPr>
            <w:tcW w:w="2122" w:type="dxa"/>
            <w:gridSpan w:val="2"/>
            <w:shd w:val="clear" w:color="auto" w:fill="auto"/>
            <w:vAlign w:val="bottom"/>
          </w:tcPr>
          <w:p w:rsidR="00D31871" w:rsidRPr="00640EE4" w:rsidRDefault="00D31871" w:rsidP="0021538E">
            <w:pPr>
              <w:spacing w:before="80" w:after="80" w:line="200" w:lineRule="exact"/>
              <w:ind w:left="57" w:right="57"/>
              <w:jc w:val="center"/>
              <w:rPr>
                <w:rFonts w:eastAsia="Calibri"/>
                <w:i/>
                <w:sz w:val="16"/>
                <w:lang w:val="fr-FR"/>
              </w:rPr>
            </w:pPr>
            <w:r w:rsidRPr="00640EE4">
              <w:rPr>
                <w:rFonts w:eastAsia="Calibri"/>
                <w:i/>
                <w:sz w:val="16"/>
                <w:lang w:val="fr-FR"/>
              </w:rPr>
              <w:t>1 %**</w:t>
            </w:r>
          </w:p>
        </w:tc>
        <w:tc>
          <w:tcPr>
            <w:tcW w:w="1841" w:type="dxa"/>
            <w:gridSpan w:val="2"/>
            <w:shd w:val="clear" w:color="auto" w:fill="auto"/>
            <w:vAlign w:val="bottom"/>
          </w:tcPr>
          <w:p w:rsidR="00D31871" w:rsidRPr="00640EE4" w:rsidRDefault="00D31871" w:rsidP="0021538E">
            <w:pPr>
              <w:spacing w:before="80" w:after="80" w:line="200" w:lineRule="exact"/>
              <w:ind w:left="57" w:right="57"/>
              <w:jc w:val="center"/>
              <w:rPr>
                <w:rFonts w:eastAsia="Calibri"/>
                <w:i/>
                <w:sz w:val="16"/>
                <w:lang w:val="fr-FR"/>
              </w:rPr>
            </w:pPr>
            <w:r w:rsidRPr="00640EE4">
              <w:rPr>
                <w:rFonts w:eastAsia="Calibri"/>
                <w:i/>
                <w:sz w:val="16"/>
                <w:lang w:val="fr-FR"/>
              </w:rPr>
              <w:t>6,5 %**</w:t>
            </w:r>
          </w:p>
        </w:tc>
      </w:tr>
      <w:tr w:rsidR="00D31871" w:rsidRPr="00640EE4" w:rsidTr="00D31871">
        <w:trPr>
          <w:tblHeader/>
        </w:trPr>
        <w:tc>
          <w:tcPr>
            <w:tcW w:w="3407" w:type="dxa"/>
            <w:vMerge/>
            <w:shd w:val="clear" w:color="auto" w:fill="auto"/>
            <w:vAlign w:val="bottom"/>
          </w:tcPr>
          <w:p w:rsidR="00D31871" w:rsidRPr="00640EE4" w:rsidRDefault="00D31871" w:rsidP="0021538E">
            <w:pPr>
              <w:spacing w:before="80" w:after="80" w:line="200" w:lineRule="exact"/>
              <w:ind w:left="57" w:right="57"/>
              <w:rPr>
                <w:rFonts w:eastAsia="Calibri"/>
                <w:sz w:val="18"/>
                <w:lang w:val="fr-FR"/>
              </w:rPr>
            </w:pPr>
          </w:p>
        </w:tc>
        <w:tc>
          <w:tcPr>
            <w:tcW w:w="1271" w:type="dxa"/>
            <w:shd w:val="clear" w:color="auto" w:fill="auto"/>
            <w:vAlign w:val="bottom"/>
          </w:tcPr>
          <w:p w:rsidR="00D31871" w:rsidRPr="00640EE4" w:rsidRDefault="00D31871" w:rsidP="0021538E">
            <w:pPr>
              <w:spacing w:before="80" w:after="80" w:line="200" w:lineRule="exact"/>
              <w:ind w:left="57" w:right="57"/>
              <w:jc w:val="right"/>
              <w:rPr>
                <w:rFonts w:eastAsia="Calibri"/>
                <w:i/>
                <w:sz w:val="16"/>
                <w:szCs w:val="16"/>
                <w:lang w:val="fr-FR"/>
              </w:rPr>
            </w:pPr>
            <w:r w:rsidRPr="00640EE4">
              <w:rPr>
                <w:rFonts w:eastAsia="Calibri"/>
                <w:i/>
                <w:sz w:val="16"/>
                <w:szCs w:val="16"/>
                <w:lang w:val="fr-FR"/>
              </w:rPr>
              <w:t>Acceptation</w:t>
            </w:r>
          </w:p>
        </w:tc>
        <w:tc>
          <w:tcPr>
            <w:tcW w:w="851" w:type="dxa"/>
            <w:shd w:val="clear" w:color="auto" w:fill="auto"/>
            <w:vAlign w:val="bottom"/>
          </w:tcPr>
          <w:p w:rsidR="00D31871" w:rsidRPr="00640EE4" w:rsidRDefault="00D31871" w:rsidP="0021538E">
            <w:pPr>
              <w:spacing w:before="80" w:after="80" w:line="200" w:lineRule="exact"/>
              <w:ind w:left="57" w:right="57"/>
              <w:jc w:val="right"/>
              <w:rPr>
                <w:rFonts w:eastAsia="Calibri"/>
                <w:i/>
                <w:sz w:val="16"/>
                <w:szCs w:val="16"/>
                <w:lang w:val="fr-FR"/>
              </w:rPr>
            </w:pPr>
            <w:r w:rsidRPr="00640EE4">
              <w:rPr>
                <w:rFonts w:eastAsia="Calibri"/>
                <w:i/>
                <w:sz w:val="16"/>
                <w:szCs w:val="16"/>
                <w:lang w:val="fr-FR"/>
              </w:rPr>
              <w:t>Rejet</w:t>
            </w:r>
          </w:p>
        </w:tc>
        <w:tc>
          <w:tcPr>
            <w:tcW w:w="990" w:type="dxa"/>
            <w:shd w:val="clear" w:color="auto" w:fill="auto"/>
            <w:vAlign w:val="bottom"/>
          </w:tcPr>
          <w:p w:rsidR="00D31871" w:rsidRPr="00640EE4" w:rsidRDefault="00D31871" w:rsidP="0021538E">
            <w:pPr>
              <w:spacing w:before="80" w:after="80" w:line="200" w:lineRule="exact"/>
              <w:ind w:left="57" w:right="57"/>
              <w:jc w:val="right"/>
              <w:rPr>
                <w:rFonts w:eastAsia="Calibri"/>
                <w:i/>
                <w:sz w:val="16"/>
                <w:szCs w:val="16"/>
                <w:lang w:val="fr-FR"/>
              </w:rPr>
            </w:pPr>
            <w:r w:rsidRPr="00640EE4">
              <w:rPr>
                <w:rFonts w:eastAsia="Calibri"/>
                <w:i/>
                <w:sz w:val="16"/>
                <w:szCs w:val="16"/>
                <w:lang w:val="fr-FR"/>
              </w:rPr>
              <w:t>Acceptation</w:t>
            </w:r>
          </w:p>
        </w:tc>
        <w:tc>
          <w:tcPr>
            <w:tcW w:w="851" w:type="dxa"/>
            <w:shd w:val="clear" w:color="auto" w:fill="auto"/>
            <w:vAlign w:val="bottom"/>
          </w:tcPr>
          <w:p w:rsidR="00D31871" w:rsidRPr="00640EE4" w:rsidRDefault="00D31871" w:rsidP="0021538E">
            <w:pPr>
              <w:spacing w:before="80" w:after="80" w:line="200" w:lineRule="exact"/>
              <w:ind w:left="57" w:right="57"/>
              <w:jc w:val="right"/>
              <w:rPr>
                <w:rFonts w:eastAsia="Calibri"/>
                <w:i/>
                <w:sz w:val="16"/>
                <w:szCs w:val="16"/>
                <w:lang w:val="fr-FR"/>
              </w:rPr>
            </w:pPr>
            <w:r w:rsidRPr="00640EE4">
              <w:rPr>
                <w:rFonts w:eastAsia="Calibri"/>
                <w:i/>
                <w:sz w:val="16"/>
                <w:szCs w:val="16"/>
                <w:lang w:val="fr-FR"/>
              </w:rPr>
              <w:t>Rejet</w:t>
            </w:r>
          </w:p>
        </w:tc>
      </w:tr>
      <w:tr w:rsidR="00D31871" w:rsidRPr="00640EE4" w:rsidTr="00D31871">
        <w:tc>
          <w:tcPr>
            <w:tcW w:w="3407"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Taille du premier échantillon : 125</w:t>
            </w:r>
          </w:p>
        </w:tc>
        <w:tc>
          <w:tcPr>
            <w:tcW w:w="1271"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2</w:t>
            </w:r>
          </w:p>
        </w:tc>
        <w:tc>
          <w:tcPr>
            <w:tcW w:w="851"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5</w:t>
            </w:r>
          </w:p>
        </w:tc>
        <w:tc>
          <w:tcPr>
            <w:tcW w:w="990"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11</w:t>
            </w:r>
          </w:p>
        </w:tc>
        <w:tc>
          <w:tcPr>
            <w:tcW w:w="851" w:type="dxa"/>
            <w:shd w:val="clear" w:color="auto" w:fill="auto"/>
            <w:vAlign w:val="bottom"/>
          </w:tcPr>
          <w:p w:rsidR="00D31871" w:rsidRPr="00640EE4" w:rsidRDefault="00D31871" w:rsidP="0021538E">
            <w:pPr>
              <w:ind w:left="57" w:right="57"/>
              <w:jc w:val="right"/>
              <w:rPr>
                <w:rFonts w:eastAsia="Calibri"/>
                <w:sz w:val="18"/>
                <w:lang w:val="fr-FR"/>
              </w:rPr>
            </w:pPr>
            <w:r w:rsidRPr="00640EE4">
              <w:rPr>
                <w:rFonts w:eastAsia="Calibri"/>
                <w:sz w:val="18"/>
                <w:lang w:val="fr-FR"/>
              </w:rPr>
              <w:t>16</w:t>
            </w:r>
          </w:p>
        </w:tc>
      </w:tr>
      <w:tr w:rsidR="00D31871" w:rsidRPr="00640EE4" w:rsidTr="00D31871">
        <w:tc>
          <w:tcPr>
            <w:tcW w:w="3407" w:type="dxa"/>
            <w:shd w:val="clear" w:color="auto" w:fill="auto"/>
          </w:tcPr>
          <w:p w:rsidR="00D31871" w:rsidRPr="00640EE4" w:rsidRDefault="00D31871" w:rsidP="0021538E">
            <w:pPr>
              <w:spacing w:before="40" w:after="40" w:line="220" w:lineRule="exact"/>
              <w:ind w:left="57" w:right="57"/>
              <w:rPr>
                <w:rFonts w:eastAsia="Calibri"/>
                <w:sz w:val="18"/>
                <w:lang w:val="fr-FR"/>
              </w:rPr>
            </w:pPr>
            <w:r w:rsidRPr="00640EE4">
              <w:rPr>
                <w:rFonts w:eastAsia="Calibri"/>
                <w:sz w:val="18"/>
                <w:lang w:val="fr-FR"/>
              </w:rPr>
              <w:t>Si le nombre d’unité</w:t>
            </w:r>
            <w:r w:rsidR="00166698">
              <w:rPr>
                <w:rFonts w:eastAsia="Calibri"/>
                <w:sz w:val="18"/>
                <w:lang w:val="fr-FR"/>
              </w:rPr>
              <w:t xml:space="preserve">s non conformes est supérieur à </w:t>
            </w:r>
            <w:r w:rsidRPr="00640EE4">
              <w:rPr>
                <w:rFonts w:eastAsia="Calibri"/>
                <w:sz w:val="18"/>
                <w:lang w:val="fr-FR"/>
              </w:rPr>
              <w:t>2 (11) et inférieur à 5 (16), prendre un nouvel échantillon de 125 unités et évaluer les 250 unités</w:t>
            </w:r>
          </w:p>
        </w:tc>
        <w:tc>
          <w:tcPr>
            <w:tcW w:w="1271"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6</w:t>
            </w:r>
          </w:p>
        </w:tc>
        <w:tc>
          <w:tcPr>
            <w:tcW w:w="851"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7</w:t>
            </w:r>
          </w:p>
        </w:tc>
        <w:tc>
          <w:tcPr>
            <w:tcW w:w="990" w:type="dxa"/>
            <w:shd w:val="clear" w:color="auto" w:fill="auto"/>
            <w:vAlign w:val="bottom"/>
          </w:tcPr>
          <w:p w:rsidR="00D31871" w:rsidRPr="00640EE4" w:rsidRDefault="00D31871" w:rsidP="0021538E">
            <w:pPr>
              <w:spacing w:before="40" w:after="40" w:line="220" w:lineRule="exact"/>
              <w:ind w:left="57" w:right="57"/>
              <w:jc w:val="right"/>
              <w:rPr>
                <w:rFonts w:eastAsia="Calibri"/>
                <w:sz w:val="18"/>
                <w:lang w:val="fr-FR"/>
              </w:rPr>
            </w:pPr>
            <w:r w:rsidRPr="00640EE4">
              <w:rPr>
                <w:rFonts w:eastAsia="Calibri"/>
                <w:sz w:val="18"/>
                <w:lang w:val="fr-FR"/>
              </w:rPr>
              <w:t>26</w:t>
            </w:r>
          </w:p>
        </w:tc>
        <w:tc>
          <w:tcPr>
            <w:tcW w:w="851" w:type="dxa"/>
            <w:shd w:val="clear" w:color="auto" w:fill="auto"/>
            <w:vAlign w:val="bottom"/>
          </w:tcPr>
          <w:p w:rsidR="00D31871" w:rsidRPr="00640EE4" w:rsidRDefault="00D31871" w:rsidP="0021538E">
            <w:pPr>
              <w:ind w:left="57" w:right="57"/>
              <w:jc w:val="right"/>
              <w:rPr>
                <w:rFonts w:eastAsia="Calibri"/>
                <w:sz w:val="18"/>
                <w:lang w:val="fr-FR"/>
              </w:rPr>
            </w:pPr>
            <w:r w:rsidRPr="00640EE4">
              <w:rPr>
                <w:rFonts w:eastAsia="Calibri"/>
                <w:sz w:val="18"/>
                <w:lang w:val="fr-FR"/>
              </w:rPr>
              <w:t>27</w:t>
            </w:r>
          </w:p>
        </w:tc>
      </w:tr>
    </w:tbl>
    <w:p w:rsidR="00D31871" w:rsidRPr="00EB0DF5" w:rsidRDefault="00D31871" w:rsidP="000C3A2C">
      <w:pPr>
        <w:pStyle w:val="SingleTxtGR"/>
        <w:tabs>
          <w:tab w:val="clear" w:pos="1701"/>
          <w:tab w:val="left" w:pos="1276"/>
          <w:tab w:val="left" w:pos="1560"/>
        </w:tabs>
        <w:spacing w:before="120" w:after="0" w:line="220" w:lineRule="exact"/>
        <w:jc w:val="left"/>
        <w:rPr>
          <w:rFonts w:eastAsia="Calibri"/>
          <w:sz w:val="18"/>
          <w:lang w:val="fr-CH"/>
        </w:rPr>
      </w:pPr>
      <w:r w:rsidRPr="00A37EAD">
        <w:rPr>
          <w:rFonts w:eastAsia="Calibri"/>
          <w:sz w:val="18"/>
          <w:lang w:val="fr-CH"/>
        </w:rPr>
        <w:tab/>
      </w:r>
      <w:r w:rsidRPr="00EB0DF5">
        <w:rPr>
          <w:rFonts w:eastAsia="Calibri"/>
          <w:sz w:val="18"/>
          <w:lang w:val="fr-CH"/>
        </w:rPr>
        <w:t>*</w:t>
      </w:r>
      <w:r w:rsidRPr="00EB0DF5">
        <w:rPr>
          <w:rFonts w:eastAsia="Calibri"/>
          <w:sz w:val="18"/>
          <w:lang w:val="fr-CH"/>
        </w:rPr>
        <w:tab/>
      </w:r>
      <w:bookmarkStart w:id="2" w:name="lt_pId1015"/>
      <w:bookmarkEnd w:id="2"/>
      <w:r w:rsidRPr="00640EE4">
        <w:rPr>
          <w:rFonts w:eastAsia="Calibri"/>
          <w:sz w:val="18"/>
          <w:szCs w:val="18"/>
          <w:lang w:val="fr-FR"/>
        </w:rPr>
        <w:t xml:space="preserve">Le système proposé a pour objet d’évaluer la conformité de la production des sources lumineuses à </w:t>
      </w:r>
      <w:r w:rsidRPr="000C3A2C">
        <w:rPr>
          <w:rFonts w:eastAsiaTheme="minorHAnsi"/>
          <w:sz w:val="18"/>
          <w:szCs w:val="18"/>
          <w:lang w:val="fr-FR"/>
        </w:rPr>
        <w:t>incandescence</w:t>
      </w:r>
      <w:r w:rsidRPr="00640EE4">
        <w:rPr>
          <w:rFonts w:eastAsia="Calibri"/>
          <w:sz w:val="18"/>
          <w:szCs w:val="18"/>
          <w:lang w:val="fr-FR"/>
        </w:rPr>
        <w:t xml:space="preserve"> par rapport à des niveaux d’acceptation de résultats non conformes de 1 % et de 6,5 %, et il est fondé sur le plan d’échantillonnage à deux degrés pour une inspection normale, que l’on trouve dans la publication 60410 de la CEI (Plans d’échantillonnage et procédure de contrôle par</w:t>
      </w:r>
      <w:r w:rsidR="00EB0DF5">
        <w:rPr>
          <w:rFonts w:eastAsia="Calibri"/>
          <w:sz w:val="18"/>
          <w:szCs w:val="18"/>
          <w:lang w:val="fr-FR"/>
        </w:rPr>
        <w:t xml:space="preserve"> </w:t>
      </w:r>
      <w:r w:rsidRPr="00640EE4">
        <w:rPr>
          <w:rFonts w:eastAsia="Calibri"/>
          <w:sz w:val="18"/>
          <w:szCs w:val="18"/>
          <w:lang w:val="fr-FR"/>
        </w:rPr>
        <w:t>attributs).</w:t>
      </w:r>
    </w:p>
    <w:p w:rsidR="00D31871" w:rsidRPr="00A37EAD" w:rsidRDefault="00D31871" w:rsidP="00EB0DF5">
      <w:pPr>
        <w:pStyle w:val="SingleTxtGR"/>
        <w:tabs>
          <w:tab w:val="clear" w:pos="1701"/>
          <w:tab w:val="left" w:pos="1276"/>
          <w:tab w:val="left" w:pos="1560"/>
        </w:tabs>
        <w:spacing w:after="0" w:line="220" w:lineRule="exact"/>
        <w:jc w:val="left"/>
        <w:rPr>
          <w:rFonts w:eastAsia="Calibri"/>
          <w:sz w:val="18"/>
          <w:lang w:val="fr-CH"/>
        </w:rPr>
      </w:pPr>
      <w:r w:rsidRPr="00EB0DF5">
        <w:rPr>
          <w:rFonts w:eastAsia="Calibri"/>
          <w:sz w:val="18"/>
          <w:lang w:val="fr-CH"/>
        </w:rPr>
        <w:tab/>
      </w:r>
      <w:r w:rsidRPr="00A37EAD">
        <w:rPr>
          <w:rFonts w:eastAsia="Calibri"/>
          <w:sz w:val="18"/>
          <w:lang w:val="fr-CH"/>
        </w:rPr>
        <w:t>**</w:t>
      </w:r>
      <w:r w:rsidRPr="00A37EAD">
        <w:rPr>
          <w:rFonts w:eastAsia="Calibri"/>
          <w:sz w:val="18"/>
          <w:lang w:val="fr-CH"/>
        </w:rPr>
        <w:tab/>
      </w:r>
      <w:r w:rsidRPr="00640EE4">
        <w:rPr>
          <w:rFonts w:eastAsia="Calibri"/>
          <w:sz w:val="18"/>
          <w:szCs w:val="18"/>
          <w:lang w:val="fr-FR"/>
        </w:rPr>
        <w:t xml:space="preserve">Les sources lumineuses à incandescence doivent faire l’objet d’une </w:t>
      </w:r>
      <w:r w:rsidRPr="000C3A2C">
        <w:rPr>
          <w:rFonts w:eastAsiaTheme="minorHAnsi"/>
          <w:sz w:val="18"/>
          <w:szCs w:val="18"/>
          <w:lang w:val="fr-FR"/>
        </w:rPr>
        <w:t>inspection</w:t>
      </w:r>
      <w:r w:rsidRPr="00640EE4">
        <w:rPr>
          <w:rFonts w:eastAsia="Calibri"/>
          <w:sz w:val="18"/>
          <w:szCs w:val="18"/>
          <w:lang w:val="fr-FR"/>
        </w:rPr>
        <w:t xml:space="preserve"> et les résultats des essais doivent être enregistrés en fonction des groupes de caractéristiques dont la liste figure au tableau 1 de l’annexe 7. </w:t>
      </w:r>
    </w:p>
    <w:p w:rsidR="00D31871" w:rsidRDefault="00D31871" w:rsidP="000C3A2C">
      <w:pPr>
        <w:pStyle w:val="SingleTxtG"/>
        <w:jc w:val="right"/>
        <w:rPr>
          <w:lang w:val="fr-FR"/>
        </w:rPr>
      </w:pPr>
      <w:r w:rsidRPr="00640EE4">
        <w:rPr>
          <w:lang w:val="fr-FR"/>
        </w:rPr>
        <w:t> ».</w:t>
      </w:r>
    </w:p>
    <w:p w:rsidR="00D31871" w:rsidRPr="00640EE4" w:rsidRDefault="00D31871" w:rsidP="00D31871">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D31871" w:rsidRPr="00150DB2" w:rsidRDefault="00D31871" w:rsidP="00D31871"/>
    <w:p w:rsidR="005F0207" w:rsidRPr="005F0207" w:rsidRDefault="005F0207" w:rsidP="00D31871"/>
    <w:sectPr w:rsidR="005F0207" w:rsidRPr="005F0207" w:rsidSect="00D31871">
      <w:headerReference w:type="first" r:id="rId26"/>
      <w:footerReference w:type="first" r:id="rId27"/>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19" w:rsidRDefault="00812A19"/>
  </w:endnote>
  <w:endnote w:type="continuationSeparator" w:id="0">
    <w:p w:rsidR="00812A19" w:rsidRDefault="00812A19">
      <w:pPr>
        <w:pStyle w:val="Footer"/>
      </w:pPr>
    </w:p>
  </w:endnote>
  <w:endnote w:type="continuationNotice" w:id="1">
    <w:p w:rsidR="00812A19" w:rsidRPr="00C451B9" w:rsidRDefault="00812A1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19" w:rsidRPr="00D31871" w:rsidRDefault="00812A19" w:rsidP="00D31871">
    <w:pPr>
      <w:pStyle w:val="Footer"/>
      <w:tabs>
        <w:tab w:val="right" w:pos="9638"/>
      </w:tabs>
    </w:pPr>
    <w:r w:rsidRPr="00D31871">
      <w:rPr>
        <w:b/>
        <w:sz w:val="18"/>
      </w:rPr>
      <w:fldChar w:fldCharType="begin"/>
    </w:r>
    <w:r w:rsidRPr="00D31871">
      <w:rPr>
        <w:b/>
        <w:sz w:val="18"/>
      </w:rPr>
      <w:instrText xml:space="preserve"> PAGE  \* MERGEFORMAT </w:instrText>
    </w:r>
    <w:r w:rsidRPr="00D31871">
      <w:rPr>
        <w:b/>
        <w:sz w:val="18"/>
      </w:rPr>
      <w:fldChar w:fldCharType="separate"/>
    </w:r>
    <w:r w:rsidR="00364E16">
      <w:rPr>
        <w:b/>
        <w:noProof/>
        <w:sz w:val="18"/>
      </w:rPr>
      <w:t>2</w:t>
    </w:r>
    <w:r w:rsidRPr="00D3187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19" w:rsidRPr="00D31871" w:rsidRDefault="00812A19" w:rsidP="00D31871">
    <w:pPr>
      <w:pStyle w:val="Footer"/>
      <w:tabs>
        <w:tab w:val="right" w:pos="9638"/>
      </w:tabs>
      <w:rPr>
        <w:b/>
        <w:sz w:val="18"/>
      </w:rPr>
    </w:pPr>
    <w:r>
      <w:t>GE.17-11416</w:t>
    </w:r>
    <w:r>
      <w:tab/>
    </w:r>
    <w:r w:rsidRPr="00D31871">
      <w:rPr>
        <w:b/>
        <w:sz w:val="18"/>
      </w:rPr>
      <w:fldChar w:fldCharType="begin"/>
    </w:r>
    <w:r w:rsidRPr="00D31871">
      <w:rPr>
        <w:b/>
        <w:sz w:val="18"/>
      </w:rPr>
      <w:instrText xml:space="preserve"> PAGE  \* MERGEFORMAT </w:instrText>
    </w:r>
    <w:r w:rsidRPr="00D31871">
      <w:rPr>
        <w:b/>
        <w:sz w:val="18"/>
      </w:rPr>
      <w:fldChar w:fldCharType="separate"/>
    </w:r>
    <w:r w:rsidR="00364E16">
      <w:rPr>
        <w:b/>
        <w:noProof/>
        <w:sz w:val="18"/>
      </w:rPr>
      <w:t>3</w:t>
    </w:r>
    <w:r w:rsidRPr="00D318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19" w:rsidRPr="00D31871" w:rsidRDefault="00812A19" w:rsidP="00D31871">
    <w:pPr>
      <w:pStyle w:val="Footer"/>
      <w:spacing w:before="120"/>
      <w:rPr>
        <w:sz w:val="20"/>
      </w:rPr>
    </w:pPr>
    <w:r>
      <w:rPr>
        <w:sz w:val="20"/>
      </w:rPr>
      <w:t>GE.</w:t>
    </w:r>
    <w:r>
      <w:rPr>
        <w:noProof/>
        <w:lang w:val="en-GB" w:eastAsia="en-GB"/>
      </w:rPr>
      <w:drawing>
        <wp:anchor distT="0" distB="0" distL="114300" distR="114300" simplePos="0" relativeHeight="251651072"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17-11416  (F)    131217    141217</w:t>
    </w:r>
    <w:r>
      <w:rPr>
        <w:sz w:val="20"/>
      </w:rPr>
      <w:br/>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Pr>
        <w:noProof/>
        <w:sz w:val="20"/>
        <w:lang w:val="en-GB" w:eastAsia="en-GB"/>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36/Rev.7/Amend.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36/Rev.7/Amend.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19" w:rsidRPr="00D31871" w:rsidRDefault="00812A19" w:rsidP="00D31871">
    <w:pPr>
      <w:pStyle w:val="Footer"/>
      <w:spacing w:before="120"/>
      <w:rPr>
        <w:sz w:val="20"/>
      </w:rPr>
    </w:pPr>
    <w:r>
      <w:rPr>
        <w:sz w:val="20"/>
      </w:rPr>
      <w:t>GE.</w:t>
    </w:r>
    <w:r>
      <w:rPr>
        <w:noProof/>
        <w:lang w:val="en-GB" w:eastAsia="en-GB"/>
      </w:rPr>
      <w:drawing>
        <wp:anchor distT="0" distB="0" distL="114300" distR="114300" simplePos="0" relativeHeight="251666432" behindDoc="0" locked="0" layoutInCell="1" allowOverlap="1" wp14:anchorId="030CD4EA" wp14:editId="1E50C437">
          <wp:simplePos x="0" y="0"/>
          <wp:positionH relativeFrom="margin">
            <wp:posOffset>4319905</wp:posOffset>
          </wp:positionH>
          <wp:positionV relativeFrom="margin">
            <wp:posOffset>9144000</wp:posOffset>
          </wp:positionV>
          <wp:extent cx="1104900" cy="228600"/>
          <wp:effectExtent l="0" t="0" r="0" b="0"/>
          <wp:wrapNone/>
          <wp:docPr id="13" name="Image 1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17-11416  (F)</w:t>
    </w:r>
    <w:r>
      <w:rPr>
        <w:sz w:val="20"/>
      </w:rPr>
      <w:br/>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sidRPr="00D31871">
      <w:rPr>
        <w:rFonts w:ascii="C39T30Lfz" w:hAnsi="C39T30Lfz"/>
        <w:sz w:val="56"/>
      </w:rPr>
      <w:t></w:t>
    </w:r>
    <w:r>
      <w:rPr>
        <w:noProof/>
        <w:sz w:val="20"/>
        <w:lang w:val="en-GB" w:eastAsia="en-GB"/>
      </w:rPr>
      <w:drawing>
        <wp:anchor distT="0" distB="0" distL="114300" distR="114300" simplePos="0" relativeHeight="251675648" behindDoc="0" locked="0" layoutInCell="1" allowOverlap="1" wp14:anchorId="1B843618" wp14:editId="3A1C0578">
          <wp:simplePos x="0" y="0"/>
          <wp:positionH relativeFrom="margin">
            <wp:posOffset>5489575</wp:posOffset>
          </wp:positionH>
          <wp:positionV relativeFrom="margin">
            <wp:posOffset>8891905</wp:posOffset>
          </wp:positionV>
          <wp:extent cx="638175" cy="638175"/>
          <wp:effectExtent l="0" t="0" r="9525" b="9525"/>
          <wp:wrapNone/>
          <wp:docPr id="14" name="Image 14" descr="https://undocs.org/m2/QRCode.ashx?DS=E/ECE/324/Rev.1/Add.36/Rev.7/Amend.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36/Rev.7/Amend.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19" w:rsidRPr="00DE7B2E" w:rsidRDefault="00812A19" w:rsidP="00D31871">
    <w:pPr>
      <w:pStyle w:val="Footer"/>
      <w:tabs>
        <w:tab w:val="right" w:pos="9638"/>
      </w:tabs>
    </w:pPr>
    <w:r w:rsidRPr="00231F4D">
      <w:rPr>
        <w:b/>
        <w:sz w:val="18"/>
      </w:rPr>
      <w:fldChar w:fldCharType="begin"/>
    </w:r>
    <w:r w:rsidRPr="00231F4D">
      <w:rPr>
        <w:b/>
        <w:sz w:val="18"/>
      </w:rPr>
      <w:instrText xml:space="preserve"> PAGE  \* MERGEFORMAT </w:instrText>
    </w:r>
    <w:r w:rsidRPr="00231F4D">
      <w:rPr>
        <w:b/>
        <w:sz w:val="18"/>
      </w:rPr>
      <w:fldChar w:fldCharType="separate"/>
    </w:r>
    <w:r w:rsidR="00364E16">
      <w:rPr>
        <w:b/>
        <w:noProof/>
        <w:sz w:val="18"/>
      </w:rPr>
      <w:t>14</w:t>
    </w:r>
    <w:r w:rsidRPr="00231F4D">
      <w:rPr>
        <w:b/>
        <w:sz w:val="18"/>
      </w:rPr>
      <w:fldChar w:fldCharType="end"/>
    </w:r>
    <w:r>
      <w:rPr>
        <w:b/>
        <w:sz w:val="18"/>
      </w:rPr>
      <w:tab/>
    </w:r>
    <w:r>
      <w:t>GE.16-15042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19" w:rsidRPr="00D27D5E" w:rsidRDefault="00812A19" w:rsidP="00D27D5E">
      <w:pPr>
        <w:tabs>
          <w:tab w:val="right" w:pos="2155"/>
        </w:tabs>
        <w:spacing w:after="80"/>
        <w:ind w:left="680"/>
        <w:rPr>
          <w:u w:val="single"/>
        </w:rPr>
      </w:pPr>
      <w:r>
        <w:rPr>
          <w:u w:val="single"/>
        </w:rPr>
        <w:tab/>
      </w:r>
    </w:p>
  </w:footnote>
  <w:footnote w:type="continuationSeparator" w:id="0">
    <w:p w:rsidR="00812A19" w:rsidRPr="00D171D4" w:rsidRDefault="00812A19" w:rsidP="00D171D4">
      <w:pPr>
        <w:tabs>
          <w:tab w:val="right" w:pos="2155"/>
        </w:tabs>
        <w:spacing w:after="80"/>
        <w:ind w:left="680"/>
        <w:rPr>
          <w:u w:val="single"/>
        </w:rPr>
      </w:pPr>
      <w:r w:rsidRPr="00D171D4">
        <w:rPr>
          <w:u w:val="single"/>
        </w:rPr>
        <w:tab/>
      </w:r>
    </w:p>
  </w:footnote>
  <w:footnote w:type="continuationNotice" w:id="1">
    <w:p w:rsidR="00812A19" w:rsidRPr="00C451B9" w:rsidRDefault="00812A19" w:rsidP="00C451B9">
      <w:pPr>
        <w:spacing w:line="240" w:lineRule="auto"/>
        <w:rPr>
          <w:sz w:val="2"/>
          <w:szCs w:val="2"/>
        </w:rPr>
      </w:pPr>
    </w:p>
  </w:footnote>
  <w:footnote w:id="2">
    <w:p w:rsidR="00812A19" w:rsidRPr="00442E31" w:rsidRDefault="00812A19">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 Accord concernant l’a</w:t>
      </w:r>
      <w:r w:rsidRPr="007817A7">
        <w:t>doption de conditions uniformes d</w:t>
      </w:r>
      <w:r>
        <w:t>’</w:t>
      </w:r>
      <w:r w:rsidRPr="007817A7">
        <w:t>homologation et la</w:t>
      </w:r>
      <w:r>
        <w:t xml:space="preserve">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 w:id="3">
    <w:p w:rsidR="00812A19" w:rsidRPr="00D31871" w:rsidRDefault="00812A19" w:rsidP="00D31871">
      <w:pPr>
        <w:pStyle w:val="FootnoteText"/>
      </w:pPr>
      <w:r>
        <w:rPr>
          <w:rStyle w:val="FootnoteReference"/>
        </w:rPr>
        <w:tab/>
      </w:r>
      <w:r w:rsidRPr="00D31871">
        <w:rPr>
          <w:rStyle w:val="FootnoteReference"/>
          <w:sz w:val="20"/>
          <w:vertAlign w:val="baseline"/>
        </w:rPr>
        <w:t>**</w:t>
      </w:r>
      <w:r>
        <w:rPr>
          <w:rStyle w:val="FootnoteReference"/>
          <w:sz w:val="20"/>
          <w:vertAlign w:val="baseline"/>
        </w:rPr>
        <w:tab/>
      </w:r>
      <w:r w:rsidRPr="004E3265">
        <w:rPr>
          <w:szCs w:val="18"/>
        </w:rPr>
        <w:t>Les numéros de page seront ajoutés ultérieurement.</w:t>
      </w:r>
    </w:p>
  </w:footnote>
  <w:footnote w:id="4">
    <w:p w:rsidR="00812A19" w:rsidRDefault="00812A19" w:rsidP="00D31871">
      <w:pPr>
        <w:pStyle w:val="FootnoteText"/>
      </w:pPr>
      <w:r>
        <w:tab/>
      </w:r>
      <w:r w:rsidRPr="009E2890">
        <w:rPr>
          <w:rStyle w:val="FootnoteReference"/>
        </w:rPr>
        <w:footnoteRef/>
      </w:r>
      <w:r>
        <w:tab/>
      </w:r>
      <w:r w:rsidRPr="008269AC">
        <w:t>Une ampoule jaune sélectif ou une ampoule extérieure additionnelle jaune sélectif, destinée seulement à modifier la couleur mais pas les autres caractéristiques d’une source lumineuse à incandescence émettant une lumière blanche, ne représente pas un type différent de source lumineuse à incandescence.</w:t>
      </w:r>
    </w:p>
  </w:footnote>
  <w:footnote w:id="5">
    <w:p w:rsidR="00812A19" w:rsidRDefault="00812A19" w:rsidP="00D31871">
      <w:pPr>
        <w:pStyle w:val="FootnoteText"/>
      </w:pPr>
      <w:r>
        <w:tab/>
      </w:r>
      <w:r w:rsidRPr="009E2890">
        <w:rPr>
          <w:rStyle w:val="FootnoteReference"/>
        </w:rPr>
        <w:footnoteRef/>
      </w:r>
      <w:r>
        <w:tab/>
      </w:r>
      <w:r w:rsidRPr="008269AC">
        <w:t>Dans ce dernier cas, les caractéristiques lumineuses ne doivent pas être altérées.</w:t>
      </w:r>
    </w:p>
  </w:footnote>
  <w:footnote w:id="6">
    <w:p w:rsidR="00812A19" w:rsidRPr="008269AC" w:rsidRDefault="00812A19" w:rsidP="00D31871">
      <w:pPr>
        <w:pStyle w:val="FootnoteText"/>
        <w:rPr>
          <w:lang w:val="es-ES"/>
        </w:rPr>
      </w:pPr>
      <w:r>
        <w:tab/>
      </w:r>
      <w:r w:rsidRPr="009E2890">
        <w:rPr>
          <w:rStyle w:val="FootnoteReference"/>
        </w:rPr>
        <w:footnoteRef/>
      </w:r>
      <w:r w:rsidRPr="00351B31">
        <w:rPr>
          <w:lang w:val="es-ES"/>
        </w:rPr>
        <w:tab/>
      </w:r>
      <w:r w:rsidRPr="008269AC">
        <w:rPr>
          <w:lang w:val="es-ES"/>
        </w:rPr>
        <w:t xml:space="preserve">0 1 2 3 4 5 6 7 8 9 </w:t>
      </w:r>
    </w:p>
    <w:p w:rsidR="00812A19" w:rsidRPr="00351B31" w:rsidRDefault="00812A19" w:rsidP="00D31871">
      <w:pPr>
        <w:pStyle w:val="FootnoteText"/>
        <w:rPr>
          <w:lang w:val="es-ES"/>
        </w:rPr>
      </w:pPr>
      <w:r w:rsidRPr="008269AC">
        <w:rPr>
          <w:lang w:val="es-ES"/>
        </w:rPr>
        <w:tab/>
      </w:r>
      <w:r w:rsidRPr="008269AC">
        <w:rPr>
          <w:lang w:val="es-ES"/>
        </w:rPr>
        <w:tab/>
        <w:t>A B C D E F G H J K L M N P R S T U V W X Y Z.</w:t>
      </w:r>
    </w:p>
  </w:footnote>
  <w:footnote w:id="7">
    <w:p w:rsidR="00812A19" w:rsidRDefault="00812A19" w:rsidP="00D31871">
      <w:pPr>
        <w:pStyle w:val="FootnoteText"/>
      </w:pPr>
      <w:r w:rsidRPr="00351B31">
        <w:rPr>
          <w:lang w:val="es-ES"/>
        </w:rPr>
        <w:tab/>
      </w:r>
      <w:r w:rsidRPr="009E2890">
        <w:rPr>
          <w:rStyle w:val="FootnoteReference"/>
        </w:rPr>
        <w:footnoteRef/>
      </w:r>
      <w:r>
        <w:tab/>
      </w:r>
      <w:r w:rsidRPr="008269AC">
        <w:t>La liste des numéros distinctifs des Parties contractantes à l’Accord de 1958 est reproduite à l’annexe</w:t>
      </w:r>
      <w:r>
        <w:t> </w:t>
      </w:r>
      <w:r w:rsidRPr="008269AC">
        <w:t>3 de la Résolution d’ensemble sur la construction des véhicules (R.E.3), document ECE/TRANS/WP.29/78/Rev.4.</w:t>
      </w:r>
    </w:p>
  </w:footnote>
  <w:footnote w:id="8">
    <w:p w:rsidR="00812A19" w:rsidRDefault="00812A19" w:rsidP="00D31871">
      <w:pPr>
        <w:pStyle w:val="FootnoteText"/>
      </w:pPr>
      <w:r>
        <w:tab/>
      </w:r>
      <w:r w:rsidRPr="009E2890">
        <w:rPr>
          <w:rStyle w:val="FootnoteReference"/>
        </w:rPr>
        <w:footnoteRef/>
      </w:r>
      <w:r>
        <w:tab/>
      </w:r>
      <w:r w:rsidRPr="008269AC">
        <w:t>Afin de satisfaire aux exigences relatives à la conformité de production, en ce qui concerne les couleurs jaune-auto et rouge uniquement, au moins 80 % des valeurs mesurées doivent se situer dans l’intervalle de tolérance requis.</w:t>
      </w:r>
    </w:p>
  </w:footnote>
  <w:footnote w:id="9">
    <w:p w:rsidR="00812A19" w:rsidRDefault="00812A19" w:rsidP="00D31871">
      <w:pPr>
        <w:pStyle w:val="FootnoteText"/>
      </w:pPr>
      <w:r>
        <w:tab/>
      </w:r>
      <w:r w:rsidRPr="009E2890">
        <w:rPr>
          <w:rStyle w:val="FootnoteReference"/>
        </w:rPr>
        <w:footnoteRef/>
      </w:r>
      <w:r>
        <w:tab/>
      </w:r>
      <w:r w:rsidRPr="00426E7C">
        <w:t>Le texte modifié de ce paragraphe a été introduit avec le Complément 14 à la série 03 d’amendements. Ce complément, qui est entré en vigueur le 3 septembre 1997, comprend aussi les paragraphes nouveaux 2.3.3 et 3.7 dans le texte du Règlement, et les feuilles nouvelles HIR1 et PY27/7W dans l’annexe</w:t>
      </w:r>
      <w:r w:rsidR="00D02438">
        <w:t xml:space="preserve"> 1</w:t>
      </w:r>
      <w:r w:rsidRPr="00426E7C">
        <w:t>.</w:t>
      </w:r>
      <w:r w:rsidRPr="00426E7C">
        <w:rPr>
          <w:vertAlign w:val="superscript"/>
        </w:rPr>
        <w:t xml:space="preserve"> </w:t>
      </w:r>
    </w:p>
  </w:footnote>
  <w:footnote w:id="10">
    <w:p w:rsidR="00812A19" w:rsidRPr="007C7809" w:rsidRDefault="00812A19" w:rsidP="00D31871">
      <w:pPr>
        <w:pStyle w:val="FootnoteText"/>
      </w:pPr>
      <w:r w:rsidRPr="00AD76C9">
        <w:rPr>
          <w:rStyle w:val="FootnoteReference"/>
          <w:vertAlign w:val="baseline"/>
        </w:rPr>
        <w:tab/>
      </w:r>
      <w:r w:rsidRPr="00AD76C9">
        <w:rPr>
          <w:rStyle w:val="FootnoteReference"/>
          <w:sz w:val="20"/>
          <w:vertAlign w:val="baseline"/>
        </w:rPr>
        <w:t>*</w:t>
      </w:r>
      <w:r>
        <w:rPr>
          <w:rStyle w:val="FootnoteReference"/>
          <w:sz w:val="20"/>
        </w:rPr>
        <w:tab/>
      </w:r>
      <w:r w:rsidRPr="007C7809">
        <w:rPr>
          <w:szCs w:val="18"/>
        </w:rPr>
        <w:t>À compter du [date], les feuilles relatives aux sources lumineuses à incandescence, la liste par groupe des catégories de sources lumineuses à incandescence et les restrictions d’utilisation et numéros de feuille correspondants figurent dans la Résolution [R.E.4] publiée sous la cote ECE/TRANS/</w:t>
      </w:r>
      <w:r>
        <w:rPr>
          <w:szCs w:val="18"/>
        </w:rPr>
        <w:t xml:space="preserve"> </w:t>
      </w:r>
      <w:r w:rsidRPr="007C7809">
        <w:rPr>
          <w:szCs w:val="18"/>
        </w:rPr>
        <w:t>WP.29/</w:t>
      </w:r>
      <w:r>
        <w:rPr>
          <w:szCs w:val="18"/>
        </w:rPr>
        <w:t xml:space="preserve"> </w:t>
      </w:r>
      <w:r w:rsidRPr="007C7809">
        <w:rPr>
          <w:szCs w:val="18"/>
        </w:rPr>
        <w:t>2016/111.</w:t>
      </w:r>
    </w:p>
  </w:footnote>
  <w:footnote w:id="11">
    <w:p w:rsidR="00812A19" w:rsidRPr="00343264" w:rsidRDefault="00812A19" w:rsidP="00D31871">
      <w:pPr>
        <w:pStyle w:val="FootnoteText"/>
      </w:pPr>
      <w:r>
        <w:tab/>
      </w:r>
      <w:r w:rsidRPr="009E2890">
        <w:rPr>
          <w:rStyle w:val="FootnoteReference"/>
        </w:rPr>
        <w:footnoteRef/>
      </w:r>
      <w:r>
        <w:tab/>
      </w:r>
      <w:r w:rsidRPr="00343264">
        <w:t>Numéro distinc</w:t>
      </w:r>
      <w:r>
        <w:t>tif du pays qui a délivré/</w:t>
      </w:r>
      <w:r w:rsidRPr="00343264">
        <w:t>étendu/refusé/retiré l</w:t>
      </w:r>
      <w:r>
        <w:t>’</w:t>
      </w:r>
      <w:r w:rsidRPr="00343264">
        <w:t>homologation (voir les dispositions du Règlement relatives à l</w:t>
      </w:r>
      <w:r>
        <w:t>’</w:t>
      </w:r>
      <w:r w:rsidRPr="00343264">
        <w:t>homologation).</w:t>
      </w:r>
    </w:p>
  </w:footnote>
  <w:footnote w:id="12">
    <w:p w:rsidR="00812A19" w:rsidRPr="00102E2F" w:rsidRDefault="00812A19" w:rsidP="00D31871">
      <w:pPr>
        <w:pStyle w:val="FootnoteText"/>
      </w:pPr>
      <w:r w:rsidRPr="00B95902">
        <w:tab/>
      </w:r>
      <w:r w:rsidRPr="009E2890">
        <w:rPr>
          <w:rStyle w:val="FootnoteReference"/>
        </w:rPr>
        <w:footnoteRef/>
      </w:r>
      <w:r w:rsidRPr="00102E2F">
        <w:tab/>
        <w:t>Biffer les mentions inutiles.</w:t>
      </w:r>
    </w:p>
  </w:footnote>
  <w:footnote w:id="13">
    <w:p w:rsidR="00812A19" w:rsidRPr="00D248F3" w:rsidRDefault="00812A19" w:rsidP="00D31871">
      <w:pPr>
        <w:pStyle w:val="FootnoteText"/>
      </w:pPr>
      <w:r>
        <w:rPr>
          <w:rStyle w:val="FootnoteReference"/>
        </w:rPr>
        <w:tab/>
      </w:r>
      <w:r w:rsidRPr="00C960DC">
        <w:rPr>
          <w:rStyle w:val="FootnoteReference"/>
          <w:sz w:val="20"/>
          <w:vertAlign w:val="baseline"/>
        </w:rPr>
        <w:t>*</w:t>
      </w:r>
      <w:r>
        <w:rPr>
          <w:rStyle w:val="FootnoteReference"/>
          <w:sz w:val="20"/>
        </w:rPr>
        <w:tab/>
      </w:r>
      <w:r w:rsidRPr="00D248F3">
        <w:rPr>
          <w:szCs w:val="18"/>
        </w:rPr>
        <w:t>N’entraînant pas de changement dans le code d’homologation.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19" w:rsidRPr="00D31871" w:rsidRDefault="00812A19" w:rsidP="00D31871">
    <w:pPr>
      <w:pStyle w:val="Header"/>
      <w:jc w:val="right"/>
      <w:rPr>
        <w:lang w:val="en-GB"/>
      </w:rPr>
    </w:pPr>
    <w:r>
      <w:fldChar w:fldCharType="begin"/>
    </w:r>
    <w:r w:rsidRPr="00D31871">
      <w:rPr>
        <w:lang w:val="en-GB"/>
      </w:rPr>
      <w:instrText xml:space="preserve"> TITLE  \* MERGEFORMAT </w:instrText>
    </w:r>
    <w:r>
      <w:fldChar w:fldCharType="separate"/>
    </w:r>
    <w:r w:rsidR="00364E16">
      <w:rPr>
        <w:lang w:val="en-GB"/>
      </w:rPr>
      <w:t>E/ECE/324/Rev.1/Add.36/Rev.7/Amend.8</w:t>
    </w:r>
    <w:r>
      <w:fldChar w:fldCharType="end"/>
    </w:r>
    <w:r w:rsidRPr="00D31871">
      <w:rPr>
        <w:lang w:val="en-GB"/>
      </w:rPr>
      <w:br/>
    </w:r>
    <w:r>
      <w:fldChar w:fldCharType="begin"/>
    </w:r>
    <w:r w:rsidRPr="00D31871">
      <w:rPr>
        <w:lang w:val="en-GB"/>
      </w:rPr>
      <w:instrText xml:space="preserve"> KEYWORDS  \* MERGEFORMAT </w:instrText>
    </w:r>
    <w:r>
      <w:fldChar w:fldCharType="separate"/>
    </w:r>
    <w:r w:rsidR="00364E16">
      <w:rPr>
        <w:lang w:val="en-GB"/>
      </w:rPr>
      <w:t>E/ECE/TRANS/505/Rev.1/Add.36/Rev.7/Amend.8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19" w:rsidRPr="00AA14C4" w:rsidRDefault="00812A19" w:rsidP="00AA14C4">
    <w:pPr>
      <w:pStyle w:val="Header"/>
      <w:rPr>
        <w:lang w:val="en-GB"/>
      </w:rPr>
    </w:pPr>
    <w:r>
      <w:fldChar w:fldCharType="begin"/>
    </w:r>
    <w:r w:rsidRPr="00D31871">
      <w:rPr>
        <w:lang w:val="en-GB"/>
      </w:rPr>
      <w:instrText xml:space="preserve"> TITLE  \* MERGEFORMAT </w:instrText>
    </w:r>
    <w:r>
      <w:fldChar w:fldCharType="separate"/>
    </w:r>
    <w:r w:rsidR="00364E16">
      <w:rPr>
        <w:lang w:val="en-GB"/>
      </w:rPr>
      <w:t>E/ECE/324/Rev.1/Add.36/Rev.7/Amend.8</w:t>
    </w:r>
    <w:r>
      <w:fldChar w:fldCharType="end"/>
    </w:r>
    <w:r w:rsidRPr="00D31871">
      <w:rPr>
        <w:lang w:val="en-GB"/>
      </w:rPr>
      <w:br/>
    </w:r>
    <w:r>
      <w:fldChar w:fldCharType="begin"/>
    </w:r>
    <w:r w:rsidRPr="00D31871">
      <w:rPr>
        <w:lang w:val="en-GB"/>
      </w:rPr>
      <w:instrText xml:space="preserve"> KEYWORDS  \* MERGEFORMAT </w:instrText>
    </w:r>
    <w:r>
      <w:fldChar w:fldCharType="separate"/>
    </w:r>
    <w:r w:rsidR="00364E16">
      <w:rPr>
        <w:lang w:val="en-GB"/>
      </w:rPr>
      <w:t>E/ECE/TRANS/505/Rev.1/Add.36/Rev.7/Amend.8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19" w:rsidRPr="00D31871" w:rsidRDefault="00812A19" w:rsidP="00D31871">
    <w:pPr>
      <w:pStyle w:val="Header"/>
      <w:jc w:val="right"/>
      <w:rPr>
        <w:lang w:val="en-GB"/>
      </w:rPr>
    </w:pPr>
    <w:r>
      <w:fldChar w:fldCharType="begin"/>
    </w:r>
    <w:r w:rsidRPr="00D31871">
      <w:rPr>
        <w:lang w:val="en-GB"/>
      </w:rPr>
      <w:instrText xml:space="preserve"> TITLE  \* MERGEFORMAT </w:instrText>
    </w:r>
    <w:r>
      <w:fldChar w:fldCharType="separate"/>
    </w:r>
    <w:r w:rsidR="00364E16">
      <w:rPr>
        <w:lang w:val="en-GB"/>
      </w:rPr>
      <w:t>E/ECE/324/Rev.1/Add.36/Rev.7/Amend.8</w:t>
    </w:r>
    <w:r>
      <w:fldChar w:fldCharType="end"/>
    </w:r>
    <w:r w:rsidRPr="00D31871">
      <w:rPr>
        <w:lang w:val="en-GB"/>
      </w:rPr>
      <w:br/>
    </w:r>
    <w:r>
      <w:fldChar w:fldCharType="begin"/>
    </w:r>
    <w:r w:rsidRPr="00D31871">
      <w:rPr>
        <w:lang w:val="en-GB"/>
      </w:rPr>
      <w:instrText xml:space="preserve"> KEYWORDS  \* MERGEFORMAT </w:instrText>
    </w:r>
    <w:r>
      <w:fldChar w:fldCharType="separate"/>
    </w:r>
    <w:r w:rsidR="00364E16">
      <w:rPr>
        <w:lang w:val="en-GB"/>
      </w:rPr>
      <w:t>E/ECE/TRANS/505/Rev.1/Add.36/Rev.7/Amend.8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19" w:rsidRPr="00185B81" w:rsidRDefault="00185B81" w:rsidP="00185B81">
    <w:pPr>
      <w:pStyle w:val="Header"/>
      <w:rPr>
        <w:lang w:val="en-GB"/>
      </w:rPr>
    </w:pPr>
    <w:r>
      <w:fldChar w:fldCharType="begin"/>
    </w:r>
    <w:r w:rsidRPr="00D31871">
      <w:rPr>
        <w:lang w:val="en-GB"/>
      </w:rPr>
      <w:instrText xml:space="preserve"> TITLE  \* MERGEFORMAT </w:instrText>
    </w:r>
    <w:r>
      <w:fldChar w:fldCharType="separate"/>
    </w:r>
    <w:r w:rsidR="00364E16">
      <w:rPr>
        <w:lang w:val="en-GB"/>
      </w:rPr>
      <w:t>E/ECE/324/Rev.1/Add.36/Rev.7/Amend.8</w:t>
    </w:r>
    <w:r>
      <w:fldChar w:fldCharType="end"/>
    </w:r>
    <w:r w:rsidRPr="00D31871">
      <w:rPr>
        <w:lang w:val="en-GB"/>
      </w:rPr>
      <w:br/>
    </w:r>
    <w:r>
      <w:fldChar w:fldCharType="begin"/>
    </w:r>
    <w:r w:rsidRPr="00D31871">
      <w:rPr>
        <w:lang w:val="en-GB"/>
      </w:rPr>
      <w:instrText xml:space="preserve"> KEYWORDS  \* MERGEFORMAT </w:instrText>
    </w:r>
    <w:r>
      <w:fldChar w:fldCharType="separate"/>
    </w:r>
    <w:r w:rsidR="00364E16">
      <w:rPr>
        <w:lang w:val="en-GB"/>
      </w:rPr>
      <w:t>E/ECE/TRANS/505/Rev.1/Add.36/Rev.7/Amend.8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CA"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E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3A2C"/>
    <w:rsid w:val="000C6CDB"/>
    <w:rsid w:val="000D5C25"/>
    <w:rsid w:val="000E4F06"/>
    <w:rsid w:val="000E5601"/>
    <w:rsid w:val="000E5602"/>
    <w:rsid w:val="000F41F2"/>
    <w:rsid w:val="0010373B"/>
    <w:rsid w:val="0011415F"/>
    <w:rsid w:val="00125446"/>
    <w:rsid w:val="001358D9"/>
    <w:rsid w:val="00141E26"/>
    <w:rsid w:val="00143EB9"/>
    <w:rsid w:val="00152C5A"/>
    <w:rsid w:val="001534F2"/>
    <w:rsid w:val="0015389C"/>
    <w:rsid w:val="00160540"/>
    <w:rsid w:val="00166698"/>
    <w:rsid w:val="00166C68"/>
    <w:rsid w:val="00174814"/>
    <w:rsid w:val="00181A90"/>
    <w:rsid w:val="00185B81"/>
    <w:rsid w:val="00190D5D"/>
    <w:rsid w:val="00192EEB"/>
    <w:rsid w:val="00194484"/>
    <w:rsid w:val="001A2040"/>
    <w:rsid w:val="001A20FB"/>
    <w:rsid w:val="001A252F"/>
    <w:rsid w:val="001A376F"/>
    <w:rsid w:val="001A4CDC"/>
    <w:rsid w:val="001B09BB"/>
    <w:rsid w:val="001B58BE"/>
    <w:rsid w:val="001B7871"/>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538E"/>
    <w:rsid w:val="00224B8B"/>
    <w:rsid w:val="00225A8C"/>
    <w:rsid w:val="00230ED3"/>
    <w:rsid w:val="00231A7F"/>
    <w:rsid w:val="00235E5E"/>
    <w:rsid w:val="00242BBD"/>
    <w:rsid w:val="00244817"/>
    <w:rsid w:val="0024586F"/>
    <w:rsid w:val="00246BC8"/>
    <w:rsid w:val="00251F95"/>
    <w:rsid w:val="00252317"/>
    <w:rsid w:val="00262A5B"/>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E16"/>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46B6"/>
    <w:rsid w:val="004067AE"/>
    <w:rsid w:val="00410521"/>
    <w:rsid w:val="00413BB0"/>
    <w:rsid w:val="004159D0"/>
    <w:rsid w:val="00417326"/>
    <w:rsid w:val="00421A10"/>
    <w:rsid w:val="00422499"/>
    <w:rsid w:val="004263B9"/>
    <w:rsid w:val="00430EFC"/>
    <w:rsid w:val="004342E2"/>
    <w:rsid w:val="00434354"/>
    <w:rsid w:val="00440BC8"/>
    <w:rsid w:val="00442E31"/>
    <w:rsid w:val="00454F8D"/>
    <w:rsid w:val="004567EB"/>
    <w:rsid w:val="00457676"/>
    <w:rsid w:val="00460E72"/>
    <w:rsid w:val="00464191"/>
    <w:rsid w:val="00467412"/>
    <w:rsid w:val="00467F2C"/>
    <w:rsid w:val="00476265"/>
    <w:rsid w:val="00482FD9"/>
    <w:rsid w:val="0048687D"/>
    <w:rsid w:val="00490F56"/>
    <w:rsid w:val="00491F39"/>
    <w:rsid w:val="00494725"/>
    <w:rsid w:val="004A49A5"/>
    <w:rsid w:val="004A5FDB"/>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03BD"/>
    <w:rsid w:val="00543B57"/>
    <w:rsid w:val="00543C47"/>
    <w:rsid w:val="00543C65"/>
    <w:rsid w:val="00543D5E"/>
    <w:rsid w:val="00552260"/>
    <w:rsid w:val="00552777"/>
    <w:rsid w:val="00555494"/>
    <w:rsid w:val="00555CBA"/>
    <w:rsid w:val="00556C1A"/>
    <w:rsid w:val="0056465D"/>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5F6CA4"/>
    <w:rsid w:val="0061113B"/>
    <w:rsid w:val="00611D43"/>
    <w:rsid w:val="00612166"/>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5758B"/>
    <w:rsid w:val="00661E96"/>
    <w:rsid w:val="00665786"/>
    <w:rsid w:val="00671C93"/>
    <w:rsid w:val="00671F00"/>
    <w:rsid w:val="006729C8"/>
    <w:rsid w:val="00675501"/>
    <w:rsid w:val="0068562A"/>
    <w:rsid w:val="006A6B31"/>
    <w:rsid w:val="006A6C95"/>
    <w:rsid w:val="006A76B6"/>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1AFE"/>
    <w:rsid w:val="007723C2"/>
    <w:rsid w:val="007815B9"/>
    <w:rsid w:val="00783E82"/>
    <w:rsid w:val="00784D74"/>
    <w:rsid w:val="00785F1F"/>
    <w:rsid w:val="007869B6"/>
    <w:rsid w:val="00790B9D"/>
    <w:rsid w:val="00796316"/>
    <w:rsid w:val="007A1C58"/>
    <w:rsid w:val="007A20D2"/>
    <w:rsid w:val="007A79CD"/>
    <w:rsid w:val="007B260B"/>
    <w:rsid w:val="007C16EA"/>
    <w:rsid w:val="007D2668"/>
    <w:rsid w:val="007D3119"/>
    <w:rsid w:val="007D4F6A"/>
    <w:rsid w:val="007E5A05"/>
    <w:rsid w:val="007F1867"/>
    <w:rsid w:val="007F1EC4"/>
    <w:rsid w:val="007F55CB"/>
    <w:rsid w:val="007F768E"/>
    <w:rsid w:val="008021D4"/>
    <w:rsid w:val="00812A19"/>
    <w:rsid w:val="008149F9"/>
    <w:rsid w:val="008245B7"/>
    <w:rsid w:val="0082755E"/>
    <w:rsid w:val="00831A18"/>
    <w:rsid w:val="00837345"/>
    <w:rsid w:val="00844750"/>
    <w:rsid w:val="00851A74"/>
    <w:rsid w:val="00853AB8"/>
    <w:rsid w:val="008545A5"/>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22C6"/>
    <w:rsid w:val="009230F1"/>
    <w:rsid w:val="00926925"/>
    <w:rsid w:val="009353EB"/>
    <w:rsid w:val="00935490"/>
    <w:rsid w:val="009418DE"/>
    <w:rsid w:val="009516B7"/>
    <w:rsid w:val="009545F1"/>
    <w:rsid w:val="00957CE5"/>
    <w:rsid w:val="009624E2"/>
    <w:rsid w:val="009707E4"/>
    <w:rsid w:val="00973B8F"/>
    <w:rsid w:val="00974627"/>
    <w:rsid w:val="00974DD2"/>
    <w:rsid w:val="00977EC8"/>
    <w:rsid w:val="009906FD"/>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37EAD"/>
    <w:rsid w:val="00A45E90"/>
    <w:rsid w:val="00A4770F"/>
    <w:rsid w:val="00A50D6B"/>
    <w:rsid w:val="00A51050"/>
    <w:rsid w:val="00A56945"/>
    <w:rsid w:val="00A57027"/>
    <w:rsid w:val="00A5750C"/>
    <w:rsid w:val="00A72C35"/>
    <w:rsid w:val="00A752BB"/>
    <w:rsid w:val="00A81F93"/>
    <w:rsid w:val="00A9247E"/>
    <w:rsid w:val="00AA0DCA"/>
    <w:rsid w:val="00AA14C4"/>
    <w:rsid w:val="00AA7796"/>
    <w:rsid w:val="00AC67A1"/>
    <w:rsid w:val="00AC7977"/>
    <w:rsid w:val="00AC7E56"/>
    <w:rsid w:val="00AD76C9"/>
    <w:rsid w:val="00AE2617"/>
    <w:rsid w:val="00AE352C"/>
    <w:rsid w:val="00AE39A5"/>
    <w:rsid w:val="00AE79AC"/>
    <w:rsid w:val="00AF3CF6"/>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2B57"/>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075EB"/>
    <w:rsid w:val="00C10FB1"/>
    <w:rsid w:val="00C11282"/>
    <w:rsid w:val="00C112E3"/>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5629"/>
    <w:rsid w:val="00C67D23"/>
    <w:rsid w:val="00C704F6"/>
    <w:rsid w:val="00C71827"/>
    <w:rsid w:val="00C75D25"/>
    <w:rsid w:val="00C825E5"/>
    <w:rsid w:val="00C95EB8"/>
    <w:rsid w:val="00C960DC"/>
    <w:rsid w:val="00CA0756"/>
    <w:rsid w:val="00CB02C5"/>
    <w:rsid w:val="00CB0D41"/>
    <w:rsid w:val="00CB39CD"/>
    <w:rsid w:val="00CC2A62"/>
    <w:rsid w:val="00CC6063"/>
    <w:rsid w:val="00CC7CE6"/>
    <w:rsid w:val="00CD044C"/>
    <w:rsid w:val="00CD1A71"/>
    <w:rsid w:val="00CD1FBB"/>
    <w:rsid w:val="00CE033D"/>
    <w:rsid w:val="00CE08E5"/>
    <w:rsid w:val="00D016B5"/>
    <w:rsid w:val="00D02438"/>
    <w:rsid w:val="00D034F1"/>
    <w:rsid w:val="00D05828"/>
    <w:rsid w:val="00D06712"/>
    <w:rsid w:val="00D13CAA"/>
    <w:rsid w:val="00D14C21"/>
    <w:rsid w:val="00D14F42"/>
    <w:rsid w:val="00D171D4"/>
    <w:rsid w:val="00D244CB"/>
    <w:rsid w:val="00D27D5E"/>
    <w:rsid w:val="00D31871"/>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02EE"/>
    <w:rsid w:val="00DC161C"/>
    <w:rsid w:val="00DC3628"/>
    <w:rsid w:val="00DC4F43"/>
    <w:rsid w:val="00DE083E"/>
    <w:rsid w:val="00DE6D90"/>
    <w:rsid w:val="00DF002F"/>
    <w:rsid w:val="00E0244D"/>
    <w:rsid w:val="00E026DF"/>
    <w:rsid w:val="00E02F48"/>
    <w:rsid w:val="00E03712"/>
    <w:rsid w:val="00E06B3F"/>
    <w:rsid w:val="00E10A73"/>
    <w:rsid w:val="00E13B74"/>
    <w:rsid w:val="00E14F27"/>
    <w:rsid w:val="00E171D2"/>
    <w:rsid w:val="00E25534"/>
    <w:rsid w:val="00E319B6"/>
    <w:rsid w:val="00E32145"/>
    <w:rsid w:val="00E32F5A"/>
    <w:rsid w:val="00E36089"/>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0DF5"/>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14E6"/>
    <w:rsid w:val="00FD5E64"/>
    <w:rsid w:val="00FD7985"/>
    <w:rsid w:val="00FE3E4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9AC24A41-A4BF-41C4-99FE-D49B0810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paragraph" w:customStyle="1" w:styleId="SingleTxtGR">
    <w:name w:val="_ Single Txt_GR"/>
    <w:basedOn w:val="Normal"/>
    <w:qFormat/>
    <w:rsid w:val="007D4F6A"/>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1FC3-4D24-40EE-A9BF-32384563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6395</Words>
  <Characters>36454</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E/ECE/324/Rev.1/Add.36/Rev.7/Amend.8</vt:lpstr>
      <vt:lpstr>E/ECE/324/Rev.1/Add.36/Rev.7/Amend.8</vt:lpstr>
    </vt:vector>
  </TitlesOfParts>
  <Company>CSD</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E/ECE/324/Rev.1/Add.36/Rev.7/Amend.8</dc:title>
  <dc:creator>Annie BEAUNEE</dc:creator>
  <cp:keywords>E/ECE/TRANS/505/Rev.1/Add.36/Rev.7/Amend.8</cp:keywords>
  <cp:lastModifiedBy>Marie-Claude Collet</cp:lastModifiedBy>
  <cp:revision>3</cp:revision>
  <cp:lastPrinted>2017-12-14T11:59:00Z</cp:lastPrinted>
  <dcterms:created xsi:type="dcterms:W3CDTF">2017-12-14T11:59:00Z</dcterms:created>
  <dcterms:modified xsi:type="dcterms:W3CDTF">2017-12-14T11:59:00Z</dcterms:modified>
</cp:coreProperties>
</file>