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"/>
        <w:gridCol w:w="710"/>
        <w:gridCol w:w="6092"/>
        <w:gridCol w:w="2696"/>
      </w:tblGrid>
      <w:tr w:rsidR="002D5AAC" w:rsidRPr="00E03F87" w:rsidTr="006C5770">
        <w:trPr>
          <w:trHeight w:hRule="exact" w:val="851"/>
        </w:trPr>
        <w:tc>
          <w:tcPr>
            <w:tcW w:w="141" w:type="dxa"/>
            <w:tcBorders>
              <w:bottom w:val="single" w:sz="4" w:space="0" w:color="auto"/>
            </w:tcBorders>
          </w:tcPr>
          <w:p w:rsidR="002D5AAC" w:rsidRPr="007D3B35" w:rsidRDefault="002D5AAC" w:rsidP="002B709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710" w:type="dxa"/>
            <w:tcBorders>
              <w:bottom w:val="single" w:sz="4" w:space="0" w:color="auto"/>
            </w:tcBorders>
            <w:vAlign w:val="bottom"/>
          </w:tcPr>
          <w:p w:rsidR="002D5AAC" w:rsidRPr="007D3B35" w:rsidRDefault="002D5AAC" w:rsidP="00DD44B1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8788" w:type="dxa"/>
            <w:gridSpan w:val="2"/>
            <w:tcBorders>
              <w:bottom w:val="single" w:sz="4" w:space="0" w:color="auto"/>
            </w:tcBorders>
            <w:vAlign w:val="bottom"/>
          </w:tcPr>
          <w:p w:rsidR="002B709B" w:rsidRPr="00F841D9" w:rsidRDefault="002B709B" w:rsidP="002B709B">
            <w:pPr>
              <w:jc w:val="right"/>
              <w:rPr>
                <w:lang w:val="en-US"/>
              </w:rPr>
            </w:pPr>
            <w:r w:rsidRPr="00F841D9">
              <w:rPr>
                <w:sz w:val="40"/>
                <w:lang w:val="en-US"/>
              </w:rPr>
              <w:t>E</w:t>
            </w:r>
            <w:r w:rsidRPr="00F841D9">
              <w:rPr>
                <w:lang w:val="en-US"/>
              </w:rPr>
              <w:t>/ECE/324/Rev.1/Add.15/Rev.8/Amend.2</w:t>
            </w:r>
            <w:r w:rsidRPr="00F841D9">
              <w:rPr>
                <w:rFonts w:cs="Times New Roman"/>
                <w:lang w:val="en-US"/>
              </w:rPr>
              <w:t>−</w:t>
            </w:r>
            <w:r w:rsidRPr="00F841D9">
              <w:rPr>
                <w:sz w:val="40"/>
                <w:lang w:val="en-US"/>
              </w:rPr>
              <w:t>E</w:t>
            </w:r>
            <w:r w:rsidRPr="00F841D9">
              <w:rPr>
                <w:lang w:val="en-US"/>
              </w:rPr>
              <w:t>/ECE/TRANS/505/Rev.1/Add.15/Rev.8/Amend.2</w:t>
            </w:r>
          </w:p>
        </w:tc>
      </w:tr>
      <w:tr w:rsidR="002D5AAC" w:rsidRPr="007D3B35" w:rsidTr="006C5770">
        <w:trPr>
          <w:trHeight w:hRule="exact" w:val="2835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F841D9" w:rsidRDefault="002D5AAC" w:rsidP="00DD44B1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F841D9" w:rsidRDefault="002D5AAC" w:rsidP="00DD44B1">
            <w:pPr>
              <w:suppressAutoHyphens/>
              <w:spacing w:before="120" w:line="38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31009F" w:rsidRDefault="0031009F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2B709B" w:rsidRPr="007D3B35" w:rsidRDefault="002B709B" w:rsidP="002B709B">
            <w:pPr>
              <w:spacing w:line="240" w:lineRule="exact"/>
            </w:pPr>
            <w:r w:rsidRPr="007D3B35">
              <w:t xml:space="preserve">22 </w:t>
            </w:r>
            <w:proofErr w:type="spellStart"/>
            <w:r w:rsidRPr="007D3B35">
              <w:t>February</w:t>
            </w:r>
            <w:proofErr w:type="spellEnd"/>
            <w:r w:rsidRPr="007D3B35">
              <w:t xml:space="preserve"> 2017</w:t>
            </w:r>
          </w:p>
          <w:p w:rsidR="002B709B" w:rsidRPr="0031009F" w:rsidRDefault="0031009F" w:rsidP="002B709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:rsidR="00813D4D" w:rsidRPr="00FE3EB4" w:rsidRDefault="00813D4D" w:rsidP="00245346">
      <w:pPr>
        <w:pStyle w:val="HChGR"/>
        <w:spacing w:before="200"/>
      </w:pPr>
      <w:r w:rsidRPr="007D3B35">
        <w:tab/>
      </w:r>
      <w:r w:rsidR="00832A36">
        <w:tab/>
      </w:r>
      <w:r w:rsidRPr="00FE3EB4">
        <w:t>Соглашение</w:t>
      </w:r>
    </w:p>
    <w:p w:rsidR="00813D4D" w:rsidRPr="00FE3EB4" w:rsidRDefault="00813D4D" w:rsidP="00245346">
      <w:pPr>
        <w:pStyle w:val="H1GR"/>
        <w:spacing w:before="240"/>
      </w:pPr>
      <w:r w:rsidRPr="00FE3EB4">
        <w:tab/>
      </w:r>
      <w:r w:rsidRPr="00FE3EB4">
        <w:tab/>
      </w:r>
      <w:proofErr w:type="gramStart"/>
      <w:r w:rsidRPr="00FE3EB4">
        <w:t>О принятии единообраз</w:t>
      </w:r>
      <w:r w:rsidR="0031009F" w:rsidRPr="00FE3EB4">
        <w:t>ных технических предписаний для</w:t>
      </w:r>
      <w:r w:rsidR="0031009F" w:rsidRPr="00FE3EB4">
        <w:rPr>
          <w:lang w:val="en-US"/>
        </w:rPr>
        <w:t> </w:t>
      </w:r>
      <w:r w:rsidRPr="00FE3EB4">
        <w:t xml:space="preserve">колесных транспортных средств, предметов оборудования и частей, которые могут быть установлены </w:t>
      </w:r>
      <w:r w:rsidR="0031009F" w:rsidRPr="00FE3EB4">
        <w:br/>
      </w:r>
      <w:r w:rsidRPr="00FE3EB4">
        <w:t xml:space="preserve">и/или использованы на колесных транспортных средствах, </w:t>
      </w:r>
      <w:r w:rsidR="0031009F" w:rsidRPr="00FE3EB4">
        <w:br/>
      </w:r>
      <w:r w:rsidRPr="00FE3EB4">
        <w:t>и об условиях взаимного признания официальных утверждений, выдаваемых на основе этих предписаний</w:t>
      </w:r>
      <w:r w:rsidRPr="00F841D9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FE3EB4">
        <w:rPr>
          <w:rStyle w:val="FootnoteReference"/>
          <w:sz w:val="28"/>
        </w:rPr>
        <w:t xml:space="preserve"> </w:t>
      </w:r>
      <w:proofErr w:type="gramEnd"/>
    </w:p>
    <w:p w:rsidR="00813D4D" w:rsidRPr="00FE3EB4" w:rsidRDefault="00813D4D" w:rsidP="00245346">
      <w:pPr>
        <w:pStyle w:val="SingleTxtGR"/>
        <w:spacing w:after="40" w:line="220" w:lineRule="atLeast"/>
      </w:pPr>
      <w:r w:rsidRPr="00FE3EB4">
        <w:t>(Пересмотр 2, включающий поправки, вступившие в силу 16 октября 1995 года)</w:t>
      </w:r>
    </w:p>
    <w:p w:rsidR="00813D4D" w:rsidRPr="00FE3EB4" w:rsidRDefault="00813D4D" w:rsidP="00245346">
      <w:pPr>
        <w:spacing w:before="80" w:line="220" w:lineRule="atLeast"/>
        <w:jc w:val="center"/>
        <w:rPr>
          <w:u w:val="single"/>
        </w:rPr>
      </w:pPr>
      <w:r w:rsidRPr="00FE3EB4">
        <w:rPr>
          <w:u w:val="single"/>
        </w:rPr>
        <w:tab/>
      </w:r>
      <w:r w:rsidRPr="00FE3EB4">
        <w:rPr>
          <w:u w:val="single"/>
        </w:rPr>
        <w:tab/>
      </w:r>
    </w:p>
    <w:p w:rsidR="00813D4D" w:rsidRPr="00FE3EB4" w:rsidRDefault="00813D4D" w:rsidP="00245346">
      <w:pPr>
        <w:pStyle w:val="H1GR"/>
        <w:spacing w:before="320" w:after="120"/>
      </w:pPr>
      <w:r w:rsidRPr="00FE3EB4">
        <w:tab/>
      </w:r>
      <w:r w:rsidRPr="00FE3EB4">
        <w:tab/>
        <w:t>Добавление 15: Правила № 16</w:t>
      </w:r>
    </w:p>
    <w:p w:rsidR="00813D4D" w:rsidRPr="00FE3EB4" w:rsidRDefault="00813D4D" w:rsidP="00245346">
      <w:pPr>
        <w:pStyle w:val="H1GR"/>
        <w:spacing w:before="200" w:after="200"/>
        <w:rPr>
          <w:bCs/>
          <w:szCs w:val="24"/>
        </w:rPr>
      </w:pPr>
      <w:r w:rsidRPr="00FE3EB4">
        <w:tab/>
      </w:r>
      <w:r w:rsidRPr="00FE3EB4">
        <w:tab/>
      </w:r>
      <w:r w:rsidRPr="00FE3EB4">
        <w:rPr>
          <w:bCs/>
          <w:szCs w:val="24"/>
        </w:rPr>
        <w:t>Пересмотр 8 – Поправка 2</w:t>
      </w:r>
    </w:p>
    <w:p w:rsidR="00813D4D" w:rsidRPr="00FE3EB4" w:rsidRDefault="00813D4D" w:rsidP="00813D4D">
      <w:pPr>
        <w:pStyle w:val="SingleTxtGR"/>
      </w:pPr>
      <w:r w:rsidRPr="00FE3EB4">
        <w:t xml:space="preserve">Дополнение 7 к поправкам серии 06 – Дата вступления в силу: 9 февраля 2017 года </w:t>
      </w:r>
    </w:p>
    <w:p w:rsidR="00813D4D" w:rsidRPr="00FE3EB4" w:rsidRDefault="00813D4D" w:rsidP="00813D4D">
      <w:pPr>
        <w:pStyle w:val="H1GR"/>
        <w:keepNext w:val="0"/>
        <w:keepLines w:val="0"/>
        <w:spacing w:before="120" w:after="60" w:line="220" w:lineRule="exact"/>
        <w:rPr>
          <w:sz w:val="21"/>
          <w:szCs w:val="21"/>
        </w:rPr>
      </w:pPr>
      <w:r w:rsidRPr="00FE3EB4">
        <w:tab/>
      </w:r>
      <w:r w:rsidRPr="00FE3EB4">
        <w:tab/>
      </w:r>
      <w:r w:rsidRPr="00FE3EB4">
        <w:rPr>
          <w:sz w:val="21"/>
          <w:szCs w:val="21"/>
        </w:rPr>
        <w:t>Единообразные предписания, касающиеся официального утверждения:</w:t>
      </w:r>
    </w:p>
    <w:p w:rsidR="00813D4D" w:rsidRPr="00FE3EB4" w:rsidRDefault="00813D4D" w:rsidP="00813D4D">
      <w:pPr>
        <w:pStyle w:val="H1GR"/>
        <w:keepNext w:val="0"/>
        <w:keepLines w:val="0"/>
        <w:tabs>
          <w:tab w:val="clear" w:pos="851"/>
          <w:tab w:val="left" w:pos="1134"/>
        </w:tabs>
        <w:spacing w:before="0" w:after="60" w:line="240" w:lineRule="auto"/>
        <w:ind w:left="1701" w:hanging="1701"/>
        <w:rPr>
          <w:sz w:val="21"/>
          <w:szCs w:val="21"/>
        </w:rPr>
      </w:pPr>
      <w:r w:rsidRPr="00FE3EB4">
        <w:rPr>
          <w:sz w:val="21"/>
          <w:szCs w:val="21"/>
        </w:rPr>
        <w:tab/>
        <w:t>I.</w:t>
      </w:r>
      <w:r w:rsidRPr="00FE3EB4">
        <w:rPr>
          <w:sz w:val="21"/>
          <w:szCs w:val="21"/>
        </w:rPr>
        <w:tab/>
        <w:t>Ремней безопасности, удерживающих систем, детских удерживающих систем и детских удерживающих систем ISOFIX, предназначенных для лиц, находящихся в механических транспортных средствах</w:t>
      </w:r>
    </w:p>
    <w:p w:rsidR="00813D4D" w:rsidRPr="00FE3EB4" w:rsidRDefault="00813D4D" w:rsidP="00813D4D">
      <w:pPr>
        <w:pStyle w:val="H1GR"/>
        <w:keepNext w:val="0"/>
        <w:keepLines w:val="0"/>
        <w:tabs>
          <w:tab w:val="clear" w:pos="851"/>
          <w:tab w:val="left" w:pos="1134"/>
        </w:tabs>
        <w:spacing w:before="0" w:after="60" w:line="240" w:lineRule="auto"/>
        <w:ind w:left="1701" w:hanging="1701"/>
        <w:rPr>
          <w:sz w:val="21"/>
          <w:szCs w:val="21"/>
        </w:rPr>
      </w:pPr>
      <w:r w:rsidRPr="00FE3EB4">
        <w:rPr>
          <w:sz w:val="21"/>
          <w:szCs w:val="21"/>
        </w:rPr>
        <w:tab/>
        <w:t>II.</w:t>
      </w:r>
      <w:r w:rsidRPr="00FE3EB4">
        <w:rPr>
          <w:sz w:val="21"/>
          <w:szCs w:val="21"/>
        </w:rPr>
        <w:tab/>
        <w:t>Транспортных средств, оснащенных ремнями безопасности, сигнализаторами непристегнутого ремня безопасности, удерживающими системами, детскими удерживающими системами ISOFIX и детскими удерживающими системами размера i</w:t>
      </w:r>
    </w:p>
    <w:p w:rsidR="00813D4D" w:rsidRPr="00FE3EB4" w:rsidRDefault="00813D4D" w:rsidP="00813D4D">
      <w:pPr>
        <w:pStyle w:val="SingleTxtGR"/>
        <w:rPr>
          <w:lang w:eastAsia="en-GB"/>
        </w:rPr>
      </w:pPr>
      <w:r w:rsidRPr="00FE3EB4">
        <w:t>Настоящий документ опубликован исключительно в информационных целях. Аутентичным и юридически обязательным текстом является документ</w:t>
      </w:r>
      <w:r w:rsidRPr="00FE3EB4">
        <w:rPr>
          <w:b/>
          <w:bCs/>
        </w:rPr>
        <w:t xml:space="preserve"> </w:t>
      </w:r>
      <w:r w:rsidRPr="00FE3EB4">
        <w:rPr>
          <w:lang w:eastAsia="en-GB"/>
        </w:rPr>
        <w:t>ECE/</w:t>
      </w:r>
      <w:r w:rsidR="000B3D4C" w:rsidRPr="00FE3EB4">
        <w:rPr>
          <w:lang w:eastAsia="en-GB"/>
        </w:rPr>
        <w:br/>
      </w:r>
      <w:r w:rsidRPr="00FE3EB4">
        <w:rPr>
          <w:lang w:eastAsia="en-GB"/>
        </w:rPr>
        <w:t>TRANS/WP.29/2016/36.</w:t>
      </w:r>
    </w:p>
    <w:p w:rsidR="00813D4D" w:rsidRPr="007D3B35" w:rsidRDefault="00813D4D" w:rsidP="00813D4D">
      <w:pPr>
        <w:pStyle w:val="SingleTxtGR"/>
        <w:jc w:val="center"/>
        <w:rPr>
          <w:u w:val="single"/>
          <w:lang w:eastAsia="en-GB"/>
        </w:rPr>
      </w:pPr>
      <w:r w:rsidRPr="007D3B35">
        <w:rPr>
          <w:u w:val="single"/>
          <w:lang w:eastAsia="en-GB"/>
        </w:rPr>
        <w:tab/>
      </w:r>
      <w:r w:rsidRPr="007D3B35">
        <w:rPr>
          <w:u w:val="single"/>
          <w:lang w:eastAsia="en-GB"/>
        </w:rPr>
        <w:tab/>
      </w:r>
    </w:p>
    <w:p w:rsidR="00813D4D" w:rsidRPr="007D3B35" w:rsidRDefault="00813D4D" w:rsidP="00813D4D">
      <w:pPr>
        <w:pStyle w:val="SingleTxtGR"/>
        <w:jc w:val="center"/>
        <w:rPr>
          <w:lang w:eastAsia="en-GB"/>
        </w:rPr>
      </w:pPr>
      <w:r w:rsidRPr="007D3B35">
        <w:rPr>
          <w:b/>
          <w:noProof/>
          <w:spacing w:val="0"/>
          <w:w w:val="100"/>
          <w:kern w:val="0"/>
          <w:sz w:val="24"/>
          <w:lang w:val="en-GB" w:eastAsia="en-GB"/>
        </w:rPr>
        <w:drawing>
          <wp:inline distT="0" distB="0" distL="0" distR="0" wp14:anchorId="36DF5593" wp14:editId="30E2A8EB">
            <wp:extent cx="799017" cy="642174"/>
            <wp:effectExtent l="0" t="0" r="127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15" cy="643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5190" w:rsidRDefault="00813D4D" w:rsidP="00B55190">
      <w:pPr>
        <w:pStyle w:val="SingleTxtGR"/>
        <w:jc w:val="center"/>
        <w:rPr>
          <w:b/>
        </w:rPr>
      </w:pPr>
      <w:r w:rsidRPr="007D3B35">
        <w:rPr>
          <w:b/>
        </w:rPr>
        <w:lastRenderedPageBreak/>
        <w:t>ОРГАНИЗАЦИЯ ОБЪЕДИНЕННЫХ НАЦИЙ</w:t>
      </w:r>
    </w:p>
    <w:p w:rsidR="00813D4D" w:rsidRPr="007D3B35" w:rsidRDefault="00813D4D" w:rsidP="00D54DC7">
      <w:pPr>
        <w:pStyle w:val="SingleTxtGR"/>
      </w:pPr>
      <w:r w:rsidRPr="007D3B35">
        <w:rPr>
          <w:i/>
        </w:rPr>
        <w:t>Пункт 2.14.6</w:t>
      </w:r>
      <w:r w:rsidRPr="007D3B35">
        <w:t xml:space="preserve"> изменить следующим образом:</w:t>
      </w:r>
    </w:p>
    <w:p w:rsidR="00813D4D" w:rsidRPr="007D3B35" w:rsidRDefault="00813D4D" w:rsidP="00813D4D">
      <w:pPr>
        <w:pStyle w:val="SingleTxtGR"/>
      </w:pPr>
      <w:r w:rsidRPr="007D3B35">
        <w:t>«2.14.6</w:t>
      </w:r>
      <w:r w:rsidRPr="007D3B35">
        <w:tab/>
        <w:t>Устройство регулировки ремня по высоте</w:t>
      </w:r>
    </w:p>
    <w:p w:rsidR="00813D4D" w:rsidRPr="007D3B35" w:rsidRDefault="003C1CA7" w:rsidP="003C1CA7">
      <w:pPr>
        <w:pStyle w:val="SingleTxtGR"/>
        <w:ind w:left="2268" w:hanging="1134"/>
      </w:pPr>
      <w:r w:rsidRPr="007D3B35">
        <w:tab/>
      </w:r>
      <w:r w:rsidRPr="007D3B35">
        <w:tab/>
      </w:r>
      <w:r w:rsidR="00813D4D" w:rsidRPr="007D3B35">
        <w:t>Устройство, позволяющее регулировать по высоте положение вер</w:t>
      </w:r>
      <w:r w:rsidR="00813D4D" w:rsidRPr="007D3B35">
        <w:t>х</w:t>
      </w:r>
      <w:r w:rsidR="00813D4D" w:rsidRPr="007D3B35">
        <w:t>него обхвата ремня (закрепленное непосредственно на транспор</w:t>
      </w:r>
      <w:r w:rsidR="00813D4D" w:rsidRPr="007D3B35">
        <w:t>т</w:t>
      </w:r>
      <w:r w:rsidR="00813D4D" w:rsidRPr="007D3B35">
        <w:t>ном средстве или на жестких структурных элементах сиденья) по индивидуальному желанию пользователя и в зависимости от пол</w:t>
      </w:r>
      <w:r w:rsidR="00813D4D" w:rsidRPr="007D3B35">
        <w:t>о</w:t>
      </w:r>
      <w:r w:rsidR="00813D4D" w:rsidRPr="007D3B35">
        <w:t>жения сиденья. Такое устройство может рассматриваться как часть ремня или как часть крепления ремня».</w:t>
      </w:r>
    </w:p>
    <w:p w:rsidR="00813D4D" w:rsidRPr="007D3B35" w:rsidRDefault="00813D4D" w:rsidP="00813D4D">
      <w:pPr>
        <w:pStyle w:val="SingleTxtGR"/>
      </w:pPr>
      <w:r w:rsidRPr="007D3B35">
        <w:rPr>
          <w:i/>
        </w:rPr>
        <w:t>Включить новый пункт 2.14.7</w:t>
      </w:r>
      <w:r w:rsidRPr="007D3B35">
        <w:t xml:space="preserve"> следующего содержания:</w:t>
      </w:r>
    </w:p>
    <w:p w:rsidR="00813D4D" w:rsidRPr="007D3B35" w:rsidRDefault="00813D4D" w:rsidP="00813D4D">
      <w:pPr>
        <w:pStyle w:val="SingleTxtGR"/>
      </w:pPr>
      <w:r w:rsidRPr="007D3B35">
        <w:t>«2.14.7</w:t>
      </w:r>
      <w:r w:rsidRPr="007D3B35">
        <w:tab/>
        <w:t xml:space="preserve">"Гибкое устройство регулировки по высоте на уровне плеча" </w:t>
      </w:r>
    </w:p>
    <w:p w:rsidR="00813D4D" w:rsidRPr="007D3B35" w:rsidRDefault="00875900" w:rsidP="003E359E">
      <w:pPr>
        <w:pStyle w:val="SingleTxtGR"/>
        <w:ind w:left="2268" w:hanging="1134"/>
      </w:pPr>
      <w:r w:rsidRPr="007D3B35">
        <w:tab/>
      </w:r>
      <w:r w:rsidRPr="007D3B35">
        <w:tab/>
      </w:r>
      <w:r w:rsidR="00813D4D" w:rsidRPr="007D3B35">
        <w:t>Устройство регулировки по высоте на уровне плеча индивидуал</w:t>
      </w:r>
      <w:r w:rsidR="00813D4D" w:rsidRPr="007D3B35">
        <w:t>ь</w:t>
      </w:r>
      <w:r w:rsidR="00813D4D" w:rsidRPr="007D3B35">
        <w:t>ного пользователя, когда регулировочный элемент не закреплен непосредственно на конструкции транспортного средства (напр</w:t>
      </w:r>
      <w:r w:rsidR="00813D4D" w:rsidRPr="007D3B35">
        <w:t>и</w:t>
      </w:r>
      <w:r w:rsidR="00813D4D" w:rsidRPr="007D3B35">
        <w:t>мер, на стойке) или на конструкции сиденья (например, на жестких структурных элементах сиденья), но когда регулировка плечевой части:</w:t>
      </w:r>
    </w:p>
    <w:p w:rsidR="00813D4D" w:rsidRPr="007D3B35" w:rsidRDefault="00875900" w:rsidP="003E359E">
      <w:pPr>
        <w:pStyle w:val="SingleTxtGR"/>
        <w:ind w:left="2268" w:hanging="1134"/>
      </w:pPr>
      <w:r w:rsidRPr="007D3B35">
        <w:tab/>
      </w:r>
      <w:r w:rsidRPr="007D3B35">
        <w:tab/>
      </w:r>
      <w:r w:rsidR="00813D4D" w:rsidRPr="007D3B35">
        <w:t>a)</w:t>
      </w:r>
      <w:r w:rsidR="00813D4D" w:rsidRPr="007D3B35">
        <w:tab/>
        <w:t>производится путем перемещения по гибкой конструкции; и</w:t>
      </w:r>
    </w:p>
    <w:p w:rsidR="00813D4D" w:rsidRPr="007D3B35" w:rsidRDefault="00875900" w:rsidP="003E359E">
      <w:pPr>
        <w:pStyle w:val="SingleTxtGR"/>
        <w:ind w:left="2268" w:hanging="1134"/>
      </w:pPr>
      <w:r w:rsidRPr="007D3B35">
        <w:tab/>
      </w:r>
      <w:r w:rsidRPr="007D3B35">
        <w:tab/>
      </w:r>
      <w:r w:rsidR="00813D4D" w:rsidRPr="007D3B35">
        <w:t>b)</w:t>
      </w:r>
      <w:r w:rsidR="00813D4D" w:rsidRPr="007D3B35">
        <w:tab/>
        <w:t>не препятствует прохождению поясного ремня».</w:t>
      </w:r>
    </w:p>
    <w:p w:rsidR="00813D4D" w:rsidRPr="007D3B35" w:rsidRDefault="00813D4D" w:rsidP="00813D4D">
      <w:pPr>
        <w:pStyle w:val="SingleTxtGR"/>
      </w:pPr>
      <w:r w:rsidRPr="007D3B35">
        <w:rPr>
          <w:i/>
        </w:rPr>
        <w:t>Пункт 6.4.1.2.3</w:t>
      </w:r>
      <w:r w:rsidRPr="007D3B35">
        <w:t xml:space="preserve"> изменить следующим образом:</w:t>
      </w:r>
    </w:p>
    <w:p w:rsidR="00813D4D" w:rsidRPr="007D3B35" w:rsidRDefault="00813D4D" w:rsidP="003E359E">
      <w:pPr>
        <w:pStyle w:val="SingleTxtGR"/>
        <w:ind w:left="2268" w:hanging="1134"/>
      </w:pPr>
      <w:r w:rsidRPr="007D3B35">
        <w:t>«6.4.1.2.3</w:t>
      </w:r>
      <w:r w:rsidRPr="007D3B35">
        <w:tab/>
        <w:t>В случае ремня, предназначенного для использования с устро</w:t>
      </w:r>
      <w:r w:rsidRPr="007D3B35">
        <w:t>й</w:t>
      </w:r>
      <w:r w:rsidRPr="007D3B35">
        <w:t>ством регулировки по высоте, определение которого содержится в пункте 2.14.6 выше, испытание проводят для наиболее неблагопр</w:t>
      </w:r>
      <w:r w:rsidRPr="007D3B35">
        <w:t>и</w:t>
      </w:r>
      <w:r w:rsidRPr="007D3B35">
        <w:t>ятного(ых) положения(й) регулировки ремня, выбранного(ых) те</w:t>
      </w:r>
      <w:r w:rsidRPr="007D3B35">
        <w:t>х</w:t>
      </w:r>
      <w:r w:rsidRPr="007D3B35">
        <w:t>нической службой, уполномоченной проводить испытания. Однако:</w:t>
      </w:r>
    </w:p>
    <w:p w:rsidR="00813D4D" w:rsidRPr="007D3B35" w:rsidRDefault="00813D4D" w:rsidP="003E359E">
      <w:pPr>
        <w:pStyle w:val="SingleTxtGR"/>
        <w:ind w:left="2268" w:hanging="1134"/>
      </w:pPr>
      <w:r w:rsidRPr="007D3B35">
        <w:rPr>
          <w:bCs/>
        </w:rPr>
        <w:t>6.4.1.2.3.1</w:t>
      </w:r>
      <w:r w:rsidRPr="007D3B35">
        <w:rPr>
          <w:bCs/>
        </w:rPr>
        <w:tab/>
      </w:r>
      <w:r w:rsidRPr="007D3B35">
        <w:t>если устройство регулировки по высоте состоит из самого присп</w:t>
      </w:r>
      <w:r w:rsidRPr="007D3B35">
        <w:t>о</w:t>
      </w:r>
      <w:r w:rsidRPr="007D3B35">
        <w:t>собления для крепления ремня, официально утвержденного на о</w:t>
      </w:r>
      <w:r w:rsidRPr="007D3B35">
        <w:t>с</w:t>
      </w:r>
      <w:r w:rsidRPr="007D3B35">
        <w:t>новании Правил № 14, то техническая служба, ответственная за проведение испытаний, может по своему усмотрению применять положения пункта 7.7.1 ниже</w:t>
      </w:r>
      <w:r w:rsidRPr="007D3B35">
        <w:rPr>
          <w:b/>
        </w:rPr>
        <w:t>;</w:t>
      </w:r>
      <w:r w:rsidRPr="007D3B35">
        <w:t>».</w:t>
      </w:r>
    </w:p>
    <w:p w:rsidR="00813D4D" w:rsidRPr="007D3B35" w:rsidRDefault="00813D4D" w:rsidP="00813D4D">
      <w:pPr>
        <w:pStyle w:val="SingleTxtGR"/>
      </w:pPr>
      <w:r w:rsidRPr="007D3B35">
        <w:rPr>
          <w:i/>
        </w:rPr>
        <w:t>Включить новый пункт 6.4.1.2.3.2</w:t>
      </w:r>
      <w:r w:rsidRPr="007D3B35">
        <w:t xml:space="preserve"> следующего содержания:</w:t>
      </w:r>
    </w:p>
    <w:p w:rsidR="00813D4D" w:rsidRPr="007D3B35" w:rsidRDefault="00813D4D" w:rsidP="003E359E">
      <w:pPr>
        <w:pStyle w:val="SingleTxtGR"/>
        <w:ind w:left="2268" w:hanging="1134"/>
      </w:pPr>
      <w:r w:rsidRPr="007D3B35">
        <w:t>«6.4.1.2.3.2</w:t>
      </w:r>
      <w:r w:rsidRPr="007D3B35">
        <w:tab/>
        <w:t>если гибкое устройство регулировки по высоте на уровне плеча я</w:t>
      </w:r>
      <w:r w:rsidRPr="007D3B35">
        <w:t>в</w:t>
      </w:r>
      <w:r w:rsidRPr="007D3B35">
        <w:t>ляется частью ремня, то его подвергают испытанию в качестве удерживающей системы и техническая служба, ответственная за проведение испытаний, применяет положения пункта 7.7.1, кот</w:t>
      </w:r>
      <w:r w:rsidRPr="007D3B35">
        <w:t>о</w:t>
      </w:r>
      <w:r w:rsidRPr="007D3B35">
        <w:t>рые относятся к испытанию той части конструкции транспортного средства, на которой обычно крепится удерживающая система».</w:t>
      </w:r>
    </w:p>
    <w:p w:rsidR="00813D4D" w:rsidRPr="007D3B35" w:rsidRDefault="00813D4D" w:rsidP="00813D4D">
      <w:pPr>
        <w:pStyle w:val="SingleTxtGR"/>
      </w:pPr>
      <w:r w:rsidRPr="007D3B35">
        <w:rPr>
          <w:i/>
        </w:rPr>
        <w:t>Пункт 6.4.2.2, таблицу</w:t>
      </w:r>
      <w:r w:rsidRPr="007D3B35">
        <w:t xml:space="preserve"> изменить следующим образом:</w:t>
      </w:r>
    </w:p>
    <w:p w:rsidR="00813D4D" w:rsidRPr="007D3B35" w:rsidRDefault="00813D4D" w:rsidP="003E359E">
      <w:pPr>
        <w:pStyle w:val="SingleTxtGR"/>
        <w:ind w:left="2268" w:hanging="1134"/>
      </w:pPr>
      <w:r w:rsidRPr="007D3B35">
        <w:t>«6.4.2.2</w:t>
      </w:r>
      <w:r w:rsidRPr="007D3B35">
        <w:tab/>
        <w:t>Элементы комплекта... Для каждого испытания используется новый образец.</w:t>
      </w:r>
    </w:p>
    <w:tbl>
      <w:tblPr>
        <w:tblStyle w:val="TabTxt"/>
        <w:tblW w:w="7370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2899"/>
        <w:gridCol w:w="1531"/>
        <w:gridCol w:w="1531"/>
        <w:gridCol w:w="1409"/>
      </w:tblGrid>
      <w:tr w:rsidR="0066531D" w:rsidRPr="00C47312" w:rsidTr="000D649B">
        <w:trPr>
          <w:tblHeader/>
        </w:trPr>
        <w:tc>
          <w:tcPr>
            <w:tcW w:w="2899" w:type="dxa"/>
            <w:tcBorders>
              <w:bottom w:val="single" w:sz="12" w:space="0" w:color="auto"/>
            </w:tcBorders>
            <w:shd w:val="clear" w:color="auto" w:fill="auto"/>
          </w:tcPr>
          <w:p w:rsidR="00813D4D" w:rsidRPr="00C47312" w:rsidRDefault="00813D4D" w:rsidP="00C47312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  <w:shd w:val="clear" w:color="auto" w:fill="auto"/>
          </w:tcPr>
          <w:p w:rsidR="00813D4D" w:rsidRPr="00C47312" w:rsidRDefault="00813D4D" w:rsidP="00D75EED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C47312">
              <w:rPr>
                <w:i/>
                <w:sz w:val="16"/>
              </w:rPr>
              <w:t>Испытание 1</w:t>
            </w:r>
          </w:p>
        </w:tc>
        <w:tc>
          <w:tcPr>
            <w:tcW w:w="1531" w:type="dxa"/>
            <w:tcBorders>
              <w:bottom w:val="single" w:sz="12" w:space="0" w:color="auto"/>
            </w:tcBorders>
            <w:shd w:val="clear" w:color="auto" w:fill="auto"/>
          </w:tcPr>
          <w:p w:rsidR="00813D4D" w:rsidRPr="00C47312" w:rsidRDefault="00813D4D" w:rsidP="00D75EED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C47312">
              <w:rPr>
                <w:i/>
                <w:sz w:val="16"/>
              </w:rPr>
              <w:t>Испытание 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13D4D" w:rsidRPr="00C47312" w:rsidRDefault="00813D4D" w:rsidP="00D75EED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C47312">
              <w:rPr>
                <w:i/>
                <w:sz w:val="16"/>
              </w:rPr>
              <w:t>Испытание 3</w:t>
            </w:r>
          </w:p>
        </w:tc>
      </w:tr>
      <w:tr w:rsidR="00813D4D" w:rsidRPr="00C47312" w:rsidTr="000D649B">
        <w:trPr>
          <w:trHeight w:hRule="exact" w:val="115"/>
        </w:trPr>
        <w:tc>
          <w:tcPr>
            <w:tcW w:w="2899" w:type="dxa"/>
            <w:tcBorders>
              <w:top w:val="single" w:sz="12" w:space="0" w:color="auto"/>
              <w:bottom w:val="nil"/>
            </w:tcBorders>
          </w:tcPr>
          <w:p w:rsidR="00813D4D" w:rsidRPr="00C47312" w:rsidRDefault="00813D4D" w:rsidP="00C47312"/>
        </w:tc>
        <w:tc>
          <w:tcPr>
            <w:tcW w:w="1531" w:type="dxa"/>
            <w:tcBorders>
              <w:top w:val="single" w:sz="12" w:space="0" w:color="auto"/>
              <w:bottom w:val="nil"/>
            </w:tcBorders>
          </w:tcPr>
          <w:p w:rsidR="00813D4D" w:rsidRPr="00C47312" w:rsidRDefault="00813D4D" w:rsidP="00D75EED">
            <w:pPr>
              <w:jc w:val="center"/>
            </w:pPr>
          </w:p>
        </w:tc>
        <w:tc>
          <w:tcPr>
            <w:tcW w:w="1531" w:type="dxa"/>
            <w:tcBorders>
              <w:top w:val="single" w:sz="12" w:space="0" w:color="auto"/>
              <w:bottom w:val="nil"/>
            </w:tcBorders>
          </w:tcPr>
          <w:p w:rsidR="00813D4D" w:rsidRPr="00C47312" w:rsidRDefault="00813D4D" w:rsidP="00D75EED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9" w:type="dxa"/>
            <w:tcBorders>
              <w:top w:val="single" w:sz="12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13D4D" w:rsidRPr="00C47312" w:rsidRDefault="00813D4D" w:rsidP="00D75EED">
            <w:pPr>
              <w:jc w:val="center"/>
            </w:pPr>
          </w:p>
        </w:tc>
      </w:tr>
      <w:tr w:rsidR="00813D4D" w:rsidRPr="00C47312" w:rsidTr="0066531D">
        <w:tc>
          <w:tcPr>
            <w:tcW w:w="2899" w:type="dxa"/>
            <w:tcBorders>
              <w:top w:val="nil"/>
            </w:tcBorders>
          </w:tcPr>
          <w:p w:rsidR="00813D4D" w:rsidRPr="00C47312" w:rsidRDefault="00813D4D" w:rsidP="00C47312">
            <w:r w:rsidRPr="00C47312">
              <w:t>Детали крепления</w:t>
            </w:r>
          </w:p>
        </w:tc>
        <w:tc>
          <w:tcPr>
            <w:tcW w:w="1531" w:type="dxa"/>
            <w:tcBorders>
              <w:top w:val="nil"/>
            </w:tcBorders>
          </w:tcPr>
          <w:p w:rsidR="00813D4D" w:rsidRPr="00C47312" w:rsidRDefault="00E03F87" w:rsidP="00D75EED">
            <w:pPr>
              <w:jc w:val="center"/>
            </w:pPr>
            <w:r>
              <w:t>–</w:t>
            </w:r>
          </w:p>
        </w:tc>
        <w:tc>
          <w:tcPr>
            <w:tcW w:w="1531" w:type="dxa"/>
            <w:tcBorders>
              <w:top w:val="nil"/>
            </w:tcBorders>
          </w:tcPr>
          <w:p w:rsidR="00813D4D" w:rsidRPr="00C47312" w:rsidRDefault="0066531D" w:rsidP="00D75EED">
            <w:pPr>
              <w:jc w:val="center"/>
            </w:pPr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9" w:type="dxa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13D4D" w:rsidRPr="00C47312" w:rsidRDefault="00813D4D" w:rsidP="00D75EED">
            <w:pPr>
              <w:jc w:val="center"/>
            </w:pPr>
            <w:r w:rsidRPr="00C47312">
              <w:t>x</w:t>
            </w:r>
          </w:p>
        </w:tc>
      </w:tr>
      <w:tr w:rsidR="00813D4D" w:rsidRPr="00C47312" w:rsidTr="0066531D">
        <w:tc>
          <w:tcPr>
            <w:tcW w:w="2899" w:type="dxa"/>
          </w:tcPr>
          <w:p w:rsidR="00813D4D" w:rsidRPr="00C47312" w:rsidRDefault="00813D4D" w:rsidP="00C47312">
            <w:r w:rsidRPr="00C47312">
              <w:t>Направляющий кронштейн или блок-устройство</w:t>
            </w:r>
          </w:p>
        </w:tc>
        <w:tc>
          <w:tcPr>
            <w:tcW w:w="1531" w:type="dxa"/>
          </w:tcPr>
          <w:p w:rsidR="00813D4D" w:rsidRPr="00C47312" w:rsidRDefault="0066531D" w:rsidP="00D75EED">
            <w:pPr>
              <w:jc w:val="center"/>
            </w:pPr>
            <w:r>
              <w:t>–</w:t>
            </w:r>
          </w:p>
        </w:tc>
        <w:tc>
          <w:tcPr>
            <w:tcW w:w="1531" w:type="dxa"/>
          </w:tcPr>
          <w:p w:rsidR="00813D4D" w:rsidRPr="00C47312" w:rsidRDefault="00813D4D" w:rsidP="00D75EED">
            <w:pPr>
              <w:jc w:val="center"/>
            </w:pPr>
            <w:r w:rsidRPr="00C47312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13D4D" w:rsidRPr="00C47312" w:rsidRDefault="0066531D" w:rsidP="00D75EED">
            <w:pPr>
              <w:jc w:val="center"/>
            </w:pPr>
            <w:r>
              <w:t>–</w:t>
            </w:r>
          </w:p>
        </w:tc>
      </w:tr>
      <w:tr w:rsidR="00813D4D" w:rsidRPr="00C47312" w:rsidTr="0066531D">
        <w:tc>
          <w:tcPr>
            <w:tcW w:w="2899" w:type="dxa"/>
          </w:tcPr>
          <w:p w:rsidR="00813D4D" w:rsidRPr="00C47312" w:rsidRDefault="00813D4D" w:rsidP="00C47312">
            <w:r w:rsidRPr="00C47312">
              <w:t>Скоба пряжки</w:t>
            </w:r>
          </w:p>
        </w:tc>
        <w:tc>
          <w:tcPr>
            <w:tcW w:w="1531" w:type="dxa"/>
          </w:tcPr>
          <w:p w:rsidR="00813D4D" w:rsidRPr="00C47312" w:rsidRDefault="0066531D" w:rsidP="00D75EED">
            <w:pPr>
              <w:jc w:val="center"/>
            </w:pPr>
            <w:r>
              <w:t>–</w:t>
            </w:r>
          </w:p>
        </w:tc>
        <w:tc>
          <w:tcPr>
            <w:tcW w:w="1531" w:type="dxa"/>
          </w:tcPr>
          <w:p w:rsidR="00813D4D" w:rsidRPr="00C47312" w:rsidRDefault="00813D4D" w:rsidP="00D75EED">
            <w:pPr>
              <w:jc w:val="center"/>
            </w:pPr>
            <w:r w:rsidRPr="00C47312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13D4D" w:rsidRPr="00C47312" w:rsidRDefault="00813D4D" w:rsidP="00D75EED">
            <w:pPr>
              <w:jc w:val="center"/>
            </w:pPr>
            <w:r w:rsidRPr="00C47312">
              <w:t>x</w:t>
            </w:r>
          </w:p>
        </w:tc>
      </w:tr>
      <w:tr w:rsidR="00813D4D" w:rsidRPr="00C47312" w:rsidTr="0066531D">
        <w:tc>
          <w:tcPr>
            <w:tcW w:w="2899" w:type="dxa"/>
          </w:tcPr>
          <w:p w:rsidR="00813D4D" w:rsidRPr="00C47312" w:rsidRDefault="00813D4D" w:rsidP="00C47312">
            <w:r w:rsidRPr="00C47312">
              <w:t>Устройство регулировки</w:t>
            </w:r>
          </w:p>
        </w:tc>
        <w:tc>
          <w:tcPr>
            <w:tcW w:w="1531" w:type="dxa"/>
          </w:tcPr>
          <w:p w:rsidR="00813D4D" w:rsidRPr="00C47312" w:rsidRDefault="00813D4D" w:rsidP="00D75EED">
            <w:pPr>
              <w:jc w:val="center"/>
            </w:pPr>
            <w:r w:rsidRPr="00C47312">
              <w:t>x</w:t>
            </w:r>
          </w:p>
        </w:tc>
        <w:tc>
          <w:tcPr>
            <w:tcW w:w="1531" w:type="dxa"/>
          </w:tcPr>
          <w:p w:rsidR="00813D4D" w:rsidRPr="00C47312" w:rsidRDefault="0066531D" w:rsidP="00D75EED">
            <w:pPr>
              <w:jc w:val="center"/>
            </w:pPr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13D4D" w:rsidRPr="00C47312" w:rsidRDefault="00813D4D" w:rsidP="00D75EED">
            <w:pPr>
              <w:jc w:val="center"/>
            </w:pPr>
            <w:r w:rsidRPr="00C47312">
              <w:t>x</w:t>
            </w:r>
          </w:p>
        </w:tc>
      </w:tr>
      <w:tr w:rsidR="00813D4D" w:rsidRPr="00C47312" w:rsidTr="0066531D">
        <w:tc>
          <w:tcPr>
            <w:tcW w:w="2899" w:type="dxa"/>
          </w:tcPr>
          <w:p w:rsidR="00813D4D" w:rsidRPr="00C47312" w:rsidRDefault="00813D4D" w:rsidP="00C47312">
            <w:r w:rsidRPr="00C47312">
              <w:lastRenderedPageBreak/>
              <w:t>Элементы, пришитые к лямке</w:t>
            </w:r>
          </w:p>
        </w:tc>
        <w:tc>
          <w:tcPr>
            <w:tcW w:w="1531" w:type="dxa"/>
          </w:tcPr>
          <w:p w:rsidR="00813D4D" w:rsidRPr="00C47312" w:rsidRDefault="0066531D" w:rsidP="00D75EED">
            <w:pPr>
              <w:jc w:val="center"/>
            </w:pPr>
            <w:r>
              <w:t>–</w:t>
            </w:r>
          </w:p>
        </w:tc>
        <w:tc>
          <w:tcPr>
            <w:tcW w:w="1531" w:type="dxa"/>
          </w:tcPr>
          <w:p w:rsidR="00813D4D" w:rsidRPr="00C47312" w:rsidRDefault="0066531D" w:rsidP="00D75EED">
            <w:pPr>
              <w:jc w:val="center"/>
            </w:pPr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13D4D" w:rsidRPr="00C47312" w:rsidRDefault="00813D4D" w:rsidP="00D75EED">
            <w:pPr>
              <w:jc w:val="center"/>
            </w:pPr>
            <w:r w:rsidRPr="00C47312">
              <w:t>x</w:t>
            </w:r>
          </w:p>
        </w:tc>
      </w:tr>
      <w:tr w:rsidR="00813D4D" w:rsidRPr="00C47312" w:rsidTr="000D649B">
        <w:tc>
          <w:tcPr>
            <w:tcW w:w="2899" w:type="dxa"/>
            <w:tcBorders>
              <w:bottom w:val="single" w:sz="12" w:space="0" w:color="auto"/>
            </w:tcBorders>
          </w:tcPr>
          <w:p w:rsidR="00813D4D" w:rsidRPr="00C47312" w:rsidRDefault="00813D4D" w:rsidP="00C47312">
            <w:r w:rsidRPr="00C47312">
              <w:t>Гибкое устройство регулиро</w:t>
            </w:r>
            <w:r w:rsidRPr="00C47312">
              <w:t>в</w:t>
            </w:r>
            <w:r w:rsidRPr="00C47312">
              <w:t>ки по высоте на уровне плеча</w:t>
            </w: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:rsidR="00813D4D" w:rsidRPr="00C47312" w:rsidRDefault="00813D4D" w:rsidP="00D75EED">
            <w:pPr>
              <w:jc w:val="center"/>
            </w:pPr>
            <w:r w:rsidRPr="00C47312">
              <w:t>x</w:t>
            </w: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:rsidR="00813D4D" w:rsidRPr="00C47312" w:rsidRDefault="0066531D" w:rsidP="00D75EED">
            <w:pPr>
              <w:jc w:val="center"/>
            </w:pPr>
            <w: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9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13D4D" w:rsidRPr="00C47312" w:rsidRDefault="0066531D" w:rsidP="00D75EED">
            <w:pPr>
              <w:jc w:val="center"/>
            </w:pPr>
            <w:r>
              <w:t>–</w:t>
            </w:r>
          </w:p>
        </w:tc>
      </w:tr>
    </w:tbl>
    <w:p w:rsidR="00813D4D" w:rsidRPr="007D3B35" w:rsidRDefault="00537085" w:rsidP="00C47312">
      <w:pPr>
        <w:pStyle w:val="SingleTxtGR"/>
        <w:jc w:val="right"/>
      </w:pPr>
      <w:r>
        <w:t>»</w:t>
      </w:r>
    </w:p>
    <w:p w:rsidR="00813D4D" w:rsidRPr="007D3B35" w:rsidRDefault="00813D4D" w:rsidP="00813D4D">
      <w:pPr>
        <w:pStyle w:val="SingleTxtGR"/>
      </w:pPr>
      <w:r w:rsidRPr="007D3B35">
        <w:rPr>
          <w:i/>
        </w:rPr>
        <w:t>Пункт 8.1.1</w:t>
      </w:r>
      <w:r w:rsidRPr="007D3B35">
        <w:t xml:space="preserve"> изменить следующим образом:</w:t>
      </w:r>
    </w:p>
    <w:p w:rsidR="00813D4D" w:rsidRPr="007D3B35" w:rsidRDefault="00813D4D" w:rsidP="00813D4D">
      <w:pPr>
        <w:pStyle w:val="SingleTxtGR"/>
      </w:pPr>
      <w:r w:rsidRPr="007D3B35">
        <w:t>«8.1.1</w:t>
      </w:r>
      <w:r w:rsidRPr="007D3B35">
        <w:tab/>
      </w:r>
      <w:r w:rsidRPr="007D3B35">
        <w:tab/>
        <w:t>За исключением…</w:t>
      </w:r>
    </w:p>
    <w:p w:rsidR="00813D4D" w:rsidRPr="007D3B35" w:rsidRDefault="00C47312" w:rsidP="00C47312">
      <w:pPr>
        <w:pStyle w:val="SingleTxtGR"/>
        <w:ind w:left="2268" w:hanging="1134"/>
      </w:pPr>
      <w:r>
        <w:rPr>
          <w:lang w:val="en-US"/>
        </w:rPr>
        <w:tab/>
      </w:r>
      <w:r>
        <w:rPr>
          <w:lang w:val="en-US"/>
        </w:rPr>
        <w:tab/>
      </w:r>
      <w:r w:rsidR="00813D4D" w:rsidRPr="007D3B35">
        <w:t>…</w:t>
      </w:r>
    </w:p>
    <w:p w:rsidR="00813D4D" w:rsidRPr="007D3B35" w:rsidRDefault="00C47312" w:rsidP="00C47312">
      <w:pPr>
        <w:pStyle w:val="SingleTxtGR"/>
        <w:ind w:left="2268" w:hanging="1134"/>
      </w:pPr>
      <w:r>
        <w:rPr>
          <w:lang w:val="en-US"/>
        </w:rPr>
        <w:tab/>
      </w:r>
      <w:r>
        <w:rPr>
          <w:lang w:val="en-US"/>
        </w:rPr>
        <w:tab/>
      </w:r>
      <w:r w:rsidR="00813D4D" w:rsidRPr="007D3B35">
        <w:t>класса I или</w:t>
      </w:r>
      <w:proofErr w:type="gramStart"/>
      <w:r w:rsidR="00813D4D" w:rsidRPr="007D3B35">
        <w:t xml:space="preserve"> А</w:t>
      </w:r>
      <w:proofErr w:type="gramEnd"/>
      <w:r w:rsidR="00813D4D" w:rsidRPr="007D3B35">
        <w:t>… настоящих Правил.</w:t>
      </w:r>
    </w:p>
    <w:p w:rsidR="00813D4D" w:rsidRPr="007D3B35" w:rsidRDefault="00C47312" w:rsidP="00C47312">
      <w:pPr>
        <w:pStyle w:val="SingleTxtGR"/>
        <w:ind w:left="2268" w:hanging="1134"/>
        <w:rPr>
          <w:bCs/>
        </w:rPr>
      </w:pPr>
      <w:r w:rsidRPr="00F841D9">
        <w:rPr>
          <w:bCs/>
        </w:rPr>
        <w:tab/>
      </w:r>
      <w:r w:rsidRPr="00F841D9">
        <w:rPr>
          <w:bCs/>
        </w:rPr>
        <w:tab/>
      </w:r>
      <w:r w:rsidR="00813D4D" w:rsidRPr="007D3B35">
        <w:rPr>
          <w:bCs/>
        </w:rPr>
        <w:t>Удерживающими системами с гибким устройством регулировки по высоте на уровне плеча могут оснащаться только транспортные средства категории M</w:t>
      </w:r>
      <w:r w:rsidR="00813D4D" w:rsidRPr="007D3B35">
        <w:rPr>
          <w:bCs/>
          <w:vertAlign w:val="subscript"/>
        </w:rPr>
        <w:t>2</w:t>
      </w:r>
      <w:r w:rsidR="00813D4D" w:rsidRPr="007D3B35">
        <w:rPr>
          <w:bCs/>
        </w:rPr>
        <w:t xml:space="preserve"> или M</w:t>
      </w:r>
      <w:r w:rsidR="00813D4D" w:rsidRPr="007D3B35">
        <w:rPr>
          <w:bCs/>
          <w:vertAlign w:val="subscript"/>
        </w:rPr>
        <w:t>3</w:t>
      </w:r>
      <w:r w:rsidR="00813D4D" w:rsidRPr="007D3B35">
        <w:rPr>
          <w:bCs/>
        </w:rPr>
        <w:t xml:space="preserve"> (пункт 2.14.7)».</w:t>
      </w:r>
    </w:p>
    <w:p w:rsidR="00813D4D" w:rsidRPr="007D3B35" w:rsidRDefault="00813D4D" w:rsidP="00813D4D">
      <w:pPr>
        <w:pStyle w:val="SingleTxtGR"/>
      </w:pPr>
      <w:r w:rsidRPr="007D3B35">
        <w:rPr>
          <w:i/>
        </w:rPr>
        <w:t>Приложение 1B, пункт 1</w:t>
      </w:r>
      <w:r w:rsidRPr="007D3B35">
        <w:t>, изменить следующим образом:</w:t>
      </w:r>
    </w:p>
    <w:p w:rsidR="00813D4D" w:rsidRPr="00D75EED" w:rsidRDefault="00813D4D" w:rsidP="00F841D9">
      <w:pPr>
        <w:pStyle w:val="SingleTxtGR"/>
        <w:tabs>
          <w:tab w:val="right" w:leader="dot" w:pos="8505"/>
        </w:tabs>
        <w:ind w:left="2268" w:hanging="1134"/>
      </w:pPr>
      <w:r w:rsidRPr="007D3B35">
        <w:t>«1.</w:t>
      </w:r>
      <w:r w:rsidRPr="007D3B35">
        <w:tab/>
      </w:r>
      <w:r w:rsidRPr="007D3B35">
        <w:tab/>
        <w:t>Удерживающая систем</w:t>
      </w:r>
      <w:proofErr w:type="gramStart"/>
      <w:r w:rsidRPr="007D3B35">
        <w:t>а(</w:t>
      </w:r>
      <w:proofErr w:type="gramEnd"/>
      <w:r w:rsidRPr="007D3B35">
        <w:t>, включающая)/ремень с креплением в трех точках/поясной ремень/ремень специального типа/(с) устройством для поглощения энергии/втягивающим устройством/устройством регулировки верхнего обхвата по высоте/гибким устройством рег</w:t>
      </w:r>
      <w:r w:rsidRPr="007D3B35">
        <w:t>у</w:t>
      </w:r>
      <w:r w:rsidRPr="007D3B35">
        <w:t>лировки по высоте на уровне плеча</w:t>
      </w:r>
      <w:r w:rsidR="00252B70" w:rsidRPr="00537085">
        <w:rPr>
          <w:rStyle w:val="FootnoteReference"/>
        </w:rPr>
        <w:t>3</w:t>
      </w:r>
      <w:r w:rsidR="00F841D9" w:rsidRPr="00D75EED">
        <w:tab/>
      </w:r>
    </w:p>
    <w:p w:rsidR="00F16626" w:rsidRPr="00252B70" w:rsidRDefault="00F16626" w:rsidP="00B55190">
      <w:pPr>
        <w:pStyle w:val="SingleTxtGR"/>
        <w:tabs>
          <w:tab w:val="clear" w:pos="1701"/>
          <w:tab w:val="clear" w:pos="2268"/>
          <w:tab w:val="left" w:pos="2127"/>
        </w:tabs>
        <w:ind w:left="2127" w:hanging="1418"/>
      </w:pPr>
      <w:r>
        <w:rPr>
          <w:u w:val="single"/>
        </w:rPr>
        <w:tab/>
      </w:r>
    </w:p>
    <w:p w:rsidR="00813D4D" w:rsidRPr="007D3B35" w:rsidRDefault="00813D4D" w:rsidP="00F56EA9">
      <w:pPr>
        <w:pStyle w:val="FootnoteText"/>
        <w:rPr>
          <w:lang w:val="ru-RU"/>
        </w:rPr>
      </w:pPr>
      <w:r w:rsidRPr="007D3B35">
        <w:rPr>
          <w:lang w:val="ru-RU"/>
        </w:rPr>
        <w:tab/>
      </w:r>
      <w:r w:rsidRPr="00537085">
        <w:rPr>
          <w:rStyle w:val="FootnoteReference"/>
          <w:lang w:val="ru-RU" w:eastAsia="en-US"/>
        </w:rPr>
        <w:t>3</w:t>
      </w:r>
      <w:r w:rsidRPr="007D3B35">
        <w:rPr>
          <w:lang w:val="ru-RU"/>
        </w:rPr>
        <w:tab/>
        <w:t>Указать, какой тип</w:t>
      </w:r>
      <w:proofErr w:type="gramStart"/>
      <w:r w:rsidRPr="007D3B35">
        <w:rPr>
          <w:lang w:val="ru-RU"/>
        </w:rPr>
        <w:t>.».</w:t>
      </w:r>
      <w:proofErr w:type="gramEnd"/>
    </w:p>
    <w:p w:rsidR="007D3B35" w:rsidRPr="007D3B35" w:rsidRDefault="00813D4D" w:rsidP="00813D4D">
      <w:pPr>
        <w:pStyle w:val="SingleTxtGR"/>
        <w:spacing w:before="240" w:after="0"/>
        <w:jc w:val="center"/>
        <w:rPr>
          <w:u w:val="single"/>
        </w:rPr>
      </w:pPr>
      <w:r w:rsidRPr="007D3B35">
        <w:rPr>
          <w:u w:val="single"/>
        </w:rPr>
        <w:tab/>
      </w:r>
      <w:r w:rsidRPr="007D3B35">
        <w:rPr>
          <w:u w:val="single"/>
        </w:rPr>
        <w:tab/>
      </w:r>
      <w:r w:rsidRPr="007D3B35">
        <w:rPr>
          <w:u w:val="single"/>
        </w:rPr>
        <w:tab/>
      </w:r>
    </w:p>
    <w:p w:rsidR="00381C24" w:rsidRPr="007D3B35" w:rsidRDefault="00381C24" w:rsidP="002E5067"/>
    <w:sectPr w:rsidR="00381C24" w:rsidRPr="007D3B35" w:rsidSect="002B70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2F7" w:rsidRPr="00A312BC" w:rsidRDefault="00EA32F7" w:rsidP="00A312BC"/>
  </w:endnote>
  <w:endnote w:type="continuationSeparator" w:id="0">
    <w:p w:rsidR="00EA32F7" w:rsidRPr="00A312BC" w:rsidRDefault="00EA32F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9B" w:rsidRPr="002B709B" w:rsidRDefault="002B709B">
    <w:pPr>
      <w:pStyle w:val="Footer"/>
    </w:pPr>
    <w:r w:rsidRPr="002B709B">
      <w:rPr>
        <w:b/>
        <w:sz w:val="18"/>
      </w:rPr>
      <w:fldChar w:fldCharType="begin"/>
    </w:r>
    <w:r w:rsidRPr="002B709B">
      <w:rPr>
        <w:b/>
        <w:sz w:val="18"/>
      </w:rPr>
      <w:instrText xml:space="preserve"> PAGE  \* MERGEFORMAT </w:instrText>
    </w:r>
    <w:r w:rsidRPr="002B709B">
      <w:rPr>
        <w:b/>
        <w:sz w:val="18"/>
      </w:rPr>
      <w:fldChar w:fldCharType="separate"/>
    </w:r>
    <w:r w:rsidR="00516CB2">
      <w:rPr>
        <w:b/>
        <w:noProof/>
        <w:sz w:val="18"/>
      </w:rPr>
      <w:t>2</w:t>
    </w:r>
    <w:r w:rsidRPr="002B709B">
      <w:rPr>
        <w:b/>
        <w:sz w:val="18"/>
      </w:rPr>
      <w:fldChar w:fldCharType="end"/>
    </w:r>
    <w:r>
      <w:rPr>
        <w:b/>
        <w:sz w:val="18"/>
      </w:rPr>
      <w:tab/>
    </w:r>
    <w:r>
      <w:t>GE.17-01775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9B" w:rsidRPr="002B709B" w:rsidRDefault="002B709B" w:rsidP="002B709B">
    <w:pPr>
      <w:pStyle w:val="Footer"/>
      <w:tabs>
        <w:tab w:val="clear" w:pos="9639"/>
        <w:tab w:val="right" w:pos="9638"/>
      </w:tabs>
      <w:rPr>
        <w:b/>
        <w:sz w:val="18"/>
      </w:rPr>
    </w:pPr>
    <w:r>
      <w:t>GE.17-01775</w:t>
    </w:r>
    <w:r>
      <w:tab/>
    </w:r>
    <w:r w:rsidRPr="002B709B">
      <w:rPr>
        <w:b/>
        <w:sz w:val="18"/>
      </w:rPr>
      <w:fldChar w:fldCharType="begin"/>
    </w:r>
    <w:r w:rsidRPr="002B709B">
      <w:rPr>
        <w:b/>
        <w:sz w:val="18"/>
      </w:rPr>
      <w:instrText xml:space="preserve"> PAGE  \* MERGEFORMAT </w:instrText>
    </w:r>
    <w:r w:rsidRPr="002B709B">
      <w:rPr>
        <w:b/>
        <w:sz w:val="18"/>
      </w:rPr>
      <w:fldChar w:fldCharType="separate"/>
    </w:r>
    <w:r w:rsidR="00516CB2">
      <w:rPr>
        <w:b/>
        <w:noProof/>
        <w:sz w:val="18"/>
      </w:rPr>
      <w:t>3</w:t>
    </w:r>
    <w:r w:rsidRPr="002B709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2B709B" w:rsidRDefault="002B709B" w:rsidP="002B709B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6757BC5" wp14:editId="441A31B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17-01775  (R)</w:t>
    </w:r>
    <w:r w:rsidR="00C752B8">
      <w:t xml:space="preserve">  140317  140317</w:t>
    </w:r>
    <w:r>
      <w:br/>
    </w:r>
    <w:r w:rsidRPr="002B709B">
      <w:rPr>
        <w:rFonts w:ascii="C39T30Lfz" w:hAnsi="C39T30Lfz"/>
        <w:spacing w:val="0"/>
        <w:w w:val="100"/>
        <w:sz w:val="56"/>
      </w:rPr>
      <w:t></w:t>
    </w:r>
    <w:r w:rsidRPr="002B709B">
      <w:rPr>
        <w:rFonts w:ascii="C39T30Lfz" w:hAnsi="C39T30Lfz"/>
        <w:spacing w:val="0"/>
        <w:w w:val="100"/>
        <w:sz w:val="56"/>
      </w:rPr>
      <w:t></w:t>
    </w:r>
    <w:r w:rsidRPr="002B709B">
      <w:rPr>
        <w:rFonts w:ascii="C39T30Lfz" w:hAnsi="C39T30Lfz"/>
        <w:spacing w:val="0"/>
        <w:w w:val="100"/>
        <w:sz w:val="56"/>
      </w:rPr>
      <w:t></w:t>
    </w:r>
    <w:r w:rsidRPr="002B709B">
      <w:rPr>
        <w:rFonts w:ascii="C39T30Lfz" w:hAnsi="C39T30Lfz"/>
        <w:spacing w:val="0"/>
        <w:w w:val="100"/>
        <w:sz w:val="56"/>
      </w:rPr>
      <w:t></w:t>
    </w:r>
    <w:r w:rsidRPr="002B709B">
      <w:rPr>
        <w:rFonts w:ascii="C39T30Lfz" w:hAnsi="C39T30Lfz"/>
        <w:spacing w:val="0"/>
        <w:w w:val="100"/>
        <w:sz w:val="56"/>
      </w:rPr>
      <w:t></w:t>
    </w:r>
    <w:r w:rsidRPr="002B709B">
      <w:rPr>
        <w:rFonts w:ascii="C39T30Lfz" w:hAnsi="C39T30Lfz"/>
        <w:spacing w:val="0"/>
        <w:w w:val="100"/>
        <w:sz w:val="56"/>
      </w:rPr>
      <w:t></w:t>
    </w:r>
    <w:r w:rsidRPr="002B709B">
      <w:rPr>
        <w:rFonts w:ascii="C39T30Lfz" w:hAnsi="C39T30Lfz"/>
        <w:spacing w:val="0"/>
        <w:w w:val="100"/>
        <w:sz w:val="56"/>
      </w:rPr>
      <w:t></w:t>
    </w:r>
    <w:r w:rsidRPr="002B709B">
      <w:rPr>
        <w:rFonts w:ascii="C39T30Lfz" w:hAnsi="C39T30Lfz"/>
        <w:spacing w:val="0"/>
        <w:w w:val="100"/>
        <w:sz w:val="56"/>
      </w:rPr>
      <w:t></w:t>
    </w:r>
    <w:r w:rsidRPr="002B709B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://undocs.org/m2/QRCode.ashx?DS=E/ECE/324/Rev.1/Add.15/Rev.8/Amend.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/ECE/324/Rev.1/Add.15/Rev.8/Amend.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2F7" w:rsidRPr="001075E9" w:rsidRDefault="00EA32F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A32F7" w:rsidRDefault="00EA32F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13D4D" w:rsidRPr="007E1458" w:rsidRDefault="00813D4D" w:rsidP="00813D4D">
      <w:pPr>
        <w:pStyle w:val="FootnoteText"/>
        <w:rPr>
          <w:sz w:val="20"/>
          <w:lang w:val="ru-RU"/>
        </w:rPr>
      </w:pPr>
      <w:r>
        <w:tab/>
      </w:r>
      <w:r w:rsidRPr="00F841D9">
        <w:rPr>
          <w:rStyle w:val="FootnoteReference"/>
          <w:sz w:val="20"/>
          <w:vertAlign w:val="baseline"/>
          <w:lang w:val="ru-RU"/>
        </w:rPr>
        <w:t>*</w:t>
      </w:r>
      <w:r w:rsidRPr="007E1458">
        <w:rPr>
          <w:lang w:val="ru-RU"/>
        </w:rPr>
        <w:tab/>
      </w:r>
      <w:r w:rsidRPr="00F841D9">
        <w:rPr>
          <w:szCs w:val="18"/>
          <w:lang w:val="ru-RU"/>
        </w:rPr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</w:t>
      </w:r>
      <w:r w:rsidRPr="00941D17">
        <w:rPr>
          <w:szCs w:val="18"/>
          <w:lang w:val="en-US"/>
        </w:rPr>
        <w:t> </w:t>
      </w:r>
      <w:r w:rsidRPr="00F841D9">
        <w:rPr>
          <w:szCs w:val="18"/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9B" w:rsidRPr="002B709B" w:rsidRDefault="002B709B">
    <w:pPr>
      <w:pStyle w:val="Header"/>
    </w:pPr>
    <w:fldSimple w:instr=" TITLE  \* MERGEFORMAT ">
      <w:r w:rsidR="0075769C">
        <w:t>E/ECE/324/Rev.1/Add.15/Rev.8/Amend.2</w:t>
      </w:r>
    </w:fldSimple>
    <w:r>
      <w:br/>
    </w:r>
    <w:fldSimple w:instr=" KEYWORDS  \* MERGEFORMAT ">
      <w:r w:rsidR="0075769C">
        <w:t>E/ECE/TRANS/505/Rev.1/Add.15/Rev.8/Amend.2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9B" w:rsidRPr="002B709B" w:rsidRDefault="002B709B" w:rsidP="002B709B">
    <w:pPr>
      <w:pStyle w:val="Header"/>
      <w:jc w:val="right"/>
    </w:pPr>
    <w:fldSimple w:instr=" TITLE  \* MERGEFORMAT ">
      <w:r w:rsidR="0075769C">
        <w:t>E/ECE/324/Rev.1/Add.15/Rev.8/Amend.2</w:t>
      </w:r>
    </w:fldSimple>
    <w:r>
      <w:br/>
    </w:r>
    <w:fldSimple w:instr=" KEYWORDS  \* MERGEFORMAT ">
      <w:r w:rsidR="0075769C">
        <w:t>E/ECE/TRANS/505/Rev.1/Add.15/Rev.8/Amend.2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F7"/>
    <w:rsid w:val="00033EE1"/>
    <w:rsid w:val="00042B72"/>
    <w:rsid w:val="00043B08"/>
    <w:rsid w:val="000558BD"/>
    <w:rsid w:val="000857D2"/>
    <w:rsid w:val="000B3D4C"/>
    <w:rsid w:val="000B57E7"/>
    <w:rsid w:val="000B6373"/>
    <w:rsid w:val="000D649B"/>
    <w:rsid w:val="000F09DF"/>
    <w:rsid w:val="000F61B2"/>
    <w:rsid w:val="001075E9"/>
    <w:rsid w:val="00120B27"/>
    <w:rsid w:val="00132F6D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0353A"/>
    <w:rsid w:val="00245346"/>
    <w:rsid w:val="00252B70"/>
    <w:rsid w:val="00291E65"/>
    <w:rsid w:val="002979E2"/>
    <w:rsid w:val="002A2EFC"/>
    <w:rsid w:val="002B709B"/>
    <w:rsid w:val="002B74B1"/>
    <w:rsid w:val="002C0E18"/>
    <w:rsid w:val="002D5AAC"/>
    <w:rsid w:val="002E08FE"/>
    <w:rsid w:val="002E5067"/>
    <w:rsid w:val="002F405F"/>
    <w:rsid w:val="002F7011"/>
    <w:rsid w:val="002F7EEC"/>
    <w:rsid w:val="00301299"/>
    <w:rsid w:val="00305C08"/>
    <w:rsid w:val="00307FB6"/>
    <w:rsid w:val="0031009F"/>
    <w:rsid w:val="00317339"/>
    <w:rsid w:val="00322004"/>
    <w:rsid w:val="003402C2"/>
    <w:rsid w:val="00381C24"/>
    <w:rsid w:val="0039086A"/>
    <w:rsid w:val="003958D0"/>
    <w:rsid w:val="003A0D43"/>
    <w:rsid w:val="003B00E5"/>
    <w:rsid w:val="003C1CA7"/>
    <w:rsid w:val="003E359E"/>
    <w:rsid w:val="00407B78"/>
    <w:rsid w:val="00424203"/>
    <w:rsid w:val="0042551A"/>
    <w:rsid w:val="00452493"/>
    <w:rsid w:val="00453318"/>
    <w:rsid w:val="00454E07"/>
    <w:rsid w:val="00472C5C"/>
    <w:rsid w:val="0050108D"/>
    <w:rsid w:val="00513081"/>
    <w:rsid w:val="00516CB2"/>
    <w:rsid w:val="00517901"/>
    <w:rsid w:val="00526683"/>
    <w:rsid w:val="00537085"/>
    <w:rsid w:val="005562ED"/>
    <w:rsid w:val="005709E0"/>
    <w:rsid w:val="00572E19"/>
    <w:rsid w:val="005774BE"/>
    <w:rsid w:val="005961C8"/>
    <w:rsid w:val="005966F1"/>
    <w:rsid w:val="005A55E5"/>
    <w:rsid w:val="005B2F86"/>
    <w:rsid w:val="005D7914"/>
    <w:rsid w:val="005E2B41"/>
    <w:rsid w:val="005E41E4"/>
    <w:rsid w:val="005F0B42"/>
    <w:rsid w:val="005F1707"/>
    <w:rsid w:val="00640F49"/>
    <w:rsid w:val="0066531D"/>
    <w:rsid w:val="00681A10"/>
    <w:rsid w:val="00693ABE"/>
    <w:rsid w:val="006A16E3"/>
    <w:rsid w:val="006A1ED8"/>
    <w:rsid w:val="006C2031"/>
    <w:rsid w:val="006C5770"/>
    <w:rsid w:val="006D461A"/>
    <w:rsid w:val="006F35EE"/>
    <w:rsid w:val="007021FF"/>
    <w:rsid w:val="0071063E"/>
    <w:rsid w:val="00712895"/>
    <w:rsid w:val="00720D3D"/>
    <w:rsid w:val="00734ACB"/>
    <w:rsid w:val="00757357"/>
    <w:rsid w:val="0075769C"/>
    <w:rsid w:val="00792497"/>
    <w:rsid w:val="00794135"/>
    <w:rsid w:val="007D3B35"/>
    <w:rsid w:val="007F6DE6"/>
    <w:rsid w:val="00806737"/>
    <w:rsid w:val="00811570"/>
    <w:rsid w:val="00813D4D"/>
    <w:rsid w:val="00815629"/>
    <w:rsid w:val="00825F8D"/>
    <w:rsid w:val="00827781"/>
    <w:rsid w:val="00832A36"/>
    <w:rsid w:val="00834B71"/>
    <w:rsid w:val="0086445C"/>
    <w:rsid w:val="00875900"/>
    <w:rsid w:val="00894693"/>
    <w:rsid w:val="008A08D7"/>
    <w:rsid w:val="008B6909"/>
    <w:rsid w:val="008C30BC"/>
    <w:rsid w:val="00906890"/>
    <w:rsid w:val="00911BE4"/>
    <w:rsid w:val="00924FD2"/>
    <w:rsid w:val="00941D17"/>
    <w:rsid w:val="00951972"/>
    <w:rsid w:val="009608F3"/>
    <w:rsid w:val="009A1D18"/>
    <w:rsid w:val="009A24AC"/>
    <w:rsid w:val="009A40C9"/>
    <w:rsid w:val="00A14DA8"/>
    <w:rsid w:val="00A21F00"/>
    <w:rsid w:val="00A312BC"/>
    <w:rsid w:val="00A84021"/>
    <w:rsid w:val="00A84D35"/>
    <w:rsid w:val="00A917B3"/>
    <w:rsid w:val="00AA0C3B"/>
    <w:rsid w:val="00AB4B51"/>
    <w:rsid w:val="00AC3430"/>
    <w:rsid w:val="00B10CC7"/>
    <w:rsid w:val="00B36DF7"/>
    <w:rsid w:val="00B539E7"/>
    <w:rsid w:val="00B55190"/>
    <w:rsid w:val="00B62458"/>
    <w:rsid w:val="00BC18B2"/>
    <w:rsid w:val="00BD33EE"/>
    <w:rsid w:val="00BF21E1"/>
    <w:rsid w:val="00C106D6"/>
    <w:rsid w:val="00C47312"/>
    <w:rsid w:val="00C60F0C"/>
    <w:rsid w:val="00C752B8"/>
    <w:rsid w:val="00C805C9"/>
    <w:rsid w:val="00C92939"/>
    <w:rsid w:val="00CA1679"/>
    <w:rsid w:val="00CB151C"/>
    <w:rsid w:val="00CC6046"/>
    <w:rsid w:val="00CE5A1A"/>
    <w:rsid w:val="00CF55F6"/>
    <w:rsid w:val="00D33D63"/>
    <w:rsid w:val="00D45EE9"/>
    <w:rsid w:val="00D5253A"/>
    <w:rsid w:val="00D54DC7"/>
    <w:rsid w:val="00D62A45"/>
    <w:rsid w:val="00D75EED"/>
    <w:rsid w:val="00D90028"/>
    <w:rsid w:val="00D90138"/>
    <w:rsid w:val="00DD44B1"/>
    <w:rsid w:val="00DD78D1"/>
    <w:rsid w:val="00DE32CD"/>
    <w:rsid w:val="00DF5F4C"/>
    <w:rsid w:val="00DF71B9"/>
    <w:rsid w:val="00E03F87"/>
    <w:rsid w:val="00E73F76"/>
    <w:rsid w:val="00E90403"/>
    <w:rsid w:val="00EA2C9F"/>
    <w:rsid w:val="00EA32F7"/>
    <w:rsid w:val="00EA420E"/>
    <w:rsid w:val="00ED0BDA"/>
    <w:rsid w:val="00EE142A"/>
    <w:rsid w:val="00EF1360"/>
    <w:rsid w:val="00EF3220"/>
    <w:rsid w:val="00F16626"/>
    <w:rsid w:val="00F43903"/>
    <w:rsid w:val="00F56EA9"/>
    <w:rsid w:val="00F730AC"/>
    <w:rsid w:val="00F74A53"/>
    <w:rsid w:val="00F841D9"/>
    <w:rsid w:val="00F94155"/>
    <w:rsid w:val="00F9783F"/>
    <w:rsid w:val="00FD2EF7"/>
    <w:rsid w:val="00FE3EB4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Hyperlink">
    <w:name w:val="Hyperlink"/>
    <w:basedOn w:val="DefaultParagraphFont"/>
    <w:uiPriority w:val="99"/>
    <w:unhideWhenUsed/>
    <w:rsid w:val="00811570"/>
    <w:rPr>
      <w:color w:val="0000FF" w:themeColor="hyperlink"/>
      <w:u w:val="none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811570"/>
    <w:rPr>
      <w:spacing w:val="4"/>
      <w:w w:val="103"/>
      <w:kern w:val="14"/>
      <w:sz w:val="16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811570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1570"/>
    <w:rPr>
      <w:color w:val="800080" w:themeColor="followedHyperlink"/>
      <w:u w:val="none"/>
    </w:rPr>
  </w:style>
  <w:style w:type="table" w:styleId="TableGrid">
    <w:name w:val="Table Grid"/>
    <w:basedOn w:val="TableNormal"/>
    <w:uiPriority w:val="59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_GR"/>
    <w:basedOn w:val="Normal"/>
    <w:link w:val="FootnoteTextChar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,_GR Char"/>
    <w:basedOn w:val="DefaultParagraphFont"/>
    <w:link w:val="FootnoteText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811570"/>
  </w:style>
  <w:style w:type="character" w:customStyle="1" w:styleId="EndnoteTextChar">
    <w:name w:val="Endnote Text Char"/>
    <w:aliases w:val="2_GR Char"/>
    <w:basedOn w:val="DefaultParagraphFont"/>
    <w:link w:val="EndnoteText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SingleTxtGR0">
    <w:name w:val="_ Single Txt_GR Знак"/>
    <w:basedOn w:val="DefaultParagraphFont"/>
    <w:link w:val="SingleTxtGR"/>
    <w:rsid w:val="00813D4D"/>
    <w:rPr>
      <w:spacing w:val="4"/>
      <w:w w:val="103"/>
      <w:kern w:val="1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Hyperlink">
    <w:name w:val="Hyperlink"/>
    <w:basedOn w:val="DefaultParagraphFont"/>
    <w:uiPriority w:val="99"/>
    <w:unhideWhenUsed/>
    <w:rsid w:val="00811570"/>
    <w:rPr>
      <w:color w:val="0000FF" w:themeColor="hyperlink"/>
      <w:u w:val="none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811570"/>
    <w:rPr>
      <w:spacing w:val="4"/>
      <w:w w:val="103"/>
      <w:kern w:val="14"/>
      <w:sz w:val="16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811570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1570"/>
    <w:rPr>
      <w:color w:val="800080" w:themeColor="followedHyperlink"/>
      <w:u w:val="none"/>
    </w:rPr>
  </w:style>
  <w:style w:type="table" w:styleId="TableGrid">
    <w:name w:val="Table Grid"/>
    <w:basedOn w:val="TableNormal"/>
    <w:uiPriority w:val="59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_GR"/>
    <w:basedOn w:val="Normal"/>
    <w:link w:val="FootnoteTextChar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,_GR Char"/>
    <w:basedOn w:val="DefaultParagraphFont"/>
    <w:link w:val="FootnoteText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811570"/>
  </w:style>
  <w:style w:type="character" w:customStyle="1" w:styleId="EndnoteTextChar">
    <w:name w:val="Endnote Text Char"/>
    <w:aliases w:val="2_GR Char"/>
    <w:basedOn w:val="DefaultParagraphFont"/>
    <w:link w:val="EndnoteText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SingleTxtGR0">
    <w:name w:val="_ Single Txt_GR Знак"/>
    <w:basedOn w:val="DefaultParagraphFont"/>
    <w:link w:val="SingleTxtGR"/>
    <w:rsid w:val="00813D4D"/>
    <w:rPr>
      <w:spacing w:val="4"/>
      <w:w w:val="103"/>
      <w:kern w:val="1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F27DF-19A6-4A70-AC0B-D863A21A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3899</Characters>
  <Application>Microsoft Office Word</Application>
  <DocSecurity>4</DocSecurity>
  <Lines>32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E/ECE/324/Rev.1/Add.15/Rev.8/Amend.2</vt:lpstr>
      <vt:lpstr>E/ECE/324/Rev.1/Add.15/Rev.8/Amend.2</vt:lpstr>
      <vt:lpstr>A/</vt:lpstr>
    </vt:vector>
  </TitlesOfParts>
  <Company>DCM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E/ECE/324/Rev.1/Add.15/Rev.8/Amend.2</dc:title>
  <dc:creator>Nina STEPANOVA</dc:creator>
  <cp:keywords>E/ECE/TRANS/505/Rev.1/Add.15/Rev.8/Amend.2</cp:keywords>
  <cp:lastModifiedBy>Benedicte Boudol</cp:lastModifiedBy>
  <cp:revision>2</cp:revision>
  <cp:lastPrinted>2017-03-15T09:16:00Z</cp:lastPrinted>
  <dcterms:created xsi:type="dcterms:W3CDTF">2017-05-17T14:05:00Z</dcterms:created>
  <dcterms:modified xsi:type="dcterms:W3CDTF">2017-05-17T14:05:00Z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