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5824"/>
        <w:gridCol w:w="2822"/>
      </w:tblGrid>
      <w:tr w:rsidR="00B71E7E" w:rsidRPr="00C36B04" w:rsidTr="00B71E7E">
        <w:trPr>
          <w:trHeight w:hRule="exact" w:val="851"/>
        </w:trPr>
        <w:tc>
          <w:tcPr>
            <w:tcW w:w="993" w:type="dxa"/>
            <w:tcBorders>
              <w:bottom w:val="single" w:sz="4" w:space="0" w:color="auto"/>
            </w:tcBorders>
            <w:vAlign w:val="bottom"/>
          </w:tcPr>
          <w:p w:rsidR="00B71E7E" w:rsidRPr="00635870" w:rsidRDefault="00B71E7E" w:rsidP="00FE47AD">
            <w:pPr>
              <w:spacing w:after="80" w:line="300" w:lineRule="exact"/>
              <w:rPr>
                <w:sz w:val="28"/>
              </w:rPr>
            </w:pPr>
            <w:bookmarkStart w:id="0" w:name="_GoBack"/>
            <w:bookmarkEnd w:id="0"/>
          </w:p>
        </w:tc>
        <w:tc>
          <w:tcPr>
            <w:tcW w:w="8646" w:type="dxa"/>
            <w:gridSpan w:val="2"/>
            <w:tcBorders>
              <w:bottom w:val="single" w:sz="4" w:space="0" w:color="auto"/>
            </w:tcBorders>
            <w:vAlign w:val="bottom"/>
          </w:tcPr>
          <w:p w:rsidR="00B71E7E" w:rsidRPr="00B71E7E" w:rsidRDefault="00B71E7E" w:rsidP="00FE47AD">
            <w:pPr>
              <w:jc w:val="right"/>
              <w:rPr>
                <w:lang w:val="en-US"/>
              </w:rPr>
            </w:pPr>
            <w:r w:rsidRPr="00B71E7E">
              <w:rPr>
                <w:sz w:val="40"/>
                <w:szCs w:val="40"/>
                <w:lang w:val="en-US"/>
              </w:rPr>
              <w:t>E</w:t>
            </w:r>
            <w:r w:rsidRPr="00B71E7E">
              <w:rPr>
                <w:lang w:val="en-US"/>
              </w:rPr>
              <w:t>/</w:t>
            </w:r>
            <w:r>
              <w:fldChar w:fldCharType="begin"/>
            </w:r>
            <w:r w:rsidRPr="00B71E7E">
              <w:rPr>
                <w:lang w:val="en-US"/>
              </w:rPr>
              <w:instrText xml:space="preserve"> FILLIN  "</w:instrText>
            </w:r>
            <w:r>
              <w:instrText>Введите</w:instrText>
            </w:r>
            <w:r w:rsidRPr="00B71E7E">
              <w:rPr>
                <w:lang w:val="en-US"/>
              </w:rPr>
              <w:instrText xml:space="preserve"> </w:instrText>
            </w:r>
            <w:r>
              <w:instrText>символ</w:instrText>
            </w:r>
            <w:r w:rsidRPr="00B71E7E">
              <w:rPr>
                <w:lang w:val="en-US"/>
              </w:rPr>
              <w:instrText xml:space="preserve"> </w:instrText>
            </w:r>
            <w:r>
              <w:instrText>после</w:instrText>
            </w:r>
            <w:r w:rsidRPr="00B71E7E">
              <w:rPr>
                <w:lang w:val="en-US"/>
              </w:rPr>
              <w:instrText xml:space="preserve"> </w:instrText>
            </w:r>
            <w:r>
              <w:instrText>Е</w:instrText>
            </w:r>
            <w:r w:rsidRPr="00B71E7E">
              <w:rPr>
                <w:lang w:val="en-US"/>
              </w:rPr>
              <w:instrText xml:space="preserve">/"  \* MERGEFORMAT </w:instrText>
            </w:r>
            <w:r>
              <w:fldChar w:fldCharType="separate"/>
            </w:r>
            <w:r w:rsidRPr="00B71E7E">
              <w:rPr>
                <w:lang w:val="en-US"/>
              </w:rPr>
              <w:t>ECE/324/Rev.1/Add.15/Rev.8/Amend.1–</w:t>
            </w:r>
            <w:r w:rsidRPr="00B71E7E">
              <w:rPr>
                <w:sz w:val="40"/>
                <w:szCs w:val="40"/>
                <w:lang w:val="en-US"/>
              </w:rPr>
              <w:t>E</w:t>
            </w:r>
            <w:r w:rsidRPr="00B71E7E">
              <w:rPr>
                <w:lang w:val="en-US"/>
              </w:rPr>
              <w:t>/ECE/TRANS/505/Rev.1/Add.15/Rev.8/Amend.1</w:t>
            </w:r>
            <w:r>
              <w:fldChar w:fldCharType="end"/>
            </w:r>
            <w:r w:rsidRPr="00B71E7E">
              <w:rPr>
                <w:lang w:val="en-US"/>
              </w:rPr>
              <w:t xml:space="preserve">                  </w:t>
            </w:r>
          </w:p>
        </w:tc>
      </w:tr>
      <w:tr w:rsidR="0049372E" w:rsidRPr="00635870" w:rsidTr="009C34C2">
        <w:trPr>
          <w:trHeight w:hRule="exact" w:val="2696"/>
        </w:trPr>
        <w:tc>
          <w:tcPr>
            <w:tcW w:w="993" w:type="dxa"/>
            <w:tcBorders>
              <w:top w:val="single" w:sz="4" w:space="0" w:color="auto"/>
              <w:bottom w:val="single" w:sz="12" w:space="0" w:color="auto"/>
            </w:tcBorders>
          </w:tcPr>
          <w:p w:rsidR="0049372E" w:rsidRPr="004D7A8A" w:rsidRDefault="0049372E" w:rsidP="00FE47AD">
            <w:pPr>
              <w:spacing w:before="120"/>
              <w:jc w:val="center"/>
              <w:rPr>
                <w:lang w:val="en-US"/>
              </w:rPr>
            </w:pPr>
          </w:p>
        </w:tc>
        <w:tc>
          <w:tcPr>
            <w:tcW w:w="5824" w:type="dxa"/>
            <w:tcBorders>
              <w:top w:val="single" w:sz="4" w:space="0" w:color="auto"/>
              <w:bottom w:val="single" w:sz="12" w:space="0" w:color="auto"/>
            </w:tcBorders>
          </w:tcPr>
          <w:p w:rsidR="0049372E" w:rsidRPr="004D7A8A" w:rsidRDefault="0049372E" w:rsidP="00FE47AD">
            <w:pPr>
              <w:spacing w:before="120" w:line="460" w:lineRule="exact"/>
              <w:rPr>
                <w:b/>
                <w:sz w:val="40"/>
                <w:szCs w:val="40"/>
                <w:lang w:val="en-US"/>
              </w:rPr>
            </w:pPr>
          </w:p>
        </w:tc>
        <w:tc>
          <w:tcPr>
            <w:tcW w:w="2822" w:type="dxa"/>
            <w:tcBorders>
              <w:top w:val="single" w:sz="4" w:space="0" w:color="auto"/>
              <w:bottom w:val="single" w:sz="12" w:space="0" w:color="auto"/>
            </w:tcBorders>
          </w:tcPr>
          <w:p w:rsidR="00AA434C" w:rsidRDefault="00AA434C" w:rsidP="00FE47AD">
            <w:pPr>
              <w:rPr>
                <w:lang w:val="en-US"/>
              </w:rPr>
            </w:pPr>
          </w:p>
          <w:p w:rsidR="00AA434C" w:rsidRDefault="00AA434C" w:rsidP="00FE47AD">
            <w:pPr>
              <w:rPr>
                <w:lang w:val="en-US"/>
              </w:rPr>
            </w:pPr>
          </w:p>
          <w:p w:rsidR="0049372E" w:rsidRPr="00F827BA" w:rsidRDefault="0049372E" w:rsidP="00FE47AD">
            <w:pPr>
              <w:rPr>
                <w:lang w:val="en-US"/>
              </w:rPr>
            </w:pPr>
            <w:r w:rsidRPr="00F827BA">
              <w:rPr>
                <w:lang w:val="en-US"/>
              </w:rPr>
              <w:fldChar w:fldCharType="begin"/>
            </w:r>
            <w:r w:rsidRPr="00F827BA">
              <w:rPr>
                <w:lang w:val="en-US"/>
              </w:rPr>
              <w:instrText xml:space="preserve"> FILLIN  "Введите дату документа" \* MERGEFORMAT </w:instrText>
            </w:r>
            <w:r w:rsidRPr="00F827BA">
              <w:rPr>
                <w:lang w:val="en-US"/>
              </w:rPr>
              <w:fldChar w:fldCharType="separate"/>
            </w:r>
            <w:r w:rsidR="00B71E7E">
              <w:rPr>
                <w:lang w:val="en-US"/>
              </w:rPr>
              <w:t>11 July 2016</w:t>
            </w:r>
            <w:r w:rsidRPr="00F827BA">
              <w:rPr>
                <w:lang w:val="en-US"/>
              </w:rPr>
              <w:fldChar w:fldCharType="end"/>
            </w:r>
          </w:p>
          <w:p w:rsidR="0049372E" w:rsidRPr="00635870" w:rsidRDefault="0049372E" w:rsidP="00AA434C"/>
        </w:tc>
      </w:tr>
    </w:tbl>
    <w:p w:rsidR="00AA434C" w:rsidRPr="00AA434C" w:rsidRDefault="00AA434C" w:rsidP="009C34C2">
      <w:pPr>
        <w:pStyle w:val="HChGR"/>
        <w:spacing w:before="200" w:after="100" w:line="220" w:lineRule="exact"/>
      </w:pPr>
      <w:r w:rsidRPr="00AA434C">
        <w:tab/>
      </w:r>
      <w:r w:rsidR="008151AF">
        <w:rPr>
          <w:lang w:val="en-US"/>
        </w:rPr>
        <w:tab/>
      </w:r>
      <w:r w:rsidRPr="00AA434C">
        <w:t>Соглашение</w:t>
      </w:r>
    </w:p>
    <w:p w:rsidR="00AA434C" w:rsidRPr="004D7A8A" w:rsidRDefault="00AA434C" w:rsidP="009C34C2">
      <w:pPr>
        <w:pStyle w:val="H1GR"/>
        <w:spacing w:before="60" w:after="100" w:line="220" w:lineRule="exact"/>
      </w:pPr>
      <w:r w:rsidRPr="00AA434C">
        <w:tab/>
      </w:r>
      <w:r w:rsidRPr="00AA434C">
        <w:tab/>
        <w:t xml:space="preserve">О </w:t>
      </w:r>
      <w:r w:rsidRPr="00B7346D">
        <w:rPr>
          <w:spacing w:val="2"/>
        </w:rPr>
        <w:t>принятии</w:t>
      </w:r>
      <w:r w:rsidRPr="00AA434C">
        <w:t xml:space="preserve"> единообразных технических предписаний </w:t>
      </w:r>
      <w:r w:rsidRPr="00AA434C">
        <w:br/>
        <w:t xml:space="preserve">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Pr="00AA434C">
        <w:br/>
        <w:t>и об условиях взаимного признания официальных утверждений, выдаваемых на основе этих предписаний</w:t>
      </w:r>
      <w:r w:rsidR="00717BA3" w:rsidRPr="00717BA3">
        <w:rPr>
          <w:rStyle w:val="FootnoteReference"/>
          <w:b w:val="0"/>
          <w:sz w:val="20"/>
          <w:vertAlign w:val="baseline"/>
          <w:lang w:eastAsia="en-US"/>
        </w:rPr>
        <w:footnoteReference w:customMarkFollows="1" w:id="1"/>
        <w:t xml:space="preserve">* </w:t>
      </w:r>
    </w:p>
    <w:p w:rsidR="00AA434C" w:rsidRPr="00AA434C" w:rsidRDefault="00AA434C" w:rsidP="00261669">
      <w:pPr>
        <w:pStyle w:val="SingleTxtGR"/>
        <w:spacing w:after="80" w:line="220" w:lineRule="exact"/>
      </w:pPr>
      <w:r w:rsidRPr="00AA434C">
        <w:t>(Пересмотр 2, включающий поправки, вступившие в силу 16 октября 1995 года)</w:t>
      </w:r>
    </w:p>
    <w:p w:rsidR="00603F19" w:rsidRPr="00ED7CA4" w:rsidRDefault="00603F19" w:rsidP="009C34C2">
      <w:pPr>
        <w:spacing w:line="200" w:lineRule="exact"/>
        <w:jc w:val="center"/>
        <w:rPr>
          <w:u w:val="single"/>
        </w:rPr>
      </w:pPr>
      <w:r w:rsidRPr="0046059D">
        <w:rPr>
          <w:u w:val="single"/>
        </w:rPr>
        <w:tab/>
      </w:r>
      <w:r w:rsidRPr="0046059D">
        <w:rPr>
          <w:u w:val="single"/>
        </w:rPr>
        <w:tab/>
      </w:r>
    </w:p>
    <w:p w:rsidR="00AA434C" w:rsidRPr="00AA434C" w:rsidRDefault="00832524" w:rsidP="009C34C2">
      <w:pPr>
        <w:pStyle w:val="H1GR"/>
        <w:spacing w:before="100" w:after="100" w:line="220" w:lineRule="exact"/>
      </w:pPr>
      <w:r>
        <w:tab/>
      </w:r>
      <w:r>
        <w:tab/>
        <w:t>Добавление 15</w:t>
      </w:r>
      <w:r w:rsidRPr="004C51B7">
        <w:t xml:space="preserve"> –</w:t>
      </w:r>
      <w:r w:rsidR="00AA434C" w:rsidRPr="00AA434C">
        <w:t xml:space="preserve"> Правила № 16</w:t>
      </w:r>
    </w:p>
    <w:p w:rsidR="00AA434C" w:rsidRPr="00AA434C" w:rsidRDefault="00AA434C" w:rsidP="00261669">
      <w:pPr>
        <w:pStyle w:val="H1GR"/>
        <w:spacing w:before="100" w:after="100" w:line="220" w:lineRule="exact"/>
      </w:pPr>
      <w:r w:rsidRPr="00AA434C">
        <w:tab/>
      </w:r>
      <w:r w:rsidRPr="00AA434C">
        <w:tab/>
        <w:t xml:space="preserve">Пересмотр 8 </w:t>
      </w:r>
      <w:r w:rsidR="00EF2006" w:rsidRPr="00EF2006">
        <w:t>–</w:t>
      </w:r>
      <w:r w:rsidRPr="00AA434C">
        <w:t xml:space="preserve"> Поправка 1</w:t>
      </w:r>
    </w:p>
    <w:p w:rsidR="00AA434C" w:rsidRPr="00AA434C" w:rsidRDefault="00AA434C" w:rsidP="00261669">
      <w:pPr>
        <w:pStyle w:val="SingleTxtGR"/>
        <w:spacing w:after="0" w:line="220" w:lineRule="exact"/>
      </w:pPr>
      <w:r w:rsidRPr="00230F31">
        <w:rPr>
          <w:spacing w:val="0"/>
          <w:w w:val="102"/>
        </w:rPr>
        <w:t>Дополнение</w:t>
      </w:r>
      <w:r w:rsidRPr="00AA434C">
        <w:t xml:space="preserve"> 6 к поправкам серии 06 − Дата вступления в силу: 18 июня 2016</w:t>
      </w:r>
      <w:r w:rsidR="00EF2006">
        <w:rPr>
          <w:lang w:val="en-US"/>
        </w:rPr>
        <w:t> </w:t>
      </w:r>
      <w:r w:rsidRPr="00AA434C">
        <w:t xml:space="preserve">года </w:t>
      </w:r>
    </w:p>
    <w:p w:rsidR="00AA434C" w:rsidRPr="001A151B" w:rsidRDefault="006B409F" w:rsidP="00261669">
      <w:pPr>
        <w:pStyle w:val="H1GR"/>
        <w:spacing w:before="100" w:after="100" w:line="220" w:lineRule="exact"/>
      </w:pPr>
      <w:r>
        <w:rPr>
          <w:lang w:val="en-US"/>
        </w:rPr>
        <w:tab/>
      </w:r>
      <w:r>
        <w:rPr>
          <w:lang w:val="en-US"/>
        </w:rPr>
        <w:tab/>
      </w:r>
      <w:r w:rsidR="00AA434C" w:rsidRPr="001A151B">
        <w:t>Единообразные предписания, касающиеся официального утверждения:</w:t>
      </w:r>
    </w:p>
    <w:p w:rsidR="00AA434C" w:rsidRPr="006B409F" w:rsidRDefault="00AA434C" w:rsidP="00261669">
      <w:pPr>
        <w:pStyle w:val="H1GR"/>
        <w:spacing w:before="100" w:after="100" w:line="220" w:lineRule="exact"/>
      </w:pPr>
      <w:r w:rsidRPr="00657DA0">
        <w:rPr>
          <w:szCs w:val="24"/>
        </w:rPr>
        <w:tab/>
      </w:r>
      <w:r w:rsidR="00D01CF5">
        <w:rPr>
          <w:szCs w:val="24"/>
          <w:lang w:val="en-US"/>
        </w:rPr>
        <w:tab/>
      </w:r>
      <w:r w:rsidRPr="00657DA0">
        <w:rPr>
          <w:szCs w:val="24"/>
        </w:rPr>
        <w:t>I</w:t>
      </w:r>
      <w:r w:rsidRPr="006B409F">
        <w:t>.</w:t>
      </w:r>
      <w:r w:rsidRPr="006B409F">
        <w:tab/>
        <w:t xml:space="preserve">Ремней безопасности, удерживающих систем, детских </w:t>
      </w:r>
      <w:r w:rsidR="00D01CF5" w:rsidRPr="00D01CF5">
        <w:tab/>
      </w:r>
      <w:r w:rsidRPr="006B409F">
        <w:t xml:space="preserve">удерживающих систем и детских удерживающих систем </w:t>
      </w:r>
      <w:r w:rsidR="00D01CF5" w:rsidRPr="00D01CF5">
        <w:tab/>
      </w:r>
      <w:r w:rsidRPr="006B409F">
        <w:t>ISOFIX, предназначенных для лиц, находящих</w:t>
      </w:r>
      <w:r w:rsidR="00D01CF5">
        <w:t xml:space="preserve">ся </w:t>
      </w:r>
      <w:r w:rsidR="00D01CF5" w:rsidRPr="00D01CF5">
        <w:tab/>
      </w:r>
      <w:r w:rsidR="00D01CF5">
        <w:t>в</w:t>
      </w:r>
      <w:r w:rsidR="00D01CF5">
        <w:rPr>
          <w:lang w:val="en-US"/>
        </w:rPr>
        <w:t> </w:t>
      </w:r>
      <w:r w:rsidRPr="006B409F">
        <w:t>механических транспортных средствах</w:t>
      </w:r>
    </w:p>
    <w:p w:rsidR="00AA434C" w:rsidRPr="006B409F" w:rsidRDefault="00AA434C" w:rsidP="00261669">
      <w:pPr>
        <w:pStyle w:val="H1GR"/>
        <w:spacing w:before="100" w:after="100" w:line="220" w:lineRule="exact"/>
      </w:pPr>
      <w:r w:rsidRPr="006B409F">
        <w:tab/>
      </w:r>
      <w:r w:rsidR="00D01CF5" w:rsidRPr="00C36B04">
        <w:tab/>
      </w:r>
      <w:r w:rsidRPr="006B409F">
        <w:t>II.</w:t>
      </w:r>
      <w:r w:rsidRPr="006B409F">
        <w:tab/>
        <w:t xml:space="preserve">Транспортных средств, оснащенных ремнями </w:t>
      </w:r>
      <w:r w:rsidR="00D01CF5" w:rsidRPr="00D01CF5">
        <w:tab/>
      </w:r>
      <w:r w:rsidRPr="006B409F">
        <w:t xml:space="preserve">безопасности, сигнализаторами непристегнутого ремня </w:t>
      </w:r>
      <w:r w:rsidR="00D01CF5" w:rsidRPr="00D01CF5">
        <w:tab/>
      </w:r>
      <w:r w:rsidRPr="006B409F">
        <w:t xml:space="preserve">безопасности, удерживающими системами, детскими </w:t>
      </w:r>
      <w:r w:rsidR="00D01CF5" w:rsidRPr="00D01CF5">
        <w:tab/>
      </w:r>
      <w:r w:rsidRPr="006B409F">
        <w:t xml:space="preserve">удерживающими системами ISOFIX и детскими </w:t>
      </w:r>
      <w:r w:rsidR="00D01CF5" w:rsidRPr="00D01CF5">
        <w:tab/>
      </w:r>
      <w:r w:rsidRPr="006B409F">
        <w:t>удерживающими системами размера i</w:t>
      </w:r>
    </w:p>
    <w:p w:rsidR="00AA434C" w:rsidRPr="004D7A8A" w:rsidRDefault="00AA434C" w:rsidP="00261669">
      <w:pPr>
        <w:pStyle w:val="SingleTxtGR"/>
        <w:spacing w:after="0" w:line="220" w:lineRule="exact"/>
      </w:pPr>
      <w:bookmarkStart w:id="1" w:name="OLE_LINK10"/>
      <w:r w:rsidRPr="00AA434C">
        <w:t xml:space="preserve">Данный документ опубликован исключительно в информационных целях. Аутентичным и юридически обязательным текстом является документ </w:t>
      </w:r>
      <w:r w:rsidRPr="00AA434C">
        <w:rPr>
          <w:lang w:val="fr-CH"/>
        </w:rPr>
        <w:t>ECE</w:t>
      </w:r>
      <w:r w:rsidRPr="00AA434C">
        <w:t>/</w:t>
      </w:r>
      <w:r w:rsidRPr="00AA434C">
        <w:rPr>
          <w:lang w:val="fr-CH"/>
        </w:rPr>
        <w:t>TRANS</w:t>
      </w:r>
      <w:r w:rsidRPr="00AA434C">
        <w:t>/</w:t>
      </w:r>
      <w:r w:rsidRPr="00AA434C">
        <w:rPr>
          <w:lang w:val="fr-CH"/>
        </w:rPr>
        <w:t>WP</w:t>
      </w:r>
      <w:r w:rsidRPr="00AA434C">
        <w:t>.29/2015/93.</w:t>
      </w:r>
    </w:p>
    <w:bookmarkEnd w:id="1"/>
    <w:p w:rsidR="00261669" w:rsidRPr="00ED7CA4" w:rsidRDefault="00261669" w:rsidP="00261669">
      <w:pPr>
        <w:spacing w:after="60" w:line="160" w:lineRule="atLeast"/>
        <w:jc w:val="center"/>
        <w:rPr>
          <w:u w:val="single"/>
        </w:rPr>
      </w:pPr>
      <w:r w:rsidRPr="0046059D">
        <w:rPr>
          <w:u w:val="single"/>
        </w:rPr>
        <w:tab/>
      </w:r>
      <w:r w:rsidRPr="0046059D">
        <w:rPr>
          <w:u w:val="single"/>
        </w:rPr>
        <w:tab/>
      </w:r>
    </w:p>
    <w:p w:rsidR="00261669" w:rsidRPr="00D50504" w:rsidRDefault="00261669" w:rsidP="00261669">
      <w:pPr>
        <w:spacing w:after="40" w:line="230" w:lineRule="atLeast"/>
        <w:jc w:val="center"/>
      </w:pPr>
      <w:r>
        <w:rPr>
          <w:b/>
          <w:noProof/>
          <w:sz w:val="24"/>
          <w:lang w:val="en-GB" w:eastAsia="en-GB"/>
        </w:rPr>
        <w:drawing>
          <wp:inline distT="0" distB="0" distL="0" distR="0" wp14:anchorId="36962A10" wp14:editId="39D88087">
            <wp:extent cx="785612" cy="63140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785612" cy="631401"/>
                    </a:xfrm>
                    <a:prstGeom prst="rect">
                      <a:avLst/>
                    </a:prstGeom>
                    <a:noFill/>
                  </pic:spPr>
                </pic:pic>
              </a:graphicData>
            </a:graphic>
          </wp:inline>
        </w:drawing>
      </w:r>
    </w:p>
    <w:p w:rsidR="00261669" w:rsidRPr="00D50504" w:rsidRDefault="00261669" w:rsidP="009C34C2">
      <w:pPr>
        <w:spacing w:line="220" w:lineRule="atLeast"/>
        <w:jc w:val="center"/>
        <w:rPr>
          <w:b/>
          <w:bCs/>
          <w:sz w:val="24"/>
          <w:szCs w:val="24"/>
        </w:rPr>
      </w:pPr>
      <w:r w:rsidRPr="00D50504">
        <w:rPr>
          <w:b/>
          <w:bCs/>
          <w:sz w:val="24"/>
          <w:szCs w:val="24"/>
        </w:rPr>
        <w:t>ОРГАНИЗАЦИЯ ОБЪЕДИНЕННЫХ НАЦИЙ</w:t>
      </w:r>
    </w:p>
    <w:p w:rsidR="00AA434C" w:rsidRPr="00AA434C" w:rsidRDefault="00AA434C" w:rsidP="00AA434C">
      <w:pPr>
        <w:pStyle w:val="SingleTxtGR"/>
        <w:rPr>
          <w:i/>
        </w:rPr>
      </w:pPr>
      <w:r w:rsidRPr="00AA434C">
        <w:rPr>
          <w:i/>
        </w:rPr>
        <w:lastRenderedPageBreak/>
        <w:t>Пункт 6.2.2.2</w:t>
      </w:r>
      <w:r w:rsidRPr="00AA434C">
        <w:t xml:space="preserve"> изменить следующим образом:</w:t>
      </w:r>
    </w:p>
    <w:p w:rsidR="00AA434C" w:rsidRPr="00AA434C" w:rsidRDefault="00AA434C" w:rsidP="003D1AE5">
      <w:pPr>
        <w:pStyle w:val="SingleTxtGR"/>
        <w:tabs>
          <w:tab w:val="clear" w:pos="1701"/>
        </w:tabs>
        <w:ind w:left="2268" w:hanging="1134"/>
        <w:rPr>
          <w:b/>
        </w:rPr>
      </w:pPr>
      <w:r w:rsidRPr="00AA434C">
        <w:t>«6.2.2.2</w:t>
      </w:r>
      <w:r w:rsidRPr="00AA434C">
        <w:tab/>
        <w:t xml:space="preserve">Даже если лямка не натянута… Поверхность размыкающего элемента пряжки должна быть окрашена в красный цвет. В этот цвет не должны быть окрашены никакие другие части пряжки. Когда сиденье занято, на пряжке допускается использование красного предупреждающего сигнала подсветки, если он отключается </w:t>
      </w:r>
      <w:r w:rsidRPr="00AA434C">
        <w:rPr>
          <w:bCs/>
        </w:rPr>
        <w:t>при пристегивании ремня безопасности. Отключения подсветки иного цвета, помимо красного, при пристегивании ремня безопасности не требуется. Подобная подсветка не должна освещать пряжку таким образом, чтобы это влияло на правильное восприятие красного цвета размыкающего элемента пряжки либо красного предупреждающего сигнала».</w:t>
      </w:r>
    </w:p>
    <w:p w:rsidR="00AA434C" w:rsidRPr="00AA434C" w:rsidRDefault="00AA434C" w:rsidP="003D1AE5">
      <w:pPr>
        <w:pStyle w:val="SingleTxtGR"/>
        <w:tabs>
          <w:tab w:val="clear" w:pos="1701"/>
        </w:tabs>
        <w:ind w:left="2268" w:hanging="1134"/>
      </w:pPr>
      <w:r w:rsidRPr="00AA434C">
        <w:rPr>
          <w:i/>
        </w:rPr>
        <w:t>Пункт 7.7.1</w:t>
      </w:r>
      <w:r w:rsidRPr="00AA434C">
        <w:t xml:space="preserve"> </w:t>
      </w:r>
      <w:r w:rsidRPr="003D1AE5">
        <w:rPr>
          <w:bCs/>
        </w:rPr>
        <w:t>изменить</w:t>
      </w:r>
      <w:r w:rsidRPr="00AA434C">
        <w:t xml:space="preserve"> следующим образом:</w:t>
      </w:r>
    </w:p>
    <w:p w:rsidR="00AA434C" w:rsidRPr="00AA434C" w:rsidRDefault="00AA434C" w:rsidP="003D1AE5">
      <w:pPr>
        <w:pStyle w:val="SingleTxtGR"/>
        <w:tabs>
          <w:tab w:val="clear" w:pos="1701"/>
        </w:tabs>
        <w:ind w:left="2268" w:hanging="1134"/>
      </w:pPr>
      <w:r w:rsidRPr="00AA434C">
        <w:t>«7.7.1</w:t>
      </w:r>
      <w:r w:rsidRPr="00AA434C">
        <w:tab/>
      </w:r>
      <w:r w:rsidRPr="003D1AE5">
        <w:rPr>
          <w:bCs/>
        </w:rPr>
        <w:t>Комплект</w:t>
      </w:r>
      <w:r w:rsidRPr="00AA434C">
        <w:t xml:space="preserve"> ремней устанавливается на тележке, имеющей сиденье и общие приспособления для крепления ремня, как это определено </w:t>
      </w:r>
      <w:r w:rsidR="00A35EAA">
        <w:rPr>
          <w:bCs/>
        </w:rPr>
        <w:t>на рис.</w:t>
      </w:r>
      <w:r w:rsidR="00A35EAA">
        <w:rPr>
          <w:bCs/>
          <w:lang w:val="en-US"/>
        </w:rPr>
        <w:t> </w:t>
      </w:r>
      <w:r w:rsidRPr="00AA434C">
        <w:rPr>
          <w:bCs/>
        </w:rPr>
        <w:t>1</w:t>
      </w:r>
      <w:r w:rsidRPr="00AA434C">
        <w:rPr>
          <w:b/>
        </w:rPr>
        <w:t xml:space="preserve"> </w:t>
      </w:r>
      <w:r w:rsidRPr="00AA434C">
        <w:t xml:space="preserve">в приложении 6 к настоящим Правилам. Однако если комплект предназначен для… максимальное возможное число реальных точек крепления». </w:t>
      </w:r>
    </w:p>
    <w:p w:rsidR="00AA434C" w:rsidRPr="00AA434C" w:rsidRDefault="00AA434C" w:rsidP="00AA434C">
      <w:pPr>
        <w:pStyle w:val="SingleTxtGR"/>
        <w:rPr>
          <w:i/>
          <w:iCs/>
        </w:rPr>
      </w:pPr>
      <w:r w:rsidRPr="00AA434C">
        <w:rPr>
          <w:i/>
          <w:iCs/>
        </w:rPr>
        <w:t>Приложение 1</w:t>
      </w:r>
      <w:r w:rsidRPr="00AA434C">
        <w:rPr>
          <w:i/>
          <w:iCs/>
          <w:lang w:val="en-GB"/>
        </w:rPr>
        <w:t>B</w:t>
      </w:r>
      <w:r w:rsidRPr="00AA434C">
        <w:rPr>
          <w:i/>
          <w:iCs/>
        </w:rPr>
        <w:t xml:space="preserve"> </w:t>
      </w:r>
    </w:p>
    <w:p w:rsidR="00AA434C" w:rsidRPr="00AA434C" w:rsidRDefault="00AA434C" w:rsidP="003D1AE5">
      <w:pPr>
        <w:pStyle w:val="SingleTxtGR"/>
        <w:tabs>
          <w:tab w:val="clear" w:pos="1701"/>
        </w:tabs>
        <w:ind w:left="2268" w:hanging="1134"/>
        <w:rPr>
          <w:i/>
          <w:iCs/>
        </w:rPr>
      </w:pPr>
      <w:r w:rsidRPr="00AA434C">
        <w:rPr>
          <w:i/>
          <w:iCs/>
        </w:rPr>
        <w:t>Пункт 12</w:t>
      </w:r>
      <w:r w:rsidRPr="00AA434C">
        <w:t xml:space="preserve"> </w:t>
      </w:r>
      <w:r w:rsidRPr="003D1AE5">
        <w:rPr>
          <w:bCs/>
        </w:rPr>
        <w:t>изменить</w:t>
      </w:r>
      <w:r w:rsidRPr="00AA434C">
        <w:t xml:space="preserve"> следующим образом:</w:t>
      </w:r>
    </w:p>
    <w:p w:rsidR="00AA434C" w:rsidRPr="00AA434C" w:rsidRDefault="00AA434C" w:rsidP="003D1AE5">
      <w:pPr>
        <w:pStyle w:val="SingleTxtGR"/>
        <w:tabs>
          <w:tab w:val="clear" w:pos="1701"/>
        </w:tabs>
        <w:ind w:left="2268" w:hanging="1134"/>
      </w:pPr>
      <w:r w:rsidRPr="00AA434C">
        <w:t>«1</w:t>
      </w:r>
      <w:r w:rsidRPr="00AA434C">
        <w:rPr>
          <w:bCs/>
        </w:rPr>
        <w:t>2</w:t>
      </w:r>
      <w:r w:rsidR="00A35EAA">
        <w:t>.</w:t>
      </w:r>
      <w:r w:rsidR="00A35EAA">
        <w:tab/>
      </w:r>
      <w:r w:rsidRPr="00AA434C">
        <w:t xml:space="preserve">Официальное утверждение предоставлено/официальное утверждение </w:t>
      </w:r>
      <w:r w:rsidRPr="003D1AE5">
        <w:rPr>
          <w:bCs/>
        </w:rPr>
        <w:t>распространено</w:t>
      </w:r>
      <w:r w:rsidRPr="00AA434C">
        <w:t>/официальное утверждение отменено/в официальном утверждении отказано</w:t>
      </w:r>
      <w:r w:rsidRPr="00A35EAA">
        <w:rPr>
          <w:rStyle w:val="FootnoteReference"/>
        </w:rPr>
        <w:t>2</w:t>
      </w:r>
      <w:r w:rsidRPr="00AA434C">
        <w:t xml:space="preserve"> на установку общих точек крепления, как это определено </w:t>
      </w:r>
      <w:r w:rsidRPr="00AA434C">
        <w:rPr>
          <w:bCs/>
        </w:rPr>
        <w:t>на рис. 1</w:t>
      </w:r>
      <w:r w:rsidRPr="00AA434C">
        <w:rPr>
          <w:b/>
        </w:rPr>
        <w:t xml:space="preserve"> </w:t>
      </w:r>
      <w:r w:rsidRPr="00AA434C">
        <w:t>в приложении 6 к настоящим Правилам/для использования на конкретном транспортном средстве или на конкретных типах транспортных средств</w:t>
      </w:r>
      <w:r w:rsidRPr="00A35EAA">
        <w:rPr>
          <w:rStyle w:val="FootnoteReference"/>
        </w:rPr>
        <w:t>2, 4</w:t>
      </w:r>
      <w:r w:rsidRPr="00AA434C">
        <w:t>».</w:t>
      </w:r>
    </w:p>
    <w:p w:rsidR="00AA434C" w:rsidRPr="00AA434C" w:rsidRDefault="00AA434C" w:rsidP="00AA434C">
      <w:pPr>
        <w:pStyle w:val="SingleTxtGR"/>
        <w:rPr>
          <w:i/>
        </w:rPr>
      </w:pPr>
      <w:r w:rsidRPr="00AA434C">
        <w:rPr>
          <w:i/>
        </w:rPr>
        <w:t xml:space="preserve">Приложение 6 </w:t>
      </w:r>
    </w:p>
    <w:p w:rsidR="00AA434C" w:rsidRPr="00AA434C" w:rsidRDefault="00AA434C" w:rsidP="003D1AE5">
      <w:pPr>
        <w:pStyle w:val="SingleTxtGR"/>
        <w:tabs>
          <w:tab w:val="clear" w:pos="1701"/>
        </w:tabs>
        <w:ind w:left="2268" w:hanging="1134"/>
      </w:pPr>
      <w:r w:rsidRPr="00AA434C">
        <w:rPr>
          <w:i/>
        </w:rPr>
        <w:t>Пункт 3.2</w:t>
      </w:r>
      <w:r w:rsidRPr="00AA434C">
        <w:t xml:space="preserve"> </w:t>
      </w:r>
      <w:r w:rsidRPr="003D1AE5">
        <w:rPr>
          <w:bCs/>
        </w:rPr>
        <w:t>изменить</w:t>
      </w:r>
      <w:r w:rsidRPr="00AA434C">
        <w:t xml:space="preserve"> следующим образом:</w:t>
      </w:r>
    </w:p>
    <w:p w:rsidR="00AA434C" w:rsidRPr="004D7A8A" w:rsidRDefault="00D33939" w:rsidP="003D1AE5">
      <w:pPr>
        <w:pStyle w:val="SingleTxtGR"/>
        <w:tabs>
          <w:tab w:val="clear" w:pos="1701"/>
        </w:tabs>
        <w:ind w:left="2268" w:hanging="1134"/>
      </w:pPr>
      <w:r>
        <w:t>«3.2</w:t>
      </w:r>
      <w:r>
        <w:tab/>
      </w:r>
      <w:r w:rsidR="00AA434C" w:rsidRPr="00AA434C">
        <w:rPr>
          <w:bCs/>
        </w:rPr>
        <w:t>Общие</w:t>
      </w:r>
      <w:r w:rsidR="00AA434C" w:rsidRPr="00AA434C">
        <w:rPr>
          <w:b/>
        </w:rPr>
        <w:t xml:space="preserve"> </w:t>
      </w:r>
      <w:r w:rsidR="00AA434C" w:rsidRPr="00AA434C">
        <w:t>крепления должны…»</w:t>
      </w:r>
      <w:r w:rsidR="004D7A8A">
        <w:t>.</w:t>
      </w:r>
    </w:p>
    <w:p w:rsidR="0049372E" w:rsidRPr="00D33939" w:rsidRDefault="00D33939" w:rsidP="00D33939">
      <w:pPr>
        <w:spacing w:before="240"/>
        <w:jc w:val="center"/>
        <w:rPr>
          <w:u w:val="single"/>
        </w:rPr>
      </w:pPr>
      <w:r>
        <w:rPr>
          <w:u w:val="single"/>
        </w:rPr>
        <w:tab/>
      </w:r>
      <w:r>
        <w:rPr>
          <w:u w:val="single"/>
        </w:rPr>
        <w:tab/>
      </w:r>
      <w:r>
        <w:rPr>
          <w:u w:val="single"/>
        </w:rPr>
        <w:tab/>
      </w:r>
    </w:p>
    <w:p w:rsidR="00760D3A" w:rsidRPr="00B71E7E" w:rsidRDefault="00760D3A" w:rsidP="00B71E7E"/>
    <w:sectPr w:rsidR="00760D3A" w:rsidRPr="00B71E7E" w:rsidSect="0049372E">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7E" w:rsidRDefault="00B71E7E" w:rsidP="00B471C5">
      <w:r>
        <w:separator/>
      </w:r>
    </w:p>
  </w:endnote>
  <w:endnote w:type="continuationSeparator" w:id="0">
    <w:p w:rsidR="00B71E7E" w:rsidRDefault="00B71E7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B8" w:rsidRPr="009A6F4A" w:rsidRDefault="0060520C">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36B04">
      <w:rPr>
        <w:rStyle w:val="PageNumber"/>
        <w:noProof/>
      </w:rPr>
      <w:t>2</w:t>
    </w:r>
    <w:r>
      <w:rPr>
        <w:rStyle w:val="PageNumber"/>
      </w:rPr>
      <w:fldChar w:fldCharType="end"/>
    </w:r>
    <w:r>
      <w:rPr>
        <w:lang w:val="en-US"/>
      </w:rPr>
      <w:tab/>
      <w:t>GE.1</w:t>
    </w:r>
    <w:r w:rsidR="0049372E">
      <w:rPr>
        <w:lang w:val="en-US"/>
      </w:rPr>
      <w:t>6</w:t>
    </w:r>
    <w:r>
      <w:rPr>
        <w:lang w:val="en-US"/>
      </w:rPr>
      <w:t>-</w:t>
    </w:r>
    <w:r w:rsidR="00821C13" w:rsidRPr="00821C13">
      <w:rPr>
        <w:lang w:val="en-US"/>
      </w:rPr>
      <w:t>11464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B8" w:rsidRPr="009A6F4A" w:rsidRDefault="0060520C">
    <w:pPr>
      <w:pStyle w:val="Footer"/>
      <w:rPr>
        <w:lang w:val="en-US"/>
      </w:rPr>
    </w:pPr>
    <w:r>
      <w:rPr>
        <w:lang w:val="en-US"/>
      </w:rPr>
      <w:t>GE.1</w:t>
    </w:r>
    <w:r w:rsidR="0049372E">
      <w:rPr>
        <w:lang w:val="en-US"/>
      </w:rPr>
      <w:t>6</w:t>
    </w:r>
    <w:r>
      <w:rPr>
        <w:lang w:val="en-US"/>
      </w:rPr>
      <w:t>-</w:t>
    </w:r>
    <w:r w:rsidR="00821C13" w:rsidRPr="00821C13">
      <w:rPr>
        <w:lang w:val="en-US"/>
      </w:rPr>
      <w:t>11464</w:t>
    </w:r>
    <w:r>
      <w:rPr>
        <w:lang w:val="en-US"/>
      </w:rPr>
      <w:tab/>
    </w:r>
    <w:r>
      <w:rPr>
        <w:rStyle w:val="PageNumber"/>
      </w:rPr>
      <w:fldChar w:fldCharType="begin"/>
    </w:r>
    <w:r>
      <w:rPr>
        <w:rStyle w:val="PageNumber"/>
      </w:rPr>
      <w:instrText xml:space="preserve"> PAGE </w:instrText>
    </w:r>
    <w:r>
      <w:rPr>
        <w:rStyle w:val="PageNumber"/>
      </w:rPr>
      <w:fldChar w:fldCharType="separate"/>
    </w:r>
    <w:r w:rsidR="006B409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375A3E" w:rsidRPr="00797A78" w:rsidTr="007B199D">
      <w:trPr>
        <w:trHeight w:val="431"/>
      </w:trPr>
      <w:tc>
        <w:tcPr>
          <w:tcW w:w="3648" w:type="dxa"/>
          <w:tcMar>
            <w:left w:w="57" w:type="dxa"/>
            <w:right w:w="57" w:type="dxa"/>
          </w:tcMar>
          <w:vAlign w:val="bottom"/>
        </w:tcPr>
        <w:p w:rsidR="00375A3E" w:rsidRPr="001C3ABC" w:rsidRDefault="00375A3E" w:rsidP="007B199D">
          <w:pPr>
            <w:spacing w:after="40"/>
            <w:rPr>
              <w:rFonts w:ascii="C39T30Lfz" w:hAnsi="C39T30Lfz"/>
              <w:spacing w:val="0"/>
              <w:w w:val="100"/>
              <w:kern w:val="0"/>
              <w:lang w:val="en-US" w:eastAsia="ru-RU"/>
            </w:rPr>
          </w:pPr>
          <w:r w:rsidRPr="001C3ABC">
            <w:rPr>
              <w:lang w:val="en-US"/>
            </w:rPr>
            <w:t>GE.16-</w:t>
          </w:r>
          <w:r w:rsidR="00821C13">
            <w:rPr>
              <w:lang w:val="en-US"/>
            </w:rPr>
            <w:t>11464</w:t>
          </w:r>
          <w:r w:rsidRPr="001C3ABC">
            <w:rPr>
              <w:lang w:val="en-US"/>
            </w:rPr>
            <w:t xml:space="preserve"> (R)</w:t>
          </w:r>
          <w:r w:rsidR="00BC1AB6">
            <w:rPr>
              <w:lang w:val="en-US"/>
            </w:rPr>
            <w:t xml:space="preserve">  290716  030816</w:t>
          </w:r>
        </w:p>
      </w:tc>
      <w:tc>
        <w:tcPr>
          <w:tcW w:w="5056" w:type="dxa"/>
          <w:vMerge w:val="restart"/>
          <w:tcMar>
            <w:left w:w="57" w:type="dxa"/>
            <w:right w:w="57" w:type="dxa"/>
          </w:tcMar>
          <w:vAlign w:val="bottom"/>
        </w:tcPr>
        <w:p w:rsidR="00375A3E" w:rsidRDefault="00375A3E" w:rsidP="007B199D">
          <w:pPr>
            <w:jc w:val="right"/>
          </w:pPr>
          <w:r>
            <w:rPr>
              <w:b/>
              <w:noProof/>
              <w:lang w:val="en-GB" w:eastAsia="en-GB"/>
            </w:rPr>
            <w:drawing>
              <wp:inline distT="0" distB="0" distL="0" distR="0" wp14:anchorId="29AB9080" wp14:editId="35D33E9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375A3E" w:rsidRDefault="00BD6F48" w:rsidP="007B199D">
          <w:pPr>
            <w:jc w:val="right"/>
          </w:pPr>
          <w:r>
            <w:rPr>
              <w:noProof/>
              <w:lang w:val="en-GB" w:eastAsia="en-GB"/>
            </w:rPr>
            <w:drawing>
              <wp:inline distT="0" distB="0" distL="0" distR="0">
                <wp:extent cx="577850" cy="577850"/>
                <wp:effectExtent l="0" t="0" r="0" b="0"/>
                <wp:docPr id="3" name="Рисунок 3" descr="http://undocs.org/m2/QRCode.ashx?DS=E/ECE/324/Rev.1/Add.15/Rev.8/Amen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15/Rev.8/Amen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375A3E" w:rsidRPr="00797A78" w:rsidTr="007B199D">
      <w:trPr>
        <w:trHeight w:hRule="exact" w:val="564"/>
      </w:trPr>
      <w:tc>
        <w:tcPr>
          <w:tcW w:w="3648" w:type="dxa"/>
          <w:tcMar>
            <w:left w:w="57" w:type="dxa"/>
            <w:right w:w="57" w:type="dxa"/>
          </w:tcMar>
          <w:vAlign w:val="bottom"/>
        </w:tcPr>
        <w:p w:rsidR="00375A3E" w:rsidRPr="00821C13" w:rsidRDefault="00821C13" w:rsidP="007B199D">
          <w:pPr>
            <w:spacing w:after="40"/>
            <w:rPr>
              <w:rFonts w:ascii="C39T30Lfz" w:hAnsi="C39T30Lfz"/>
              <w:spacing w:val="0"/>
              <w:w w:val="100"/>
              <w:kern w:val="0"/>
              <w:sz w:val="56"/>
              <w:szCs w:val="56"/>
              <w:lang w:val="en-US" w:eastAsia="ru-RU"/>
            </w:rPr>
          </w:pP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r w:rsidRPr="00821C13">
            <w:rPr>
              <w:rFonts w:ascii="C39T30Lfz" w:hAnsi="C39T30Lfz"/>
              <w:spacing w:val="0"/>
              <w:w w:val="100"/>
              <w:kern w:val="0"/>
              <w:sz w:val="56"/>
              <w:szCs w:val="56"/>
              <w:lang w:val="en-US" w:eastAsia="ru-RU"/>
            </w:rPr>
            <w:t></w:t>
          </w:r>
        </w:p>
      </w:tc>
      <w:tc>
        <w:tcPr>
          <w:tcW w:w="5056" w:type="dxa"/>
          <w:vMerge/>
          <w:tcMar>
            <w:left w:w="57" w:type="dxa"/>
            <w:right w:w="57" w:type="dxa"/>
          </w:tcMar>
        </w:tcPr>
        <w:p w:rsidR="00375A3E" w:rsidRDefault="00375A3E" w:rsidP="007B199D"/>
      </w:tc>
      <w:tc>
        <w:tcPr>
          <w:tcW w:w="972" w:type="dxa"/>
          <w:vMerge/>
          <w:tcMar>
            <w:left w:w="57" w:type="dxa"/>
            <w:right w:w="57" w:type="dxa"/>
          </w:tcMar>
        </w:tcPr>
        <w:p w:rsidR="00375A3E" w:rsidRDefault="00375A3E" w:rsidP="007B199D"/>
      </w:tc>
    </w:tr>
  </w:tbl>
  <w:p w:rsidR="007A36B5" w:rsidRPr="007A36B5" w:rsidRDefault="00C36B04" w:rsidP="0049372E">
    <w:pPr>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7E" w:rsidRPr="009141DC" w:rsidRDefault="00B71E7E" w:rsidP="00D1261C">
      <w:pPr>
        <w:tabs>
          <w:tab w:val="left" w:pos="2268"/>
        </w:tabs>
        <w:spacing w:after="80"/>
        <w:ind w:left="680"/>
        <w:rPr>
          <w:u w:val="single"/>
          <w:lang w:val="en-US"/>
        </w:rPr>
      </w:pPr>
      <w:r>
        <w:rPr>
          <w:u w:val="single"/>
          <w:lang w:val="en-US"/>
        </w:rPr>
        <w:tab/>
      </w:r>
    </w:p>
  </w:footnote>
  <w:footnote w:type="continuationSeparator" w:id="0">
    <w:p w:rsidR="00B71E7E" w:rsidRPr="00D1261C" w:rsidRDefault="00B71E7E" w:rsidP="00D1261C">
      <w:pPr>
        <w:tabs>
          <w:tab w:val="left" w:pos="2268"/>
        </w:tabs>
        <w:spacing w:after="80"/>
        <w:rPr>
          <w:u w:val="single"/>
          <w:lang w:val="en-US"/>
        </w:rPr>
      </w:pPr>
      <w:r>
        <w:rPr>
          <w:u w:val="single"/>
          <w:lang w:val="en-US"/>
        </w:rPr>
        <w:tab/>
      </w:r>
    </w:p>
  </w:footnote>
  <w:footnote w:id="1">
    <w:p w:rsidR="00717BA3" w:rsidRPr="003D1AE5" w:rsidRDefault="00717BA3">
      <w:pPr>
        <w:pStyle w:val="FootnoteText"/>
        <w:rPr>
          <w:lang w:val="ru-RU"/>
        </w:rPr>
      </w:pPr>
      <w:r>
        <w:tab/>
      </w:r>
      <w:r w:rsidRPr="00717BA3">
        <w:rPr>
          <w:rStyle w:val="FootnoteReference"/>
          <w:spacing w:val="4"/>
          <w:w w:val="103"/>
          <w:sz w:val="20"/>
          <w:vertAlign w:val="baseline"/>
          <w:lang w:val="ru-RU" w:eastAsia="en-US"/>
        </w:rPr>
        <w:t>*</w:t>
      </w:r>
      <w:r w:rsidRPr="003D1AE5">
        <w:rPr>
          <w:lang w:val="ru-RU"/>
        </w:rPr>
        <w:t xml:space="preserve"> </w:t>
      </w:r>
      <w:r w:rsidRPr="003D1AE5">
        <w:rPr>
          <w:lang w:val="ru-RU"/>
        </w:rPr>
        <w:tab/>
      </w:r>
      <w:r w:rsidR="003D1AE5" w:rsidRPr="003D1AE5">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003D1AE5" w:rsidRPr="003D1AE5">
        <w:rPr>
          <w:lang w:val="en-US"/>
        </w:rPr>
        <w:t> </w:t>
      </w:r>
      <w:r w:rsidR="003D1AE5" w:rsidRPr="003D1AE5">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B8" w:rsidRDefault="00BD6F48">
    <w:pPr>
      <w:pStyle w:val="Header"/>
      <w:rPr>
        <w:lang w:val="en-US"/>
      </w:rPr>
    </w:pPr>
    <w:r w:rsidRPr="00BD6F48">
      <w:rPr>
        <w:lang w:val="en-US"/>
      </w:rPr>
      <w:t>E/ECE/324/Rev.1/Add.15/Rev.8/Amend.1</w:t>
    </w:r>
    <w:r>
      <w:rPr>
        <w:lang w:val="en-US"/>
      </w:rPr>
      <w:br/>
    </w:r>
    <w:r w:rsidRPr="00BD6F48">
      <w:rPr>
        <w:lang w:val="en-US"/>
      </w:rPr>
      <w:t>E/ECE/TRANS/505/Rev.1/Add.15/Rev.8/Amend.1</w:t>
    </w:r>
  </w:p>
  <w:p w:rsidR="00370851" w:rsidRPr="00370851" w:rsidRDefault="00370851" w:rsidP="00370851">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B8" w:rsidRPr="009A6F4A" w:rsidRDefault="0060520C">
    <w:pPr>
      <w:pStyle w:val="Header"/>
      <w:rPr>
        <w:lang w:val="en-US"/>
      </w:rPr>
    </w:pPr>
    <w:r>
      <w:rPr>
        <w:lang w:val="en-US"/>
      </w:rPr>
      <w:tab/>
    </w:r>
    <w:r w:rsidR="00BD6F48" w:rsidRPr="00BD6F48">
      <w:rPr>
        <w:lang w:val="en-US"/>
      </w:rPr>
      <w:t>E/ECE/324/Rev.1/Add.15/Rev.8/Amend.1</w:t>
    </w:r>
    <w:r w:rsidR="00BD6F48">
      <w:rPr>
        <w:lang w:val="en-US"/>
      </w:rPr>
      <w:br/>
    </w:r>
    <w:r w:rsidR="00BD6F48">
      <w:rPr>
        <w:lang w:val="en-US"/>
      </w:rPr>
      <w:tab/>
    </w:r>
    <w:r w:rsidR="00BD6F48" w:rsidRPr="00BD6F48">
      <w:rPr>
        <w:lang w:val="en-US"/>
      </w:rPr>
      <w:t>E/ECE/TRANS/505/Rev.1/Add.15/Rev.8/Amend.1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3E" w:rsidRDefault="00E8463E" w:rsidP="00BC1AB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7E"/>
    <w:rsid w:val="00026218"/>
    <w:rsid w:val="000450D1"/>
    <w:rsid w:val="00096E40"/>
    <w:rsid w:val="000F2A4F"/>
    <w:rsid w:val="001A151B"/>
    <w:rsid w:val="00203C64"/>
    <w:rsid w:val="00203F84"/>
    <w:rsid w:val="00230F31"/>
    <w:rsid w:val="00261669"/>
    <w:rsid w:val="00275188"/>
    <w:rsid w:val="002858F8"/>
    <w:rsid w:val="0028687D"/>
    <w:rsid w:val="002B091C"/>
    <w:rsid w:val="002B5EE3"/>
    <w:rsid w:val="002D0CCB"/>
    <w:rsid w:val="00345C79"/>
    <w:rsid w:val="00366A39"/>
    <w:rsid w:val="00370851"/>
    <w:rsid w:val="00375A3E"/>
    <w:rsid w:val="003D1AE5"/>
    <w:rsid w:val="0048005C"/>
    <w:rsid w:val="0049372E"/>
    <w:rsid w:val="004C51B7"/>
    <w:rsid w:val="004D7935"/>
    <w:rsid w:val="004D7A8A"/>
    <w:rsid w:val="004E242B"/>
    <w:rsid w:val="00523139"/>
    <w:rsid w:val="00544379"/>
    <w:rsid w:val="00566944"/>
    <w:rsid w:val="005A4869"/>
    <w:rsid w:val="005D56BF"/>
    <w:rsid w:val="005D5CDB"/>
    <w:rsid w:val="00603F19"/>
    <w:rsid w:val="0060520C"/>
    <w:rsid w:val="00657DA0"/>
    <w:rsid w:val="00665D8D"/>
    <w:rsid w:val="006A7A3B"/>
    <w:rsid w:val="006B409F"/>
    <w:rsid w:val="006B6B57"/>
    <w:rsid w:val="00705394"/>
    <w:rsid w:val="00717BA3"/>
    <w:rsid w:val="00743F62"/>
    <w:rsid w:val="00760D3A"/>
    <w:rsid w:val="007821FA"/>
    <w:rsid w:val="007A1F42"/>
    <w:rsid w:val="007D76DD"/>
    <w:rsid w:val="008151AF"/>
    <w:rsid w:val="00821C13"/>
    <w:rsid w:val="00832524"/>
    <w:rsid w:val="008717E8"/>
    <w:rsid w:val="008D01AE"/>
    <w:rsid w:val="008E0423"/>
    <w:rsid w:val="009141DC"/>
    <w:rsid w:val="009174A1"/>
    <w:rsid w:val="0098674D"/>
    <w:rsid w:val="00997ACA"/>
    <w:rsid w:val="009C34C2"/>
    <w:rsid w:val="00A03FB7"/>
    <w:rsid w:val="00A35EAA"/>
    <w:rsid w:val="00A75A11"/>
    <w:rsid w:val="00AA434C"/>
    <w:rsid w:val="00AD7EAD"/>
    <w:rsid w:val="00B35A32"/>
    <w:rsid w:val="00B432C6"/>
    <w:rsid w:val="00B471C5"/>
    <w:rsid w:val="00B6474A"/>
    <w:rsid w:val="00B71E7E"/>
    <w:rsid w:val="00B7346D"/>
    <w:rsid w:val="00BA3134"/>
    <w:rsid w:val="00BA4715"/>
    <w:rsid w:val="00BC1AB6"/>
    <w:rsid w:val="00BD6F48"/>
    <w:rsid w:val="00BE1742"/>
    <w:rsid w:val="00C36B04"/>
    <w:rsid w:val="00CB1DE6"/>
    <w:rsid w:val="00D01CF5"/>
    <w:rsid w:val="00D1261C"/>
    <w:rsid w:val="00D33939"/>
    <w:rsid w:val="00D75DCE"/>
    <w:rsid w:val="00DD35AC"/>
    <w:rsid w:val="00DD479F"/>
    <w:rsid w:val="00E15E48"/>
    <w:rsid w:val="00E37A2F"/>
    <w:rsid w:val="00E74FA9"/>
    <w:rsid w:val="00E813F8"/>
    <w:rsid w:val="00E8463E"/>
    <w:rsid w:val="00EB0723"/>
    <w:rsid w:val="00EE6F37"/>
    <w:rsid w:val="00EF2006"/>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5D5950-41C5-4A6A-9577-0811DC1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2E"/>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1A8E-84E9-495C-B989-3F515F7D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Lucille</cp:lastModifiedBy>
  <cp:revision>2</cp:revision>
  <cp:lastPrinted>2016-08-03T08:54:00Z</cp:lastPrinted>
  <dcterms:created xsi:type="dcterms:W3CDTF">2017-01-09T17:26:00Z</dcterms:created>
  <dcterms:modified xsi:type="dcterms:W3CDTF">2017-01-09T17:26:00Z</dcterms:modified>
</cp:coreProperties>
</file>