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C62C35" w:rsidTr="00A27C92">
        <w:trPr>
          <w:trHeight w:hRule="exact" w:val="851"/>
        </w:trPr>
        <w:tc>
          <w:tcPr>
            <w:tcW w:w="9639" w:type="dxa"/>
            <w:gridSpan w:val="2"/>
            <w:tcBorders>
              <w:bottom w:val="single" w:sz="4" w:space="0" w:color="auto"/>
            </w:tcBorders>
            <w:shd w:val="clear" w:color="auto" w:fill="auto"/>
            <w:vAlign w:val="bottom"/>
          </w:tcPr>
          <w:p w:rsidR="00582FB9" w:rsidRPr="00C62C35" w:rsidRDefault="00582FB9" w:rsidP="00582FB9">
            <w:pPr>
              <w:jc w:val="right"/>
              <w:rPr>
                <w:lang w:val="en-GB"/>
              </w:rPr>
            </w:pPr>
            <w:bookmarkStart w:id="0" w:name="_GoBack"/>
            <w:bookmarkEnd w:id="0"/>
            <w:r w:rsidRPr="00C62C35">
              <w:rPr>
                <w:sz w:val="40"/>
                <w:lang w:val="en-GB"/>
              </w:rPr>
              <w:t>E</w:t>
            </w:r>
            <w:r w:rsidRPr="00C62C35">
              <w:rPr>
                <w:lang w:val="en-GB"/>
              </w:rPr>
              <w:t>/ECE/324/Rev.1/Add.13/Rev.5/Amend.4−</w:t>
            </w:r>
            <w:r w:rsidRPr="00C62C35">
              <w:rPr>
                <w:sz w:val="40"/>
                <w:lang w:val="en-GB"/>
              </w:rPr>
              <w:t>E</w:t>
            </w:r>
            <w:r w:rsidRPr="00C62C35">
              <w:rPr>
                <w:lang w:val="en-GB"/>
              </w:rPr>
              <w:t>/ECE/TRANS/505/Rev.1/Add.13/Rev.5/Amend.4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C62C35"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582FB9" w:rsidP="00A27C92">
            <w:pPr>
              <w:spacing w:before="480" w:line="240" w:lineRule="exact"/>
            </w:pPr>
            <w:r>
              <w:t>22 février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442E31">
        <w:rPr>
          <w:rStyle w:val="FootnoteReference"/>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5B43DF">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582FB9">
        <w:t>13 </w:t>
      </w:r>
      <w:r w:rsidR="00421A10" w:rsidRPr="006549FF">
        <w:t>: Règlement</w:t>
      </w:r>
      <w:r w:rsidR="00421A10">
        <w:t xml:space="preserve"> </w:t>
      </w:r>
      <w:r w:rsidR="00421A10" w:rsidRPr="00B371BF">
        <w:t>n</w:t>
      </w:r>
      <w:r w:rsidR="00421A10" w:rsidRPr="00B371BF">
        <w:rPr>
          <w:vertAlign w:val="superscript"/>
        </w:rPr>
        <w:t>o</w:t>
      </w:r>
      <w:r w:rsidR="00421A10">
        <w:t> </w:t>
      </w:r>
      <w:r w:rsidR="00582FB9">
        <w:t>14</w:t>
      </w:r>
    </w:p>
    <w:p w:rsidR="00421A10" w:rsidRPr="006549FF" w:rsidRDefault="0029791D" w:rsidP="0029791D">
      <w:pPr>
        <w:pStyle w:val="H1G"/>
      </w:pPr>
      <w:r>
        <w:tab/>
      </w:r>
      <w:r>
        <w:tab/>
      </w:r>
      <w:r w:rsidR="00421A10" w:rsidRPr="006549FF">
        <w:t xml:space="preserve">Révision </w:t>
      </w:r>
      <w:r w:rsidR="00582FB9" w:rsidRPr="00582FB9">
        <w:t xml:space="preserve">5 </w:t>
      </w:r>
      <w:r w:rsidR="005B43DF">
        <w:t>−</w:t>
      </w:r>
      <w:r w:rsidR="00582FB9" w:rsidRPr="00582FB9">
        <w:t xml:space="preserve"> Amendement</w:t>
      </w:r>
      <w:r w:rsidR="00582FB9">
        <w:t> </w:t>
      </w:r>
      <w:r w:rsidR="00582FB9" w:rsidRPr="00582FB9">
        <w:t>4</w:t>
      </w:r>
    </w:p>
    <w:p w:rsidR="00421A10" w:rsidRPr="004A7E44" w:rsidRDefault="00582FB9" w:rsidP="0029791D">
      <w:pPr>
        <w:pStyle w:val="SingleTxtG"/>
        <w:spacing w:after="0"/>
      </w:pPr>
      <w:r>
        <w:t>Complément </w:t>
      </w:r>
      <w:r w:rsidR="005B43DF">
        <w:t>7 à la série </w:t>
      </w:r>
      <w:r w:rsidRPr="00582FB9">
        <w:t xml:space="preserve">07 d’amendements au Règlement </w:t>
      </w:r>
      <w:r>
        <w:t>−</w:t>
      </w:r>
      <w:r w:rsidR="005B43DF">
        <w:t> </w:t>
      </w:r>
      <w:r w:rsidRPr="00582FB9">
        <w:t>Date d’entrée en vigueur</w:t>
      </w:r>
      <w:r>
        <w:t> :</w:t>
      </w:r>
      <w:r w:rsidRPr="00582FB9">
        <w:t xml:space="preserve"> </w:t>
      </w:r>
      <w:r>
        <w:t>9 </w:t>
      </w:r>
      <w:r w:rsidRPr="00582FB9">
        <w:t>février 2017</w:t>
      </w:r>
    </w:p>
    <w:p w:rsidR="00421A10" w:rsidRDefault="0029791D" w:rsidP="0029791D">
      <w:pPr>
        <w:pStyle w:val="H1G"/>
      </w:pPr>
      <w:r>
        <w:tab/>
      </w:r>
      <w:r>
        <w:tab/>
      </w:r>
      <w:r w:rsidR="00421A10" w:rsidRPr="007619D3">
        <w:t xml:space="preserve">Prescriptions uniformes relatives </w:t>
      </w:r>
      <w:r w:rsidR="00582FB9" w:rsidRPr="00582FB9">
        <w:t>à l’homologation des véhicules en ce qui concerne les ancrages de ceintures de sécurité, les ancrages ISOFIX, les ancrages pour fixation supérieure ISOFIX et les positions i-Size</w:t>
      </w:r>
    </w:p>
    <w:p w:rsidR="00582FB9" w:rsidRDefault="00442E31" w:rsidP="00582FB9">
      <w:pPr>
        <w:ind w:left="1134" w:hanging="1134"/>
      </w:pPr>
      <w:r>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582FB9">
        <w:tab/>
      </w:r>
      <w:r w:rsidR="00582FB9" w:rsidRPr="00582FB9">
        <w:t>Le présent document est communiqué uniquement à titre d’information. Le texte authentique, juridiquement contraignant, est celui du document ECE/TRANS/WP.29/2016/35.</w:t>
      </w:r>
    </w:p>
    <w:p w:rsidR="00582FB9" w:rsidRPr="00582FB9" w:rsidRDefault="00582FB9" w:rsidP="005B43DF">
      <w:pPr>
        <w:pStyle w:val="SingleTxtG"/>
        <w:keepNext/>
        <w:keepLines/>
      </w:pPr>
      <w:r>
        <w:br w:type="page"/>
      </w:r>
      <w:r w:rsidRPr="00582FB9">
        <w:rPr>
          <w:i/>
          <w:lang w:val="fr-FR"/>
        </w:rPr>
        <w:lastRenderedPageBreak/>
        <w:t>Paragraphe 5.4.3.6.1</w:t>
      </w:r>
      <w:r w:rsidRPr="00FE6E23">
        <w:rPr>
          <w:lang w:val="fr-FR"/>
        </w:rPr>
        <w:t xml:space="preserve">, </w:t>
      </w:r>
      <w:r>
        <w:rPr>
          <w:lang w:val="fr-FR"/>
        </w:rPr>
        <w:t>lire </w:t>
      </w:r>
      <w:r w:rsidRPr="00FE6E23">
        <w:rPr>
          <w:lang w:val="fr-FR"/>
        </w:rPr>
        <w:t>:</w:t>
      </w:r>
    </w:p>
    <w:p w:rsidR="00582FB9" w:rsidRDefault="00582FB9" w:rsidP="005B43DF">
      <w:pPr>
        <w:pStyle w:val="SingleTxtG"/>
        <w:keepNext/>
        <w:keepLines/>
        <w:ind w:left="2268" w:hanging="1134"/>
        <w:rPr>
          <w:spacing w:val="-4"/>
          <w:lang w:val="fr-FR"/>
        </w:rPr>
      </w:pPr>
      <w:r w:rsidRPr="00FE6E23">
        <w:rPr>
          <w:lang w:val="fr-FR"/>
        </w:rPr>
        <w:t>«</w:t>
      </w:r>
      <w:r>
        <w:rPr>
          <w:lang w:val="fr-FR"/>
        </w:rPr>
        <w:t> </w:t>
      </w:r>
      <w:r w:rsidRPr="00FE6E23">
        <w:rPr>
          <w:spacing w:val="-4"/>
          <w:lang w:val="fr-FR"/>
        </w:rPr>
        <w:t>5.4.3.6.1</w:t>
      </w:r>
      <w:r w:rsidRPr="00FE6E23">
        <w:rPr>
          <w:spacing w:val="-4"/>
          <w:lang w:val="fr-FR"/>
        </w:rPr>
        <w:tab/>
      </w:r>
      <w:r w:rsidRPr="00FE6E23">
        <w:rPr>
          <w:lang w:val="fr-FR"/>
        </w:rPr>
        <w:t>Nonobstant les prescriptions du paragraphe 5.4.3.6, la hauteur de l’ancrage supérieur effectif des ceintures des sièges de passager des véhicules des catégories</w:t>
      </w:r>
      <w:r w:rsidRPr="00FE6E23">
        <w:rPr>
          <w:spacing w:val="-4"/>
          <w:lang w:val="fr-FR"/>
        </w:rPr>
        <w:t xml:space="preserve"> M</w:t>
      </w:r>
      <w:r w:rsidRPr="00FE6E23">
        <w:rPr>
          <w:spacing w:val="-4"/>
          <w:vertAlign w:val="subscript"/>
          <w:lang w:val="fr-FR"/>
        </w:rPr>
        <w:t>2</w:t>
      </w:r>
      <w:r w:rsidRPr="00FE6E23">
        <w:rPr>
          <w:spacing w:val="-4"/>
          <w:lang w:val="fr-FR"/>
        </w:rPr>
        <w:t xml:space="preserve"> et M</w:t>
      </w:r>
      <w:r w:rsidRPr="00FE6E23">
        <w:rPr>
          <w:spacing w:val="-4"/>
          <w:vertAlign w:val="subscript"/>
          <w:lang w:val="fr-FR"/>
        </w:rPr>
        <w:t>3</w:t>
      </w:r>
      <w:r w:rsidRPr="00FE6E23">
        <w:rPr>
          <w:spacing w:val="-4"/>
          <w:lang w:val="fr-FR"/>
        </w:rPr>
        <w:t xml:space="preserve"> </w:t>
      </w:r>
      <w:r w:rsidRPr="00FE6E23">
        <w:rPr>
          <w:lang w:val="fr-FR"/>
        </w:rPr>
        <w:t>peut être réglée au-dessous de cette limite sous réserve qu’il soit satisfait aux prescriptions suivantes</w:t>
      </w:r>
      <w:r>
        <w:rPr>
          <w:lang w:val="fr-FR"/>
        </w:rPr>
        <w:t> </w:t>
      </w:r>
      <w:r w:rsidRPr="00FE6E23">
        <w:rPr>
          <w:spacing w:val="-4"/>
          <w:lang w:val="fr-FR"/>
        </w:rPr>
        <w:t>:</w:t>
      </w:r>
    </w:p>
    <w:p w:rsidR="00582FB9" w:rsidRPr="00582FB9" w:rsidRDefault="00582FB9" w:rsidP="00582FB9">
      <w:pPr>
        <w:pStyle w:val="SingleTxtG"/>
        <w:ind w:left="2835" w:hanging="567"/>
        <w:rPr>
          <w:spacing w:val="-4"/>
          <w:lang w:val="fr-FR"/>
        </w:rPr>
      </w:pPr>
      <w:r w:rsidRPr="00582FB9">
        <w:t>a)</w:t>
      </w:r>
      <w:r w:rsidRPr="00582FB9">
        <w:tab/>
        <w:t>La ceinture de sécurité ou le siège doit être marqué de façon permanente afin d’indiquer la position de l’ancrage supérieur effectif de la ceinture qui satisfait aux prescriptions du paragraphe 5.4.3.6 relatives à la hauteur minimale de cet ancrage. Cette marque doit indiquer clairement à l’utilisateur la hauteur à partir de laquelle la position de l’ancrage est adaptée à une utilisation par un adulte de taille moyenne ;</w:t>
      </w:r>
    </w:p>
    <w:p w:rsidR="00582FB9" w:rsidRPr="00582FB9" w:rsidRDefault="00582FB9" w:rsidP="00582FB9">
      <w:pPr>
        <w:pStyle w:val="SingleTxtG"/>
        <w:ind w:left="2835" w:hanging="567"/>
      </w:pPr>
      <w:r w:rsidRPr="00582FB9">
        <w:t>b)</w:t>
      </w:r>
      <w:r w:rsidRPr="00582FB9">
        <w:tab/>
        <w:t xml:space="preserve">L’ancrage supérieur effectif doit être conçu de façon qu’il puisse être réglé en hauteur au moyen d’un dispositif de réglage manuel facilement accessible à la personne portant la ceinture en position assise et d’une manœuvre facile et commode ; </w:t>
      </w:r>
    </w:p>
    <w:p w:rsidR="00582FB9" w:rsidRPr="00582FB9" w:rsidRDefault="00582FB9" w:rsidP="00582FB9">
      <w:pPr>
        <w:pStyle w:val="SingleTxtG"/>
        <w:ind w:left="2835" w:hanging="567"/>
      </w:pPr>
      <w:r w:rsidRPr="00582FB9">
        <w:t>c)</w:t>
      </w:r>
      <w:r w:rsidRPr="00582FB9">
        <w:tab/>
        <w:t xml:space="preserve">L’ancrage supérieur effectif doit être conçu de façon à empêcher tout déplacement involontaire vers le haut, ce qui pourrait réduire l’efficacité du dispositif lors d’une utilisation normale ; </w:t>
      </w:r>
    </w:p>
    <w:p w:rsidR="00582FB9" w:rsidRPr="00582FB9" w:rsidRDefault="00582FB9" w:rsidP="00582FB9">
      <w:pPr>
        <w:pStyle w:val="SingleTxtG"/>
        <w:ind w:left="2835" w:hanging="567"/>
      </w:pPr>
      <w:r w:rsidRPr="00582FB9">
        <w:t>d)</w:t>
      </w:r>
      <w:r w:rsidRPr="00582FB9">
        <w:tab/>
        <w:t>Le constructeur doit inclure dans le manuel du véhicule des instructions claires pour le réglage de tels systèmes, ainsi que des conseils quant aux conditions et restrictions d’utilisation pour les occupants de petite taille.</w:t>
      </w:r>
    </w:p>
    <w:p w:rsidR="00582FB9" w:rsidRPr="00FE6E23" w:rsidRDefault="00582FB9" w:rsidP="005B43DF">
      <w:pPr>
        <w:pStyle w:val="SingleTxtG"/>
        <w:keepNext/>
        <w:keepLines/>
        <w:ind w:left="2268"/>
        <w:rPr>
          <w:lang w:val="fr-FR"/>
        </w:rPr>
      </w:pPr>
      <w:r w:rsidRPr="00FE6E23">
        <w:rPr>
          <w:lang w:val="fr-FR" w:eastAsia="de-DE"/>
        </w:rPr>
        <w:t>Cependant, si le dispositif de réglage de la hauteur n’est pas fixé directement à la structure du véhicule ou à la structure du siège, mais consiste en un dispositif souple d’adaptation en hauteur de la ceinture</w:t>
      </w:r>
      <w:r>
        <w:rPr>
          <w:lang w:val="fr-FR" w:eastAsia="de-DE"/>
        </w:rPr>
        <w:t> </w:t>
      </w:r>
      <w:r w:rsidRPr="00FE6E23">
        <w:rPr>
          <w:lang w:val="fr-FR"/>
        </w:rPr>
        <w:t>:</w:t>
      </w:r>
    </w:p>
    <w:p w:rsidR="00582FB9" w:rsidRPr="00FE6E23" w:rsidRDefault="00582FB9" w:rsidP="00582FB9">
      <w:pPr>
        <w:pStyle w:val="SingleTxtG"/>
        <w:ind w:left="2835" w:hanging="567"/>
        <w:rPr>
          <w:lang w:val="fr-FR"/>
        </w:rPr>
      </w:pPr>
      <w:r w:rsidRPr="00FE6E23">
        <w:rPr>
          <w:lang w:val="fr-FR"/>
        </w:rPr>
        <w:t>e)</w:t>
      </w:r>
      <w:r w:rsidRPr="00FE6E23">
        <w:rPr>
          <w:lang w:val="fr-FR"/>
        </w:rPr>
        <w:tab/>
        <w:t>Les prescriptions des alinéas a) et d) ci-dessus demeurent applicables dans le cadre d’une homologation de t</w:t>
      </w:r>
      <w:r w:rsidR="005B43DF">
        <w:rPr>
          <w:lang w:val="fr-FR"/>
        </w:rPr>
        <w:t>ype en application du Règlement </w:t>
      </w:r>
      <w:r w:rsidRPr="00FE6E23">
        <w:rPr>
          <w:lang w:val="fr-FR"/>
        </w:rPr>
        <w:t>n</w:t>
      </w:r>
      <w:r w:rsidRPr="00FE6E23">
        <w:rPr>
          <w:vertAlign w:val="superscript"/>
          <w:lang w:val="fr-FR"/>
        </w:rPr>
        <w:t>o</w:t>
      </w:r>
      <w:r w:rsidRPr="00FE6E23">
        <w:rPr>
          <w:lang w:val="fr-FR"/>
        </w:rPr>
        <w:t> 14 avec utilisation du dispositif de retenue qu’il est prévu d’installer</w:t>
      </w:r>
      <w:r>
        <w:rPr>
          <w:lang w:val="fr-FR"/>
        </w:rPr>
        <w:t> ;</w:t>
      </w:r>
    </w:p>
    <w:p w:rsidR="00582FB9" w:rsidRDefault="00582FB9" w:rsidP="00582FB9">
      <w:pPr>
        <w:pStyle w:val="SingleTxtG"/>
        <w:ind w:left="2835" w:hanging="567"/>
        <w:rPr>
          <w:bCs/>
          <w:lang w:val="fr-FR"/>
        </w:rPr>
      </w:pPr>
      <w:r w:rsidRPr="00FE6E23">
        <w:rPr>
          <w:lang w:val="fr-FR"/>
        </w:rPr>
        <w:t>f)</w:t>
      </w:r>
      <w:r w:rsidRPr="00FE6E23">
        <w:rPr>
          <w:lang w:val="fr-FR"/>
        </w:rPr>
        <w:tab/>
        <w:t>Il doit être démontré que la ceinture de sécurité, associée à son dispositif souple d’adaptation en hauteur, satisfait au</w:t>
      </w:r>
      <w:r>
        <w:rPr>
          <w:lang w:val="fr-FR"/>
        </w:rPr>
        <w:t>x prescriptions du Règlement n</w:t>
      </w:r>
      <w:r w:rsidRPr="000551E3">
        <w:rPr>
          <w:vertAlign w:val="superscript"/>
          <w:lang w:val="fr-FR"/>
        </w:rPr>
        <w:t>o</w:t>
      </w:r>
      <w:r>
        <w:rPr>
          <w:lang w:val="fr-FR"/>
        </w:rPr>
        <w:t> </w:t>
      </w:r>
      <w:r w:rsidRPr="00FE6E23">
        <w:rPr>
          <w:lang w:val="fr-FR"/>
        </w:rPr>
        <w:t>16 applicables aux systèmes de retenue</w:t>
      </w:r>
      <w:r>
        <w:rPr>
          <w:lang w:val="fr-FR"/>
        </w:rPr>
        <w:t> </w:t>
      </w:r>
      <w:r w:rsidR="005B43DF">
        <w:rPr>
          <w:lang w:val="fr-FR"/>
        </w:rPr>
        <w:t>; les prescriptions des alinéas </w:t>
      </w:r>
      <w:r w:rsidRPr="00FE6E23">
        <w:rPr>
          <w:lang w:val="fr-FR"/>
        </w:rPr>
        <w:t>b) et</w:t>
      </w:r>
      <w:r w:rsidR="005B43DF">
        <w:rPr>
          <w:lang w:val="fr-FR"/>
        </w:rPr>
        <w:t> </w:t>
      </w:r>
      <w:r w:rsidRPr="00FE6E23">
        <w:rPr>
          <w:lang w:val="fr-FR"/>
        </w:rPr>
        <w:t>c) doivent être re</w:t>
      </w:r>
      <w:r w:rsidR="005B43DF">
        <w:rPr>
          <w:lang w:val="fr-FR"/>
        </w:rPr>
        <w:t>spectées au titre du paragraphe </w:t>
      </w:r>
      <w:r w:rsidRPr="00FE6E23">
        <w:rPr>
          <w:lang w:val="fr-FR"/>
        </w:rPr>
        <w:t>8.3 dans le cadre d’une homologation de type en application du Règlement n</w:t>
      </w:r>
      <w:r w:rsidRPr="00FE6E23">
        <w:rPr>
          <w:vertAlign w:val="superscript"/>
          <w:lang w:val="fr-FR"/>
        </w:rPr>
        <w:t>o</w:t>
      </w:r>
      <w:r>
        <w:rPr>
          <w:lang w:val="fr-FR"/>
        </w:rPr>
        <w:t> </w:t>
      </w:r>
      <w:r w:rsidRPr="00FE6E23">
        <w:rPr>
          <w:lang w:val="fr-FR"/>
        </w:rPr>
        <w:t>16.</w:t>
      </w:r>
      <w:r>
        <w:rPr>
          <w:lang w:val="fr-FR"/>
        </w:rPr>
        <w:t> </w:t>
      </w:r>
      <w:r>
        <w:rPr>
          <w:bCs/>
          <w:lang w:val="fr-FR"/>
        </w:rPr>
        <w:t>»</w:t>
      </w:r>
    </w:p>
    <w:p w:rsidR="005F0207" w:rsidRPr="00582FB9" w:rsidRDefault="00582FB9" w:rsidP="00582FB9">
      <w:pPr>
        <w:pStyle w:val="SingleTxtG"/>
        <w:spacing w:before="240" w:after="0"/>
        <w:jc w:val="center"/>
        <w:rPr>
          <w:u w:val="single"/>
        </w:rPr>
      </w:pPr>
      <w:r>
        <w:rPr>
          <w:u w:val="single"/>
        </w:rPr>
        <w:tab/>
      </w:r>
      <w:r>
        <w:rPr>
          <w:u w:val="single"/>
        </w:rPr>
        <w:tab/>
      </w:r>
      <w:r>
        <w:rPr>
          <w:u w:val="single"/>
        </w:rPr>
        <w:tab/>
      </w:r>
    </w:p>
    <w:sectPr w:rsidR="005F0207" w:rsidRPr="00582FB9" w:rsidSect="00582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13" w:rsidRDefault="00DE6813"/>
  </w:endnote>
  <w:endnote w:type="continuationSeparator" w:id="0">
    <w:p w:rsidR="00DE6813" w:rsidRDefault="00DE6813">
      <w:pPr>
        <w:pStyle w:val="Footer"/>
      </w:pPr>
    </w:p>
  </w:endnote>
  <w:endnote w:type="continuationNotice" w:id="1">
    <w:p w:rsidR="00DE6813" w:rsidRPr="00C451B9" w:rsidRDefault="00DE681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B9" w:rsidRPr="00582FB9" w:rsidRDefault="00582FB9" w:rsidP="00582FB9">
    <w:pPr>
      <w:pStyle w:val="Footer"/>
      <w:tabs>
        <w:tab w:val="right" w:pos="9638"/>
      </w:tabs>
    </w:pPr>
    <w:r w:rsidRPr="00582FB9">
      <w:rPr>
        <w:b/>
        <w:sz w:val="18"/>
      </w:rPr>
      <w:fldChar w:fldCharType="begin"/>
    </w:r>
    <w:r w:rsidRPr="00582FB9">
      <w:rPr>
        <w:b/>
        <w:sz w:val="18"/>
      </w:rPr>
      <w:instrText xml:space="preserve"> PAGE  \* MERGEFORMAT </w:instrText>
    </w:r>
    <w:r w:rsidRPr="00582FB9">
      <w:rPr>
        <w:b/>
        <w:sz w:val="18"/>
      </w:rPr>
      <w:fldChar w:fldCharType="separate"/>
    </w:r>
    <w:r w:rsidR="00C62C35">
      <w:rPr>
        <w:b/>
        <w:noProof/>
        <w:sz w:val="18"/>
      </w:rPr>
      <w:t>2</w:t>
    </w:r>
    <w:r w:rsidRPr="00582FB9">
      <w:rPr>
        <w:b/>
        <w:sz w:val="18"/>
      </w:rPr>
      <w:fldChar w:fldCharType="end"/>
    </w:r>
    <w:r>
      <w:rPr>
        <w:b/>
        <w:sz w:val="18"/>
      </w:rPr>
      <w:tab/>
    </w:r>
    <w:r>
      <w:t>GE.17-01774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B9" w:rsidRPr="00582FB9" w:rsidRDefault="00582FB9" w:rsidP="00582FB9">
    <w:pPr>
      <w:pStyle w:val="Footer"/>
      <w:tabs>
        <w:tab w:val="right" w:pos="9638"/>
      </w:tabs>
      <w:rPr>
        <w:b/>
        <w:sz w:val="18"/>
      </w:rPr>
    </w:pPr>
    <w:r>
      <w:t>GE.17-01774</w:t>
    </w:r>
    <w:r>
      <w:tab/>
    </w:r>
    <w:r w:rsidRPr="00582FB9">
      <w:rPr>
        <w:b/>
        <w:sz w:val="18"/>
      </w:rPr>
      <w:fldChar w:fldCharType="begin"/>
    </w:r>
    <w:r w:rsidRPr="00582FB9">
      <w:rPr>
        <w:b/>
        <w:sz w:val="18"/>
      </w:rPr>
      <w:instrText xml:space="preserve"> PAGE  \* MERGEFORMAT </w:instrText>
    </w:r>
    <w:r w:rsidRPr="00582FB9">
      <w:rPr>
        <w:b/>
        <w:sz w:val="18"/>
      </w:rPr>
      <w:fldChar w:fldCharType="separate"/>
    </w:r>
    <w:r>
      <w:rPr>
        <w:b/>
        <w:noProof/>
        <w:sz w:val="18"/>
      </w:rPr>
      <w:t>3</w:t>
    </w:r>
    <w:r w:rsidRPr="00582F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582FB9" w:rsidRDefault="00582FB9" w:rsidP="00582FB9">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29C16537" wp14:editId="7B54BFA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17-01774  (F)    110517    150517</w:t>
    </w:r>
    <w:r>
      <w:rPr>
        <w:sz w:val="20"/>
      </w:rPr>
      <w:br/>
    </w:r>
    <w:r w:rsidRPr="00582FB9">
      <w:rPr>
        <w:rFonts w:ascii="C39T30Lfz" w:hAnsi="C39T30Lfz"/>
        <w:sz w:val="56"/>
      </w:rPr>
      <w:t></w:t>
    </w:r>
    <w:r w:rsidRPr="00582FB9">
      <w:rPr>
        <w:rFonts w:ascii="C39T30Lfz" w:hAnsi="C39T30Lfz"/>
        <w:sz w:val="56"/>
      </w:rPr>
      <w:t></w:t>
    </w:r>
    <w:r w:rsidRPr="00582FB9">
      <w:rPr>
        <w:rFonts w:ascii="C39T30Lfz" w:hAnsi="C39T30Lfz"/>
        <w:sz w:val="56"/>
      </w:rPr>
      <w:t></w:t>
    </w:r>
    <w:r w:rsidRPr="00582FB9">
      <w:rPr>
        <w:rFonts w:ascii="C39T30Lfz" w:hAnsi="C39T30Lfz"/>
        <w:sz w:val="56"/>
      </w:rPr>
      <w:t></w:t>
    </w:r>
    <w:r w:rsidRPr="00582FB9">
      <w:rPr>
        <w:rFonts w:ascii="C39T30Lfz" w:hAnsi="C39T30Lfz"/>
        <w:sz w:val="56"/>
      </w:rPr>
      <w:t></w:t>
    </w:r>
    <w:r w:rsidRPr="00582FB9">
      <w:rPr>
        <w:rFonts w:ascii="C39T30Lfz" w:hAnsi="C39T30Lfz"/>
        <w:sz w:val="56"/>
      </w:rPr>
      <w:t></w:t>
    </w:r>
    <w:r w:rsidRPr="00582FB9">
      <w:rPr>
        <w:rFonts w:ascii="C39T30Lfz" w:hAnsi="C39T30Lfz"/>
        <w:sz w:val="56"/>
      </w:rPr>
      <w:t></w:t>
    </w:r>
    <w:r w:rsidRPr="00582FB9">
      <w:rPr>
        <w:rFonts w:ascii="C39T30Lfz" w:hAnsi="C39T30Lfz"/>
        <w:sz w:val="56"/>
      </w:rPr>
      <w:t></w:t>
    </w:r>
    <w:r w:rsidRPr="00582FB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3/Rev.5/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3/Rev.5/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13" w:rsidRPr="00D27D5E" w:rsidRDefault="00DE6813" w:rsidP="00D27D5E">
      <w:pPr>
        <w:tabs>
          <w:tab w:val="right" w:pos="2155"/>
        </w:tabs>
        <w:spacing w:after="80"/>
        <w:ind w:left="680"/>
        <w:rPr>
          <w:u w:val="single"/>
        </w:rPr>
      </w:pPr>
      <w:r>
        <w:rPr>
          <w:u w:val="single"/>
        </w:rPr>
        <w:tab/>
      </w:r>
    </w:p>
  </w:footnote>
  <w:footnote w:type="continuationSeparator" w:id="0">
    <w:p w:rsidR="00DE6813" w:rsidRPr="00D171D4" w:rsidRDefault="00DE6813" w:rsidP="00D171D4">
      <w:pPr>
        <w:tabs>
          <w:tab w:val="right" w:pos="2155"/>
        </w:tabs>
        <w:spacing w:after="80"/>
        <w:ind w:left="680"/>
        <w:rPr>
          <w:u w:val="single"/>
        </w:rPr>
      </w:pPr>
      <w:r w:rsidRPr="00D171D4">
        <w:rPr>
          <w:u w:val="single"/>
        </w:rPr>
        <w:tab/>
      </w:r>
    </w:p>
  </w:footnote>
  <w:footnote w:type="continuationNotice" w:id="1">
    <w:p w:rsidR="00DE6813" w:rsidRPr="00C451B9" w:rsidRDefault="00DE6813"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rsidR="00582FB9">
        <w:t>d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B9" w:rsidRPr="00C62C35" w:rsidRDefault="00C62C35">
    <w:pPr>
      <w:pStyle w:val="Header"/>
      <w:rPr>
        <w:lang w:val="en-GB"/>
      </w:rPr>
    </w:pPr>
    <w:r>
      <w:fldChar w:fldCharType="begin"/>
    </w:r>
    <w:r w:rsidRPr="00C62C35">
      <w:rPr>
        <w:lang w:val="en-GB"/>
      </w:rPr>
      <w:instrText xml:space="preserve"> TITLE  \* MERGEFORMAT </w:instrText>
    </w:r>
    <w:r>
      <w:fldChar w:fldCharType="separate"/>
    </w:r>
    <w:r w:rsidR="00582FB9" w:rsidRPr="00C62C35">
      <w:rPr>
        <w:lang w:val="en-GB"/>
      </w:rPr>
      <w:t>E/ECE/324/Rev.1/Add.13/Rev.5/Amend.4</w:t>
    </w:r>
    <w:r>
      <w:fldChar w:fldCharType="end"/>
    </w:r>
    <w:r w:rsidR="00582FB9" w:rsidRPr="00C62C35">
      <w:rPr>
        <w:lang w:val="en-GB"/>
      </w:rPr>
      <w:br/>
    </w:r>
    <w:r>
      <w:fldChar w:fldCharType="begin"/>
    </w:r>
    <w:r w:rsidRPr="00C62C35">
      <w:rPr>
        <w:lang w:val="en-GB"/>
      </w:rPr>
      <w:instrText xml:space="preserve"> KEYWORDS  \* MERGEFORMAT </w:instrText>
    </w:r>
    <w:r>
      <w:fldChar w:fldCharType="separate"/>
    </w:r>
    <w:r w:rsidR="00582FB9" w:rsidRPr="00C62C35">
      <w:rPr>
        <w:lang w:val="en-GB"/>
      </w:rPr>
      <w:t>E/ECE/TRANS/505/Rev.1/Add.13/Rev.5/Amend.4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B9" w:rsidRPr="00C62C35" w:rsidRDefault="00C62C35" w:rsidP="00582FB9">
    <w:pPr>
      <w:pStyle w:val="Header"/>
      <w:jc w:val="right"/>
      <w:rPr>
        <w:lang w:val="en-GB"/>
      </w:rPr>
    </w:pPr>
    <w:r>
      <w:fldChar w:fldCharType="begin"/>
    </w:r>
    <w:r w:rsidRPr="00C62C35">
      <w:rPr>
        <w:lang w:val="en-GB"/>
      </w:rPr>
      <w:instrText xml:space="preserve"> TITLE  \* MERGEFORMAT </w:instrText>
    </w:r>
    <w:r>
      <w:fldChar w:fldCharType="separate"/>
    </w:r>
    <w:r w:rsidR="00582FB9" w:rsidRPr="00C62C35">
      <w:rPr>
        <w:lang w:val="en-GB"/>
      </w:rPr>
      <w:t>E/ECE/324/Rev.1/Add.13/Rev.5/Amend.4</w:t>
    </w:r>
    <w:r>
      <w:fldChar w:fldCharType="end"/>
    </w:r>
    <w:r w:rsidR="00582FB9" w:rsidRPr="00C62C35">
      <w:rPr>
        <w:lang w:val="en-GB"/>
      </w:rPr>
      <w:br/>
    </w:r>
    <w:r>
      <w:fldChar w:fldCharType="begin"/>
    </w:r>
    <w:r w:rsidRPr="00C62C35">
      <w:rPr>
        <w:lang w:val="en-GB"/>
      </w:rPr>
      <w:instrText xml:space="preserve"> K</w:instrText>
    </w:r>
    <w:r w:rsidRPr="00C62C35">
      <w:rPr>
        <w:lang w:val="en-GB"/>
      </w:rPr>
      <w:instrText xml:space="preserve">EYWORDS  \* MERGEFORMAT </w:instrText>
    </w:r>
    <w:r>
      <w:fldChar w:fldCharType="separate"/>
    </w:r>
    <w:r w:rsidR="00582FB9" w:rsidRPr="00C62C35">
      <w:rPr>
        <w:lang w:val="en-GB"/>
      </w:rPr>
      <w:t>E/ECE/TRANS/505/Rev.1/Add.13/Rev.5/Amend.4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1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2FB9"/>
    <w:rsid w:val="00583A20"/>
    <w:rsid w:val="00584373"/>
    <w:rsid w:val="0059061F"/>
    <w:rsid w:val="00591DB3"/>
    <w:rsid w:val="005939ED"/>
    <w:rsid w:val="005947BC"/>
    <w:rsid w:val="00595E8A"/>
    <w:rsid w:val="005A0268"/>
    <w:rsid w:val="005A6014"/>
    <w:rsid w:val="005B43DF"/>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4DB0"/>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2C35"/>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813"/>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E/ECE/324/Rev.1/Add.13/Rev.5/Amend.4</vt:lpstr>
      <vt:lpstr>E/ECE/324/Rev</vt:lpstr>
    </vt:vector>
  </TitlesOfParts>
  <Company>CSD</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E/ECE/324/Rev.1/Add.13/Rev.5/Amend.4</dc:title>
  <dc:creator>Bourion</dc:creator>
  <cp:keywords>E/ECE/TRANS/505/Rev.1/Add.13/Rev.5/Amend.4</cp:keywords>
  <cp:lastModifiedBy>Benedicte Boudol</cp:lastModifiedBy>
  <cp:revision>2</cp:revision>
  <cp:lastPrinted>2017-05-15T09:23:00Z</cp:lastPrinted>
  <dcterms:created xsi:type="dcterms:W3CDTF">2017-05-17T14:19:00Z</dcterms:created>
  <dcterms:modified xsi:type="dcterms:W3CDTF">2017-05-17T14:19:00Z</dcterms:modified>
</cp:coreProperties>
</file>