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762F" w:rsidRPr="00DB58B5" w:rsidRDefault="0073762F" w:rsidP="0073762F">
            <w:pPr>
              <w:jc w:val="right"/>
            </w:pPr>
            <w:bookmarkStart w:id="0" w:name="_GoBack"/>
            <w:bookmarkEnd w:id="0"/>
            <w:r w:rsidRPr="0073762F">
              <w:rPr>
                <w:sz w:val="40"/>
              </w:rPr>
              <w:t>E</w:t>
            </w:r>
            <w:r>
              <w:t>/ECE/324/Add.10/Rev.3/Amend.1−</w:t>
            </w:r>
            <w:r w:rsidRPr="0073762F">
              <w:rPr>
                <w:sz w:val="40"/>
              </w:rPr>
              <w:t>E</w:t>
            </w:r>
            <w:r>
              <w:t>/ECE/TRANS/505/Add.10/Rev.3/Amend.1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73762F" w:rsidP="00A27C92">
            <w:pPr>
              <w:spacing w:before="480" w:line="240" w:lineRule="exact"/>
            </w:pPr>
            <w:r>
              <w:t>22 février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B630B2" w:rsidRPr="00D3008B">
        <w:rPr>
          <w:lang w:val="fr-FR"/>
        </w:rPr>
        <w:t>Concernant l</w:t>
      </w:r>
      <w:r w:rsidR="00AA342D" w:rsidRPr="00AA342D">
        <w:t>’</w:t>
      </w:r>
      <w:r w:rsidR="00B630B2" w:rsidRPr="00D3008B">
        <w:rPr>
          <w:lang w:val="fr-FR"/>
        </w:rPr>
        <w:t>adoption de prescriptions techniques uniformes applicables aux véhicules à roues, aux équipements et aux pièces susceptibles d</w:t>
      </w:r>
      <w:r w:rsidR="00AA342D" w:rsidRPr="00AA342D">
        <w:t>’</w:t>
      </w:r>
      <w:r w:rsidR="00B630B2" w:rsidRPr="00D3008B">
        <w:rPr>
          <w:lang w:val="fr-FR"/>
        </w:rPr>
        <w:t>être montés ou utilisés sur un véhicule à roues et les conditions de reconnaissance réciproque des homologations délivrées conformément à ces prescriptions</w:t>
      </w:r>
      <w:r w:rsidR="00442E31" w:rsidRPr="00D3008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B630B2" w:rsidP="0029791D">
      <w:pPr>
        <w:pStyle w:val="SingleTxtG"/>
        <w:jc w:val="left"/>
        <w:rPr>
          <w:b/>
          <w:sz w:val="24"/>
          <w:szCs w:val="24"/>
        </w:rPr>
      </w:pPr>
      <w:r w:rsidRPr="00D3008B">
        <w:rPr>
          <w:lang w:val="fr-FR"/>
        </w:rPr>
        <w:t>(Révision 2, comprenant les amendements entrés en vigueur le 16</w:t>
      </w:r>
      <w:r w:rsidR="00D3008B">
        <w:rPr>
          <w:lang w:val="fr-FR"/>
        </w:rPr>
        <w:t> </w:t>
      </w:r>
      <w:r w:rsidRPr="00D3008B">
        <w:rPr>
          <w:lang w:val="fr-FR"/>
        </w:rPr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B630B2" w:rsidRPr="00D3008B">
        <w:rPr>
          <w:lang w:val="fr-FR"/>
        </w:rPr>
        <w:t xml:space="preserve">Additif 10 </w:t>
      </w:r>
      <w:r w:rsidR="00D3008B">
        <w:rPr>
          <w:lang w:val="fr-FR"/>
        </w:rPr>
        <w:t>−</w:t>
      </w:r>
      <w:r w:rsidR="00B630B2" w:rsidRPr="00D3008B">
        <w:rPr>
          <w:lang w:val="fr-FR"/>
        </w:rPr>
        <w:t xml:space="preserve"> Règlement </w:t>
      </w:r>
      <w:r w:rsidR="00D3008B" w:rsidRPr="00D3008B">
        <w:rPr>
          <w:rFonts w:eastAsia="MS Mincho"/>
          <w:szCs w:val="22"/>
          <w:lang w:val="fr-FR"/>
        </w:rPr>
        <w:t>n</w:t>
      </w:r>
      <w:r w:rsidR="00D3008B" w:rsidRPr="00D3008B">
        <w:rPr>
          <w:rFonts w:eastAsia="MS Mincho"/>
          <w:szCs w:val="22"/>
          <w:vertAlign w:val="superscript"/>
          <w:lang w:val="fr-FR"/>
        </w:rPr>
        <w:t>o</w:t>
      </w:r>
      <w:r w:rsidR="00D3008B">
        <w:rPr>
          <w:lang w:val="fr-FR"/>
        </w:rPr>
        <w:t> </w:t>
      </w:r>
      <w:r w:rsidR="00B630B2" w:rsidRPr="00D3008B">
        <w:rPr>
          <w:lang w:val="fr-FR"/>
        </w:rPr>
        <w:t>11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B630B2" w:rsidRPr="00D3008B">
        <w:rPr>
          <w:lang w:val="fr-FR"/>
        </w:rPr>
        <w:t xml:space="preserve">Révision 3 </w:t>
      </w:r>
      <w:r w:rsidR="00D3008B">
        <w:rPr>
          <w:lang w:val="fr-FR"/>
        </w:rPr>
        <w:t>−</w:t>
      </w:r>
      <w:r w:rsidR="00B630B2" w:rsidRPr="00D3008B">
        <w:rPr>
          <w:lang w:val="fr-FR"/>
        </w:rPr>
        <w:t xml:space="preserve"> Amendement 1</w:t>
      </w:r>
    </w:p>
    <w:p w:rsidR="00421A10" w:rsidRPr="004A7E44" w:rsidRDefault="00B630B2" w:rsidP="0029791D">
      <w:pPr>
        <w:pStyle w:val="SingleTxtG"/>
        <w:spacing w:after="0"/>
      </w:pPr>
      <w:r w:rsidRPr="00CA5ADE">
        <w:rPr>
          <w:lang w:val="fr-FR"/>
        </w:rPr>
        <w:t>Complément 1 à la série 04 d</w:t>
      </w:r>
      <w:r w:rsidR="00AA342D" w:rsidRPr="00AA342D">
        <w:t>’</w:t>
      </w:r>
      <w:r w:rsidRPr="00CA5ADE">
        <w:rPr>
          <w:lang w:val="fr-FR"/>
        </w:rPr>
        <w:t xml:space="preserve">amendements </w:t>
      </w:r>
      <w:r w:rsidR="00A42713">
        <w:rPr>
          <w:lang w:val="fr-FR"/>
        </w:rPr>
        <w:t>−</w:t>
      </w:r>
      <w:r w:rsidRPr="00CA5ADE">
        <w:rPr>
          <w:lang w:val="fr-FR"/>
        </w:rPr>
        <w:t xml:space="preserve"> Date d</w:t>
      </w:r>
      <w:r w:rsidR="00AA342D" w:rsidRPr="00AA342D">
        <w:t>’</w:t>
      </w:r>
      <w:r w:rsidRPr="00CA5ADE">
        <w:rPr>
          <w:lang w:val="fr-FR"/>
        </w:rPr>
        <w:t>entrée en vigueur</w:t>
      </w:r>
      <w:r w:rsidR="00AA342D">
        <w:rPr>
          <w:lang w:val="fr-FR"/>
        </w:rPr>
        <w:t> :</w:t>
      </w:r>
      <w:r w:rsidRPr="00CA5ADE">
        <w:rPr>
          <w:lang w:val="fr-FR"/>
        </w:rPr>
        <w:t xml:space="preserve"> 9 février 2017</w:t>
      </w:r>
    </w:p>
    <w:p w:rsidR="00421A10" w:rsidRDefault="0029791D" w:rsidP="0029791D">
      <w:pPr>
        <w:pStyle w:val="H1G"/>
      </w:pPr>
      <w:r>
        <w:tab/>
      </w:r>
      <w:r>
        <w:tab/>
      </w:r>
      <w:r w:rsidR="00B630B2" w:rsidRPr="00CA5ADE">
        <w:rPr>
          <w:lang w:val="fr-FR"/>
        </w:rPr>
        <w:t>Prescriptions uniformes relatives à l</w:t>
      </w:r>
      <w:r w:rsidR="00AA342D" w:rsidRPr="00AA342D">
        <w:t>’</w:t>
      </w:r>
      <w:r w:rsidR="00B630B2" w:rsidRPr="00CA5ADE">
        <w:rPr>
          <w:lang w:val="fr-FR"/>
        </w:rPr>
        <w:t xml:space="preserve">homologation des véhicules </w:t>
      </w:r>
      <w:r w:rsidR="00CA5ADE">
        <w:rPr>
          <w:lang w:val="fr-FR"/>
        </w:rPr>
        <w:br/>
      </w:r>
      <w:r w:rsidR="00B630B2" w:rsidRPr="00CA5ADE">
        <w:rPr>
          <w:lang w:val="fr-FR"/>
        </w:rPr>
        <w:t>en ce qui concerne les serrures et organes de fixation des portes</w:t>
      </w:r>
    </w:p>
    <w:p w:rsidR="0073762F" w:rsidRDefault="00CA5ADE" w:rsidP="00CA5ADE">
      <w:pPr>
        <w:pStyle w:val="SingleTxtG"/>
      </w:pPr>
      <w:r w:rsidRPr="0080697E">
        <w:rPr>
          <w:lang w:val="fr-FR" w:eastAsia="en-GB"/>
        </w:rPr>
        <w:t xml:space="preserve">Ce document constitue un outil de documentation. Le texte authentique et </w:t>
      </w:r>
      <w:r w:rsidR="001A3664">
        <w:rPr>
          <w:lang w:val="fr-FR" w:eastAsia="en-GB"/>
        </w:rPr>
        <w:t xml:space="preserve">juridiquement </w:t>
      </w:r>
      <w:r w:rsidRPr="0080697E">
        <w:rPr>
          <w:lang w:val="fr-FR" w:eastAsia="en-GB"/>
        </w:rPr>
        <w:t xml:space="preserve">contraignant est </w:t>
      </w:r>
      <w:r w:rsidR="001A3664">
        <w:rPr>
          <w:lang w:val="fr-FR" w:eastAsia="en-GB"/>
        </w:rPr>
        <w:t xml:space="preserve">le document </w:t>
      </w:r>
      <w:r w:rsidRPr="0080697E">
        <w:rPr>
          <w:spacing w:val="-6"/>
          <w:lang w:val="fr-FR" w:eastAsia="en-GB"/>
        </w:rPr>
        <w:t>ECE/TRANS/WP.29/2016/34.</w:t>
      </w:r>
      <w:r w:rsidR="00442E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A4749" wp14:editId="1C0D61A9">
                <wp:simplePos x="0" y="0"/>
                <wp:positionH relativeFrom="margin">
                  <wp:posOffset>0</wp:posOffset>
                </wp:positionH>
                <wp:positionV relativeFrom="margin">
                  <wp:posOffset>7021195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F141AA9" wp14:editId="214FAE12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52.8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AZQkdT3wAAAAo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F141AA9" wp14:editId="214FAE12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9768A" w:rsidRPr="00CA5ADE" w:rsidRDefault="00CA5ADE" w:rsidP="00CA5ADE">
      <w:pPr>
        <w:pStyle w:val="SingleTxtG"/>
      </w:pPr>
      <w:r>
        <w:br w:type="page"/>
      </w:r>
      <w:r w:rsidR="00B630B2" w:rsidRPr="00CA5ADE">
        <w:rPr>
          <w:i/>
        </w:rPr>
        <w:lastRenderedPageBreak/>
        <w:t>Ajouter un nouveau paragraphe</w:t>
      </w:r>
      <w:r w:rsidR="00B630B2" w:rsidRPr="00CA5ADE">
        <w:t>, comme suit :</w:t>
      </w:r>
    </w:p>
    <w:p w:rsidR="0059768A" w:rsidRPr="00CA5ADE" w:rsidRDefault="00B630B2" w:rsidP="00CA5ADE">
      <w:pPr>
        <w:pStyle w:val="SingleTxtG"/>
        <w:ind w:left="2268" w:hanging="1134"/>
        <w:rPr>
          <w:iCs/>
        </w:rPr>
      </w:pPr>
      <w:r w:rsidRPr="00CA5ADE">
        <w:t>« </w:t>
      </w:r>
      <w:r w:rsidRPr="00CA5ADE">
        <w:rPr>
          <w:iCs/>
        </w:rPr>
        <w:t>6.3.3</w:t>
      </w:r>
      <w:r w:rsidRPr="00CA5ADE">
        <w:rPr>
          <w:iCs/>
        </w:rPr>
        <w:tab/>
      </w:r>
      <w:r w:rsidRPr="00CA5ADE">
        <w:rPr>
          <w:iCs/>
        </w:rPr>
        <w:tab/>
      </w:r>
      <w:r w:rsidRPr="00CA5ADE">
        <w:t>Portes arrière</w:t>
      </w:r>
    </w:p>
    <w:p w:rsidR="0059768A" w:rsidRPr="00CA5ADE" w:rsidRDefault="00B630B2" w:rsidP="00CA5ADE">
      <w:pPr>
        <w:pStyle w:val="SingleTxtG"/>
        <w:ind w:left="2268"/>
      </w:pPr>
      <w:r w:rsidRPr="00CA5ADE">
        <w:t>Chaque porte arrière équipée d</w:t>
      </w:r>
      <w:r w:rsidR="00AA342D" w:rsidRPr="00AA342D">
        <w:t>’</w:t>
      </w:r>
      <w:r w:rsidRPr="00CA5ADE">
        <w:t>une poignée intérieure ou toute autre commande intérieure d</w:t>
      </w:r>
      <w:r w:rsidR="00AA342D" w:rsidRPr="00AA342D">
        <w:t>’</w:t>
      </w:r>
      <w:r w:rsidRPr="00CA5ADE">
        <w:t>ouverture doit être munie d</w:t>
      </w:r>
      <w:r w:rsidR="00AA342D" w:rsidRPr="00AA342D">
        <w:t>’</w:t>
      </w:r>
      <w:r w:rsidRPr="00CA5ADE">
        <w:t>au moins un dispositif de verrouillage situé à l</w:t>
      </w:r>
      <w:r w:rsidR="00AA342D" w:rsidRPr="00AA342D">
        <w:t>’</w:t>
      </w:r>
      <w:r w:rsidRPr="00CA5ADE">
        <w:t>intérieur du véhicule qui, lorsqu</w:t>
      </w:r>
      <w:r w:rsidR="00AA342D" w:rsidRPr="00AA342D">
        <w:t>’</w:t>
      </w:r>
      <w:r w:rsidRPr="00CA5ADE">
        <w:t>il est en position fermée, bloque la poignée intérieure ou toute autre commande intérieure d</w:t>
      </w:r>
      <w:r w:rsidR="00AA342D" w:rsidRPr="00AA342D">
        <w:t>’</w:t>
      </w:r>
      <w:r w:rsidRPr="00CA5ADE">
        <w:t>ouverture et qui nécessite des manœuvres distinctes pour déverrouiller la porte et actionner la poignée intérieure ou toute autre commande intérieure d</w:t>
      </w:r>
      <w:r w:rsidR="00AA342D" w:rsidRPr="00AA342D">
        <w:t>’</w:t>
      </w:r>
      <w:r w:rsidRPr="00CA5ADE">
        <w:t>ouverture.</w:t>
      </w:r>
    </w:p>
    <w:p w:rsidR="0059768A" w:rsidRPr="00CA5ADE" w:rsidRDefault="00B630B2" w:rsidP="00CA5ADE">
      <w:pPr>
        <w:pStyle w:val="SingleTxtG"/>
        <w:ind w:left="2268" w:hanging="1134"/>
      </w:pPr>
      <w:r w:rsidRPr="00CA5ADE">
        <w:t>6.3.3.1</w:t>
      </w:r>
      <w:r w:rsidRPr="00CA5ADE">
        <w:tab/>
      </w:r>
      <w:r w:rsidRPr="00CA5ADE">
        <w:tab/>
        <w:t>Le dispositif de verrouillage peut être :</w:t>
      </w:r>
    </w:p>
    <w:p w:rsidR="0059768A" w:rsidRPr="00CA5ADE" w:rsidRDefault="00B630B2" w:rsidP="00CA5ADE">
      <w:pPr>
        <w:pStyle w:val="SingleTxtG"/>
        <w:ind w:left="2835" w:hanging="567"/>
      </w:pPr>
      <w:r w:rsidRPr="00CA5ADE">
        <w:t>a)</w:t>
      </w:r>
      <w:r w:rsidRPr="00CA5ADE">
        <w:tab/>
        <w:t>Un système de verrouillage de sécurité pour enfants ; ou</w:t>
      </w:r>
    </w:p>
    <w:p w:rsidR="0059768A" w:rsidRPr="00CA5ADE" w:rsidRDefault="00B630B2" w:rsidP="00CA5ADE">
      <w:pPr>
        <w:pStyle w:val="SingleTxtG"/>
        <w:ind w:left="2835" w:hanging="567"/>
      </w:pPr>
      <w:r w:rsidRPr="00CA5ADE">
        <w:rPr>
          <w:bCs/>
        </w:rPr>
        <w:t>b)</w:t>
      </w:r>
      <w:r w:rsidRPr="00CA5ADE">
        <w:rPr>
          <w:bCs/>
        </w:rPr>
        <w:tab/>
        <w:t>Un dispositif de verrouillage/déverrouillage situé à l</w:t>
      </w:r>
      <w:r w:rsidR="00AA342D" w:rsidRPr="00AA342D">
        <w:t>’</w:t>
      </w:r>
      <w:r w:rsidRPr="00CA5ADE">
        <w:rPr>
          <w:bCs/>
        </w:rPr>
        <w:t xml:space="preserve">intérieur du véhicule et facilement </w:t>
      </w:r>
      <w:r w:rsidRPr="00CA5ADE">
        <w:t>accessible</w:t>
      </w:r>
      <w:r w:rsidRPr="00CA5ADE">
        <w:rPr>
          <w:bCs/>
        </w:rPr>
        <w:t> ; ou</w:t>
      </w:r>
    </w:p>
    <w:p w:rsidR="0059768A" w:rsidRPr="00CA5ADE" w:rsidRDefault="00B630B2" w:rsidP="00CA5ADE">
      <w:pPr>
        <w:pStyle w:val="SingleTxtG"/>
        <w:ind w:left="2835" w:hanging="567"/>
        <w:rPr>
          <w:bCs/>
        </w:rPr>
      </w:pPr>
      <w:r w:rsidRPr="00CA5ADE">
        <w:rPr>
          <w:bCs/>
        </w:rPr>
        <w:t>c)</w:t>
      </w:r>
      <w:r w:rsidRPr="00CA5ADE">
        <w:rPr>
          <w:bCs/>
        </w:rPr>
        <w:tab/>
        <w:t xml:space="preserve">Un </w:t>
      </w:r>
      <w:r w:rsidRPr="00CA5ADE">
        <w:t>système</w:t>
      </w:r>
      <w:r w:rsidRPr="00CA5ADE">
        <w:rPr>
          <w:bCs/>
        </w:rPr>
        <w:t xml:space="preserve"> qui rend la poignée intérieure ou toute autre </w:t>
      </w:r>
      <w:r w:rsidRPr="00CA5ADE">
        <w:t>commande intérieure d</w:t>
      </w:r>
      <w:r w:rsidR="00AA342D" w:rsidRPr="00AA342D">
        <w:t>’</w:t>
      </w:r>
      <w:r w:rsidRPr="00CA5ADE">
        <w:t xml:space="preserve">ouverture </w:t>
      </w:r>
      <w:r w:rsidRPr="00CA5ADE">
        <w:rPr>
          <w:bCs/>
        </w:rPr>
        <w:t xml:space="preserve">de cette porte inopérante lorsque la vitesse du véhicule </w:t>
      </w:r>
      <w:r w:rsidRPr="00CA5ADE">
        <w:t xml:space="preserve">atteint ou dépasse </w:t>
      </w:r>
      <w:r w:rsidRPr="00CA5ADE">
        <w:rPr>
          <w:bCs/>
        </w:rPr>
        <w:t>4 km/h ; ou</w:t>
      </w:r>
    </w:p>
    <w:p w:rsidR="005F0207" w:rsidRDefault="00B630B2" w:rsidP="00CA5ADE">
      <w:pPr>
        <w:pStyle w:val="SingleTxtG"/>
        <w:ind w:left="2835" w:hanging="567"/>
        <w:rPr>
          <w:bCs/>
        </w:rPr>
      </w:pPr>
      <w:r w:rsidRPr="00CA5ADE">
        <w:rPr>
          <w:bCs/>
        </w:rPr>
        <w:t>d)</w:t>
      </w:r>
      <w:r w:rsidRPr="00CA5ADE">
        <w:rPr>
          <w:bCs/>
        </w:rPr>
        <w:tab/>
        <w:t xml:space="preserve">Toute </w:t>
      </w:r>
      <w:r w:rsidRPr="00CA5ADE">
        <w:t>combinaison</w:t>
      </w:r>
      <w:r w:rsidRPr="00CA5ADE">
        <w:rPr>
          <w:bCs/>
        </w:rPr>
        <w:t xml:space="preserve"> des éléments a), b) ou c) ci-dessus. ».</w:t>
      </w:r>
    </w:p>
    <w:p w:rsidR="00CA5ADE" w:rsidRPr="00CA5ADE" w:rsidRDefault="00CA5ADE" w:rsidP="00CA5AD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A5ADE" w:rsidRPr="00CA5ADE" w:rsidSect="0073762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D5" w:rsidRDefault="001D19D5"/>
  </w:endnote>
  <w:endnote w:type="continuationSeparator" w:id="0">
    <w:p w:rsidR="001D19D5" w:rsidRDefault="001D19D5">
      <w:pPr>
        <w:pStyle w:val="Footer"/>
      </w:pPr>
    </w:p>
  </w:endnote>
  <w:endnote w:type="continuationNotice" w:id="1">
    <w:p w:rsidR="001D19D5" w:rsidRPr="00C451B9" w:rsidRDefault="001D19D5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2F" w:rsidRPr="0073762F" w:rsidRDefault="0073762F" w:rsidP="0073762F">
    <w:pPr>
      <w:pStyle w:val="Footer"/>
      <w:tabs>
        <w:tab w:val="right" w:pos="9638"/>
      </w:tabs>
    </w:pPr>
    <w:r w:rsidRPr="0073762F">
      <w:rPr>
        <w:b/>
        <w:sz w:val="18"/>
      </w:rPr>
      <w:fldChar w:fldCharType="begin"/>
    </w:r>
    <w:r w:rsidRPr="0073762F">
      <w:rPr>
        <w:b/>
        <w:sz w:val="18"/>
      </w:rPr>
      <w:instrText xml:space="preserve"> PAGE  \* MERGEFORMAT </w:instrText>
    </w:r>
    <w:r w:rsidRPr="0073762F">
      <w:rPr>
        <w:b/>
        <w:sz w:val="18"/>
      </w:rPr>
      <w:fldChar w:fldCharType="separate"/>
    </w:r>
    <w:r w:rsidR="00F022A3">
      <w:rPr>
        <w:b/>
        <w:noProof/>
        <w:sz w:val="18"/>
      </w:rPr>
      <w:t>2</w:t>
    </w:r>
    <w:r w:rsidRPr="0073762F">
      <w:rPr>
        <w:b/>
        <w:sz w:val="18"/>
      </w:rPr>
      <w:fldChar w:fldCharType="end"/>
    </w:r>
    <w:r>
      <w:rPr>
        <w:b/>
        <w:sz w:val="18"/>
      </w:rPr>
      <w:tab/>
    </w:r>
    <w:r>
      <w:t>GE.17-01769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2F" w:rsidRPr="0073762F" w:rsidRDefault="0073762F" w:rsidP="0073762F">
    <w:pPr>
      <w:pStyle w:val="Footer"/>
      <w:tabs>
        <w:tab w:val="right" w:pos="9638"/>
      </w:tabs>
      <w:rPr>
        <w:b/>
        <w:sz w:val="18"/>
      </w:rPr>
    </w:pPr>
    <w:r>
      <w:t>GE.17-01769</w:t>
    </w:r>
    <w:r>
      <w:tab/>
    </w:r>
    <w:r w:rsidRPr="0073762F">
      <w:rPr>
        <w:b/>
        <w:sz w:val="18"/>
      </w:rPr>
      <w:fldChar w:fldCharType="begin"/>
    </w:r>
    <w:r w:rsidRPr="0073762F">
      <w:rPr>
        <w:b/>
        <w:sz w:val="18"/>
      </w:rPr>
      <w:instrText xml:space="preserve"> PAGE  \* MERGEFORMAT </w:instrText>
    </w:r>
    <w:r w:rsidRPr="0073762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3762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2C" w:rsidRPr="0073762F" w:rsidRDefault="0073762F" w:rsidP="0073762F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C315C7A" wp14:editId="5CB55CA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17-01769  (F)</w:t>
    </w:r>
    <w:r w:rsidR="004E6AF2">
      <w:rPr>
        <w:sz w:val="20"/>
      </w:rPr>
      <w:t xml:space="preserve">    090517    090517</w:t>
    </w:r>
    <w:r>
      <w:rPr>
        <w:sz w:val="20"/>
      </w:rPr>
      <w:br/>
    </w:r>
    <w:r w:rsidRPr="0073762F">
      <w:rPr>
        <w:rFonts w:ascii="C39T30Lfz" w:hAnsi="C39T30Lfz"/>
        <w:sz w:val="56"/>
      </w:rPr>
      <w:t></w:t>
    </w:r>
    <w:r w:rsidRPr="0073762F">
      <w:rPr>
        <w:rFonts w:ascii="C39T30Lfz" w:hAnsi="C39T30Lfz"/>
        <w:sz w:val="56"/>
      </w:rPr>
      <w:t></w:t>
    </w:r>
    <w:r w:rsidRPr="0073762F">
      <w:rPr>
        <w:rFonts w:ascii="C39T30Lfz" w:hAnsi="C39T30Lfz"/>
        <w:sz w:val="56"/>
      </w:rPr>
      <w:t></w:t>
    </w:r>
    <w:r w:rsidRPr="0073762F">
      <w:rPr>
        <w:rFonts w:ascii="C39T30Lfz" w:hAnsi="C39T30Lfz"/>
        <w:sz w:val="56"/>
      </w:rPr>
      <w:t></w:t>
    </w:r>
    <w:r w:rsidRPr="0073762F">
      <w:rPr>
        <w:rFonts w:ascii="C39T30Lfz" w:hAnsi="C39T30Lfz"/>
        <w:sz w:val="56"/>
      </w:rPr>
      <w:t></w:t>
    </w:r>
    <w:r w:rsidRPr="0073762F">
      <w:rPr>
        <w:rFonts w:ascii="C39T30Lfz" w:hAnsi="C39T30Lfz"/>
        <w:sz w:val="56"/>
      </w:rPr>
      <w:t></w:t>
    </w:r>
    <w:r w:rsidRPr="0073762F">
      <w:rPr>
        <w:rFonts w:ascii="C39T30Lfz" w:hAnsi="C39T30Lfz"/>
        <w:sz w:val="56"/>
      </w:rPr>
      <w:t></w:t>
    </w:r>
    <w:r w:rsidRPr="0073762F">
      <w:rPr>
        <w:rFonts w:ascii="C39T30Lfz" w:hAnsi="C39T30Lfz"/>
        <w:sz w:val="56"/>
      </w:rPr>
      <w:t></w:t>
    </w:r>
    <w:r w:rsidRPr="0073762F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Add.10/Rev.3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10/Rev.3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D5" w:rsidRPr="00D27D5E" w:rsidRDefault="001D19D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D19D5" w:rsidRPr="00D171D4" w:rsidRDefault="001D19D5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1D19D5" w:rsidRPr="00C451B9" w:rsidRDefault="001D19D5" w:rsidP="00C451B9">
      <w:pPr>
        <w:spacing w:line="240" w:lineRule="auto"/>
        <w:rPr>
          <w:sz w:val="2"/>
          <w:szCs w:val="2"/>
        </w:rPr>
      </w:pPr>
    </w:p>
  </w:footnote>
  <w:footnote w:id="2">
    <w:p w:rsidR="00442E31" w:rsidRPr="00442E31" w:rsidRDefault="00442E31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d: 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>oteur, en date, à Genève, du 20</w:t>
      </w:r>
      <w:r w:rsidR="00A42713">
        <w:t> 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2F" w:rsidRPr="0073762F" w:rsidRDefault="00F022A3">
    <w:pPr>
      <w:pStyle w:val="Header"/>
    </w:pPr>
    <w:r>
      <w:fldChar w:fldCharType="begin"/>
    </w:r>
    <w:r>
      <w:instrText xml:space="preserve"> TITLE  \*</w:instrText>
    </w:r>
    <w:r>
      <w:instrText xml:space="preserve"> MERGEFORMAT </w:instrText>
    </w:r>
    <w:r>
      <w:fldChar w:fldCharType="separate"/>
    </w:r>
    <w:r w:rsidR="00FD5C1A">
      <w:t>E/ECE/324/Add.10/Rev.3/Amend.1</w:t>
    </w:r>
    <w:r>
      <w:fldChar w:fldCharType="end"/>
    </w:r>
    <w:r w:rsidR="0073762F">
      <w:br/>
    </w:r>
    <w:r>
      <w:fldChar w:fldCharType="begin"/>
    </w:r>
    <w:r>
      <w:instrText xml:space="preserve"> KEYWORDS  \* MERGEFORMAT </w:instrText>
    </w:r>
    <w:r>
      <w:fldChar w:fldCharType="separate"/>
    </w:r>
    <w:r w:rsidR="00FD5C1A">
      <w:t>E/ECE/TRANS/505/Add.10/Rev.3/Amend.1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2F" w:rsidRPr="0073762F" w:rsidRDefault="00F022A3" w:rsidP="0073762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D5C1A">
      <w:t>E/ECE/324/Add.10/Rev.3/Amend.1</w:t>
    </w:r>
    <w:r>
      <w:fldChar w:fldCharType="end"/>
    </w:r>
    <w:r w:rsidR="0073762F">
      <w:br/>
    </w:r>
    <w:r>
      <w:fldChar w:fldCharType="begin"/>
    </w:r>
    <w:r>
      <w:instrText xml:space="preserve"> KEYWORDS  \* MERGEFORMAT </w:instrText>
    </w:r>
    <w:r>
      <w:fldChar w:fldCharType="separate"/>
    </w:r>
    <w:r w:rsidR="00FD5C1A">
      <w:t>E/ECE/TRANS/505/Add.10/Rev.3/Amend.1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D5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352F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02B5"/>
    <w:rsid w:val="000F41F2"/>
    <w:rsid w:val="000F4280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664"/>
    <w:rsid w:val="001A376F"/>
    <w:rsid w:val="001B09BB"/>
    <w:rsid w:val="001C3D8D"/>
    <w:rsid w:val="001C6497"/>
    <w:rsid w:val="001D19D5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85940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36F4C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6AF2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3762F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2C92"/>
    <w:rsid w:val="00A34593"/>
    <w:rsid w:val="00A364DB"/>
    <w:rsid w:val="00A42713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342D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630B2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A5ADE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008B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2A3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C1A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E/ECE/324/Add.10/Rev.3/Amend.1</vt:lpstr>
      <vt:lpstr>E/ECE/324/Add.10/Rev.3/Amend.1</vt:lpstr>
    </vt:vector>
  </TitlesOfParts>
  <Company>CSD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E/ECE/324/Add.10/Rev.3/Amend.1</dc:title>
  <dc:creator>BEYSARD</dc:creator>
  <cp:keywords>E/ECE/TRANS/505/Add.10/Rev.3/Amend.1</cp:keywords>
  <cp:lastModifiedBy>Benedicte Boudol</cp:lastModifiedBy>
  <cp:revision>2</cp:revision>
  <cp:lastPrinted>2017-05-09T10:47:00Z</cp:lastPrinted>
  <dcterms:created xsi:type="dcterms:W3CDTF">2017-05-10T09:06:00Z</dcterms:created>
  <dcterms:modified xsi:type="dcterms:W3CDTF">2017-05-10T09:06:00Z</dcterms:modified>
</cp:coreProperties>
</file>