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BA3D5F" w:rsidRPr="00E8497D" w:rsidTr="0001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E8497D" w:rsidRDefault="00BA3D5F" w:rsidP="00E8497D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E8497D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E8497D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E8497D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E8497D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1A76C1" w:rsidRPr="00E8497D">
              <w:rPr>
                <w:sz w:val="40"/>
                <w:szCs w:val="40"/>
                <w:lang w:val="en-US"/>
              </w:rPr>
              <w:t>ECE</w:t>
            </w:r>
            <w:r w:rsidR="001A76C1" w:rsidRPr="00E8497D">
              <w:rPr>
                <w:sz w:val="20"/>
                <w:lang w:val="en-US"/>
              </w:rPr>
              <w:t>/TRANS/180/Add.3/</w:t>
            </w:r>
            <w:r w:rsidR="00E8497D">
              <w:rPr>
                <w:sz w:val="20"/>
                <w:lang w:val="en-US"/>
              </w:rPr>
              <w:t>Amend.2/Appendix 1</w:t>
            </w:r>
            <w:r>
              <w:fldChar w:fldCharType="end"/>
            </w:r>
          </w:p>
        </w:tc>
      </w:tr>
      <w:tr w:rsidR="00BA3D5F" w:rsidTr="006126BB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E8497D" w:rsidRDefault="00BA3D5F" w:rsidP="0001587B">
            <w:pPr>
              <w:rPr>
                <w:lang w:val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E8497D" w:rsidRDefault="00BA3D5F" w:rsidP="0001587B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BA3D5F" w:rsidP="0001587B">
            <w:pPr>
              <w:spacing w:before="240" w:after="0"/>
              <w:rPr>
                <w:sz w:val="20"/>
                <w:lang w:val="en-US"/>
              </w:rPr>
            </w:pPr>
          </w:p>
          <w:p w:rsidR="00BA3D5F" w:rsidRPr="00B172D2" w:rsidRDefault="00BA3D5F" w:rsidP="0001587B">
            <w:pPr>
              <w:spacing w:before="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2A1859">
              <w:rPr>
                <w:sz w:val="20"/>
                <w:lang w:val="en-US"/>
              </w:rPr>
              <w:t>12</w:t>
            </w:r>
            <w:r w:rsidR="00BE2D0F">
              <w:rPr>
                <w:sz w:val="20"/>
              </w:rPr>
              <w:t xml:space="preserve"> </w:t>
            </w:r>
            <w:r w:rsidR="00BE2D0F">
              <w:rPr>
                <w:sz w:val="20"/>
                <w:lang w:val="en-US"/>
              </w:rPr>
              <w:t>Ju</w:t>
            </w:r>
            <w:r w:rsidR="002A1859">
              <w:rPr>
                <w:sz w:val="20"/>
                <w:lang w:val="en-US"/>
              </w:rPr>
              <w:t>ne 2015</w:t>
            </w:r>
            <w:r w:rsidRPr="00B172D2">
              <w:rPr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BA3D5F" w:rsidRDefault="003C1114" w:rsidP="00A206BC">
      <w:pPr>
        <w:pStyle w:val="HChGR"/>
      </w:pPr>
      <w:r>
        <w:tab/>
      </w:r>
      <w:r>
        <w:tab/>
      </w:r>
      <w:r w:rsidR="006F7A60">
        <w:t>Глобальный регистр</w:t>
      </w:r>
    </w:p>
    <w:p w:rsidR="006F7A60" w:rsidRDefault="003C1114" w:rsidP="00A206BC">
      <w:pPr>
        <w:pStyle w:val="H1GR"/>
      </w:pPr>
      <w:r>
        <w:tab/>
      </w:r>
      <w:r>
        <w:tab/>
      </w:r>
      <w:r w:rsidR="006F7A60">
        <w:t>Создан 18 ноября 2004 года в соответствии со статьей 6 Соглашения о введении Глобальных технических правил</w:t>
      </w:r>
      <w:r w:rsidR="009838EA">
        <w:br/>
      </w:r>
      <w:r w:rsidR="006F7A60">
        <w:t>для колесных транспортных средств, предметов</w:t>
      </w:r>
      <w:r w:rsidR="009838EA">
        <w:br/>
      </w:r>
      <w:r w:rsidR="006F7A60">
        <w:t xml:space="preserve">оборудования и частей, которые могут быть установлены и/или использованы на колесных транспортных средствах </w:t>
      </w:r>
      <w:r w:rsidR="006F7A60" w:rsidRPr="006F7A60">
        <w:t>(</w:t>
      </w:r>
      <w:r w:rsidR="006F7A60" w:rsidRPr="006F7A60">
        <w:rPr>
          <w:lang w:val="en-GB"/>
        </w:rPr>
        <w:t>ECE</w:t>
      </w:r>
      <w:r w:rsidR="006F7A60" w:rsidRPr="006F7A60">
        <w:t>/</w:t>
      </w:r>
      <w:r w:rsidR="006F7A60" w:rsidRPr="006F7A60">
        <w:rPr>
          <w:lang w:val="en-GB"/>
        </w:rPr>
        <w:t>TRANS</w:t>
      </w:r>
      <w:r w:rsidR="006F7A60" w:rsidRPr="006F7A60">
        <w:t xml:space="preserve">/132 </w:t>
      </w:r>
      <w:r w:rsidR="006F7A60" w:rsidRPr="006F7A60">
        <w:rPr>
          <w:lang w:val="en-GB"/>
        </w:rPr>
        <w:t>and</w:t>
      </w:r>
      <w:r w:rsidR="006F7A60" w:rsidRPr="006F7A60">
        <w:t xml:space="preserve"> </w:t>
      </w:r>
      <w:r w:rsidR="006F7A60" w:rsidRPr="006F7A60">
        <w:rPr>
          <w:lang w:val="en-GB"/>
        </w:rPr>
        <w:t>Corr</w:t>
      </w:r>
      <w:r w:rsidR="006F7A60" w:rsidRPr="006F7A60">
        <w:t>.1)</w:t>
      </w:r>
      <w:r w:rsidR="006F7A60">
        <w:t>, совершено в Женеве</w:t>
      </w:r>
      <w:r w:rsidR="009838EA">
        <w:br/>
      </w:r>
      <w:r w:rsidR="006F7A60">
        <w:t>25 июня 1998 года</w:t>
      </w:r>
    </w:p>
    <w:p w:rsidR="006F7A60" w:rsidRDefault="003C1114" w:rsidP="00C33E4B">
      <w:pPr>
        <w:pStyle w:val="HChGR"/>
      </w:pPr>
      <w:r>
        <w:tab/>
      </w:r>
      <w:r>
        <w:tab/>
      </w:r>
      <w:r w:rsidR="006F7A60">
        <w:t>Добавление 3:</w:t>
      </w:r>
      <w:r w:rsidR="00C33E4B">
        <w:t xml:space="preserve"> </w:t>
      </w:r>
      <w:r w:rsidR="006F7A60">
        <w:t>Глобальные технические правила № 3</w:t>
      </w:r>
    </w:p>
    <w:p w:rsidR="00C33E4B" w:rsidRDefault="003C1114" w:rsidP="00C33E4B">
      <w:pPr>
        <w:pStyle w:val="H1GR"/>
      </w:pPr>
      <w:r>
        <w:tab/>
      </w:r>
      <w:r>
        <w:tab/>
      </w:r>
      <w:r w:rsidR="009F08C9">
        <w:t xml:space="preserve">Глобальные технические правила, касающиеся </w:t>
      </w:r>
      <w:r w:rsidR="009F08C9">
        <w:br/>
        <w:t>т</w:t>
      </w:r>
      <w:r w:rsidR="00C33E4B">
        <w:t>ормозны</w:t>
      </w:r>
      <w:r w:rsidR="009F08C9">
        <w:t>х</w:t>
      </w:r>
      <w:r w:rsidR="00C33E4B">
        <w:t xml:space="preserve"> систем мотоциклов</w:t>
      </w:r>
    </w:p>
    <w:p w:rsidR="006F7A60" w:rsidRDefault="003C1114" w:rsidP="009F08C9">
      <w:pPr>
        <w:pStyle w:val="H1GR"/>
        <w:jc w:val="both"/>
      </w:pPr>
      <w:r>
        <w:tab/>
      </w:r>
      <w:r>
        <w:tab/>
      </w:r>
      <w:r w:rsidR="009F08C9">
        <w:t>Поправка</w:t>
      </w:r>
      <w:r w:rsidR="00C33E4B">
        <w:t xml:space="preserve"> 2</w:t>
      </w:r>
      <w:r w:rsidR="009F08C9">
        <w:t xml:space="preserve"> − Добавление 1</w:t>
      </w:r>
    </w:p>
    <w:p w:rsidR="00A765AB" w:rsidRDefault="00A765AB" w:rsidP="00364971">
      <w:pPr>
        <w:pStyle w:val="H1GR"/>
      </w:pPr>
      <w:r>
        <w:tab/>
      </w:r>
      <w:r>
        <w:tab/>
        <w:t xml:space="preserve">Предложение и отчет в соответствии с пунктом 6.3.7 </w:t>
      </w:r>
      <w:r w:rsidR="00364971">
        <w:br/>
      </w:r>
      <w:r>
        <w:t>статьи 6 Соглашения</w:t>
      </w:r>
    </w:p>
    <w:p w:rsidR="00364971" w:rsidRDefault="00364971" w:rsidP="00350491">
      <w:pPr>
        <w:pStyle w:val="Bullet1GR"/>
      </w:pPr>
      <w:r>
        <w:t xml:space="preserve">Разрешение на разработку поправок к ГТП № 3 (тормозные системы </w:t>
      </w:r>
      <w:r w:rsidR="00DA6AA5">
        <w:br/>
      </w:r>
      <w:r>
        <w:t>мотоциклов) (</w:t>
      </w:r>
      <w:r w:rsidRPr="00364971">
        <w:rPr>
          <w:lang w:val="en-GB"/>
        </w:rPr>
        <w:t>ECE</w:t>
      </w:r>
      <w:r w:rsidRPr="00364971">
        <w:t>/</w:t>
      </w:r>
      <w:r w:rsidRPr="00364971">
        <w:rPr>
          <w:lang w:val="en-GB"/>
        </w:rPr>
        <w:t>TRANS</w:t>
      </w:r>
      <w:r w:rsidRPr="00364971">
        <w:t>/</w:t>
      </w:r>
      <w:r w:rsidRPr="00364971">
        <w:rPr>
          <w:lang w:val="en-GB"/>
        </w:rPr>
        <w:t>WP</w:t>
      </w:r>
      <w:r w:rsidRPr="00364971">
        <w:t>.29/</w:t>
      </w:r>
      <w:r w:rsidRPr="00364971">
        <w:rPr>
          <w:lang w:val="en-GB"/>
        </w:rPr>
        <w:t>AC</w:t>
      </w:r>
      <w:r w:rsidRPr="00364971">
        <w:t>.3/37)</w:t>
      </w:r>
    </w:p>
    <w:p w:rsidR="00364971" w:rsidRDefault="00350491" w:rsidP="00350491">
      <w:pPr>
        <w:pStyle w:val="Bullet1GR"/>
      </w:pPr>
      <w:r>
        <w:t>Проект окончательного отчета по поправке 2 к Глобальным техническим правилам № 3 (торможение мотоциклов) (</w:t>
      </w:r>
      <w:r w:rsidRPr="00350491">
        <w:rPr>
          <w:lang w:val="en-GB"/>
        </w:rPr>
        <w:t>ECE</w:t>
      </w:r>
      <w:r w:rsidRPr="00350491">
        <w:t>/</w:t>
      </w:r>
      <w:r w:rsidRPr="00350491">
        <w:rPr>
          <w:lang w:val="en-GB"/>
        </w:rPr>
        <w:t>TRANS</w:t>
      </w:r>
      <w:r w:rsidRPr="00350491">
        <w:t>/</w:t>
      </w:r>
      <w:r w:rsidRPr="00350491">
        <w:rPr>
          <w:lang w:val="en-GB"/>
        </w:rPr>
        <w:t>WP</w:t>
      </w:r>
      <w:r w:rsidRPr="00350491">
        <w:t>.29/2015/39)</w:t>
      </w:r>
    </w:p>
    <w:p w:rsidR="006F7A60" w:rsidRDefault="00186E69" w:rsidP="00350491">
      <w:pPr>
        <w:spacing w:before="24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95.9pt;margin-top:8.55pt;width:99pt;height:78.5pt;z-index:251659264;visibility:visible;mso-wrap-style:square;mso-width-percent:0;mso-height-percent:0;mso-wrap-distance-left:9pt;mso-wrap-distance-top:0;mso-wrap-distance-right:9pt;mso-wrap-distance-bottom:10.8pt;mso-position-horizontal-relative:text;mso-position-vertical-relative:text;mso-width-percent:0;mso-height-percent:0;mso-width-relative:page;mso-height-relative:page">
            <v:imagedata r:id="rId8" o:title="" cropleft="-4983f" cropright="-4983f"/>
            <w10:wrap type="topAndBottom"/>
          </v:shape>
        </w:pict>
      </w:r>
      <w:r w:rsidR="006F7A60" w:rsidRPr="00C33E4B">
        <w:rPr>
          <w:b/>
        </w:rPr>
        <w:t>Организация Объединенных Наций</w:t>
      </w:r>
    </w:p>
    <w:p w:rsidR="00D97E85" w:rsidRPr="00671260" w:rsidRDefault="000557BF" w:rsidP="00D97E85">
      <w:pPr>
        <w:pStyle w:val="HChGR"/>
      </w:pPr>
      <w:r>
        <w:br w:type="page"/>
      </w:r>
      <w:r w:rsidR="00D97E85" w:rsidRPr="00671260">
        <w:lastRenderedPageBreak/>
        <w:tab/>
        <w:t>I.</w:t>
      </w:r>
      <w:r w:rsidR="00D97E85" w:rsidRPr="00671260">
        <w:tab/>
        <w:t>Введение</w:t>
      </w:r>
    </w:p>
    <w:p w:rsidR="00D97E85" w:rsidRPr="00671260" w:rsidRDefault="00D97E85" w:rsidP="00D97E85">
      <w:pPr>
        <w:pStyle w:val="SingleTxtGR"/>
      </w:pPr>
      <w:r w:rsidRPr="00671260">
        <w:t>1.</w:t>
      </w:r>
      <w:r w:rsidRPr="00671260">
        <w:tab/>
        <w:t>Одной из главных целей разработки Глобальных технических правил (ГТП) № 3 является снижение уровня травматизма и смертности в результате дорожно-транспортных происшествий с участием мотоциклов путем улучш</w:t>
      </w:r>
      <w:r w:rsidRPr="00671260">
        <w:t>е</w:t>
      </w:r>
      <w:r w:rsidRPr="00671260">
        <w:t xml:space="preserve">ния тормозных характеристик мотоциклов в качестве одного из </w:t>
      </w:r>
      <w:r>
        <w:t>средств</w:t>
      </w:r>
      <w:r w:rsidRPr="00671260">
        <w:t xml:space="preserve"> пов</w:t>
      </w:r>
      <w:r w:rsidRPr="00671260">
        <w:t>ы</w:t>
      </w:r>
      <w:r w:rsidRPr="00671260">
        <w:t>шения безопасности дорожного движения.</w:t>
      </w:r>
    </w:p>
    <w:p w:rsidR="00D97E85" w:rsidRPr="00671260" w:rsidRDefault="00D97E85" w:rsidP="00D97E85">
      <w:pPr>
        <w:pStyle w:val="SingleTxtGR"/>
      </w:pPr>
      <w:r w:rsidRPr="00671260">
        <w:t>2.</w:t>
      </w:r>
      <w:r w:rsidRPr="00671260">
        <w:tab/>
        <w:t>В ГТП № 3 изложены четкие и объективные процедуры испытаний и тр</w:t>
      </w:r>
      <w:r w:rsidRPr="00671260">
        <w:t>е</w:t>
      </w:r>
      <w:r w:rsidRPr="00671260">
        <w:t xml:space="preserve">бования, легко поддающиеся выполнению, </w:t>
      </w:r>
      <w:r w:rsidR="00003FFA">
        <w:t>а также</w:t>
      </w:r>
      <w:r w:rsidRPr="00671260">
        <w:t xml:space="preserve"> рассматриваются вопросы развития существующих технологий комбинированных тормозных систем (КТС) и антиблокировочной тормозной системы (АБС).</w:t>
      </w:r>
    </w:p>
    <w:p w:rsidR="00D97E85" w:rsidRPr="00671260" w:rsidRDefault="00D97E85" w:rsidP="00D97E85">
      <w:pPr>
        <w:pStyle w:val="SingleTxtGR"/>
      </w:pPr>
      <w:r w:rsidRPr="00671260">
        <w:t>3.</w:t>
      </w:r>
      <w:r w:rsidRPr="00671260">
        <w:tab/>
        <w:t>Цель настоящего предложения состоит в уточнении текста ГТП № 3, к</w:t>
      </w:r>
      <w:r w:rsidRPr="00671260">
        <w:t>а</w:t>
      </w:r>
      <w:r w:rsidRPr="00671260">
        <w:t xml:space="preserve">сающихся тормозных систем мотоциклов, с учетом обеспокоенности </w:t>
      </w:r>
      <w:r w:rsidR="00A57FDB">
        <w:t>по поводу</w:t>
      </w:r>
      <w:r w:rsidRPr="00671260">
        <w:t xml:space="preserve"> возможной путаницы, связанной с толкованием терминов "дезактивирована" и "отключена".</w:t>
      </w:r>
    </w:p>
    <w:p w:rsidR="00D97E85" w:rsidRPr="00671260" w:rsidRDefault="00D97E85" w:rsidP="00D97E85">
      <w:pPr>
        <w:pStyle w:val="SingleTxtGR"/>
      </w:pPr>
      <w:r w:rsidRPr="00671260">
        <w:t>4.</w:t>
      </w:r>
      <w:r w:rsidRPr="00671260">
        <w:tab/>
        <w:t>В настоящем предложении также предусмотрены требования к КТС, ра</w:t>
      </w:r>
      <w:r w:rsidRPr="00671260">
        <w:t>з</w:t>
      </w:r>
      <w:r w:rsidRPr="00671260">
        <w:t>работанные с учетом последних изменений в конструкции тормозных систем.</w:t>
      </w:r>
    </w:p>
    <w:p w:rsidR="00D97E85" w:rsidRPr="00671260" w:rsidRDefault="00D97E85" w:rsidP="00D97E85">
      <w:pPr>
        <w:pStyle w:val="SingleTxtGR"/>
      </w:pPr>
      <w:r w:rsidRPr="00671260">
        <w:t>5.</w:t>
      </w:r>
      <w:r w:rsidRPr="00671260">
        <w:tab/>
        <w:t>Настоящее предложение предусматривает включение в текст ГТП пол</w:t>
      </w:r>
      <w:r w:rsidRPr="00671260">
        <w:t>о</w:t>
      </w:r>
      <w:r w:rsidRPr="00671260">
        <w:t>жений, касающихся "К-метода".</w:t>
      </w:r>
    </w:p>
    <w:p w:rsidR="00D97E85" w:rsidRPr="00671260" w:rsidRDefault="00D97E85" w:rsidP="00D97E85">
      <w:pPr>
        <w:pStyle w:val="SingleTxtGR"/>
      </w:pPr>
      <w:r w:rsidRPr="00671260">
        <w:t>6.</w:t>
      </w:r>
      <w:r w:rsidRPr="00671260">
        <w:tab/>
        <w:t>В настоящем предложении вводится понятие репрезентативного тран</w:t>
      </w:r>
      <w:r w:rsidRPr="00671260">
        <w:t>с</w:t>
      </w:r>
      <w:r w:rsidRPr="00671260">
        <w:t>портного средства с учетом положений Правил № 13-Н.</w:t>
      </w:r>
    </w:p>
    <w:p w:rsidR="00D97E85" w:rsidRPr="00671260" w:rsidRDefault="00D97E85" w:rsidP="00D97E85">
      <w:pPr>
        <w:pStyle w:val="HChGR"/>
      </w:pPr>
      <w:r w:rsidRPr="00671260">
        <w:tab/>
        <w:t>II.</w:t>
      </w:r>
      <w:r w:rsidRPr="00671260">
        <w:tab/>
        <w:t>Обоснование поправок</w:t>
      </w:r>
    </w:p>
    <w:p w:rsidR="00D97E85" w:rsidRPr="00671260" w:rsidRDefault="00D97E85" w:rsidP="00D97E85">
      <w:pPr>
        <w:pStyle w:val="SingleTxtGR"/>
      </w:pPr>
      <w:r w:rsidRPr="00671260">
        <w:t>7.</w:t>
      </w:r>
      <w:r w:rsidRPr="00671260">
        <w:tab/>
        <w:t>Обеспокоенность возникла в связи с толкованием терминов "дезактив</w:t>
      </w:r>
      <w:r w:rsidRPr="00671260">
        <w:t>и</w:t>
      </w:r>
      <w:r w:rsidRPr="00671260">
        <w:t xml:space="preserve">рована" и "отключена". В случае отключения давление тормозной магистрали соответствует максимальному тормозному давлению непосредственно перед блокировкой колес (давление выше, чем давление срабатывания АБС), тогда как при </w:t>
      </w:r>
      <w:r>
        <w:t>дезактивации</w:t>
      </w:r>
      <w:r w:rsidRPr="00671260">
        <w:t xml:space="preserve"> давление тормозной магистрали оказывается ниже давления срабатывания АБС. Таким образом, тормозное давление при измерении коэ</w:t>
      </w:r>
      <w:r w:rsidRPr="00671260">
        <w:t>ф</w:t>
      </w:r>
      <w:r w:rsidRPr="00671260">
        <w:t>фициента К может регулироваться в диапазоне ниже давления срабатывания АБС. Настоящая поправка призвана устранить двусмысленность путем искл</w:t>
      </w:r>
      <w:r w:rsidRPr="00671260">
        <w:t>ю</w:t>
      </w:r>
      <w:r w:rsidRPr="00671260">
        <w:t>чения обоих указанных терминов и их замены словами "в неработающем сост</w:t>
      </w:r>
      <w:r w:rsidRPr="00671260">
        <w:t>о</w:t>
      </w:r>
      <w:r w:rsidRPr="00671260">
        <w:t>янии" ("inoperable"). Согласно словарю "inoperable" ("в неработающем состо</w:t>
      </w:r>
      <w:r w:rsidRPr="00671260">
        <w:t>я</w:t>
      </w:r>
      <w:r w:rsidRPr="00671260">
        <w:t>нии") означает "не поддающийся использованию или эксплуатации, неприго</w:t>
      </w:r>
      <w:r w:rsidRPr="00671260">
        <w:t>д</w:t>
      </w:r>
      <w:r w:rsidRPr="00671260">
        <w:t>ный для работы".</w:t>
      </w:r>
    </w:p>
    <w:p w:rsidR="00D97E85" w:rsidRPr="00671260" w:rsidRDefault="00D97E85" w:rsidP="00D97E85">
      <w:pPr>
        <w:pStyle w:val="SingleTxtGR"/>
      </w:pPr>
      <w:r w:rsidRPr="00671260">
        <w:t>8.</w:t>
      </w:r>
      <w:r w:rsidRPr="00671260">
        <w:tab/>
        <w:t>Уточнение перекрестных ссылок призвано обеспечить проведение пр</w:t>
      </w:r>
      <w:r w:rsidRPr="00671260">
        <w:t>а</w:t>
      </w:r>
      <w:r w:rsidRPr="00671260">
        <w:t>вильного испытания соответствующей категории транспортных средств.</w:t>
      </w:r>
    </w:p>
    <w:p w:rsidR="00D97E85" w:rsidRPr="00671260" w:rsidRDefault="00D97E85" w:rsidP="00D97E85">
      <w:pPr>
        <w:pStyle w:val="SingleTxtGR"/>
      </w:pPr>
      <w:r w:rsidRPr="00671260">
        <w:t>9.</w:t>
      </w:r>
      <w:r w:rsidRPr="00671260">
        <w:tab/>
        <w:t>Даны разъяснения относительно того, какое транспортное средство сл</w:t>
      </w:r>
      <w:r w:rsidRPr="00671260">
        <w:t>е</w:t>
      </w:r>
      <w:r w:rsidRPr="00671260">
        <w:t>дует считать репрезентативным.</w:t>
      </w:r>
    </w:p>
    <w:p w:rsidR="00D97E85" w:rsidRPr="00671260" w:rsidRDefault="00D97E85" w:rsidP="00D97E85">
      <w:pPr>
        <w:pStyle w:val="SingleTxtGR"/>
      </w:pPr>
      <w:r w:rsidRPr="00671260">
        <w:t>10.</w:t>
      </w:r>
      <w:r w:rsidRPr="00671260">
        <w:tab/>
        <w:t>В определение термина "непрерывная цикличность" ("fully cycling") вн</w:t>
      </w:r>
      <w:r w:rsidRPr="00671260">
        <w:t>е</w:t>
      </w:r>
      <w:r w:rsidRPr="00671260">
        <w:t>сено уточнение для указания того, что тормозное усилие модулируется в повт</w:t>
      </w:r>
      <w:r w:rsidRPr="00671260">
        <w:t>о</w:t>
      </w:r>
      <w:r w:rsidRPr="00671260">
        <w:t>ряющемся или непрерывном режиме в процессе торможения с использованием системы АБС. Это обеспечивает более широкий диапазон модуляции по сра</w:t>
      </w:r>
      <w:r w:rsidRPr="00671260">
        <w:t>в</w:t>
      </w:r>
      <w:r w:rsidRPr="00671260">
        <w:t>нению с обычными циклами АБС. Для обеспечения последовательности изл</w:t>
      </w:r>
      <w:r w:rsidRPr="00671260">
        <w:t>о</w:t>
      </w:r>
      <w:r w:rsidRPr="00671260">
        <w:t>жения в тексте на английском языке термин "cycle fully" ("в режиме непреры</w:t>
      </w:r>
      <w:r w:rsidRPr="00671260">
        <w:t>в</w:t>
      </w:r>
      <w:r w:rsidRPr="00671260">
        <w:lastRenderedPageBreak/>
        <w:t>ной цикличности") заменен термином "fully cycling" (данное изменение к те</w:t>
      </w:r>
      <w:r w:rsidRPr="00671260">
        <w:t>к</w:t>
      </w:r>
      <w:r w:rsidRPr="00671260">
        <w:t>сту на русском языке не относится)</w:t>
      </w:r>
      <w:r>
        <w:t>:</w:t>
      </w:r>
    </w:p>
    <w:p w:rsidR="00D97E85" w:rsidRPr="00671260" w:rsidRDefault="00D97E85" w:rsidP="00D97E85">
      <w:pPr>
        <w:pStyle w:val="SingleTxtGR"/>
        <w:ind w:left="1701"/>
      </w:pPr>
      <w:r>
        <w:t>"</w:t>
      </w:r>
      <w:r w:rsidRPr="00671260">
        <w:t xml:space="preserve">Применяемое усилие необходимо для обеспечения работы АБС </w:t>
      </w:r>
      <w:r w:rsidRPr="0083569D">
        <w:t xml:space="preserve">в режиме непрерывной цикличности </w:t>
      </w:r>
      <w:r w:rsidRPr="00671260">
        <w:t>во время каждой остановки, до 10 км/ч</w:t>
      </w:r>
      <w:r>
        <w:t>."</w:t>
      </w:r>
    </w:p>
    <w:p w:rsidR="00D97E85" w:rsidRPr="00671260" w:rsidRDefault="00D97E85" w:rsidP="00D97E85">
      <w:pPr>
        <w:pStyle w:val="SingleTxtGR"/>
      </w:pPr>
      <w:r w:rsidRPr="00671260">
        <w:t>11.</w:t>
      </w:r>
      <w:r w:rsidRPr="00671260">
        <w:tab/>
        <w:t>В настоящей поправке обновлено использование единиц Международной системы единиц (СИ) и изменено число знаков после запятой, до которых производится округление.</w:t>
      </w:r>
    </w:p>
    <w:p w:rsidR="00D97E85" w:rsidRPr="00671260" w:rsidRDefault="00D97E85" w:rsidP="00D97E85">
      <w:pPr>
        <w:pStyle w:val="SingleTxtGR"/>
      </w:pPr>
      <w:r w:rsidRPr="00671260">
        <w:t>12.</w:t>
      </w:r>
      <w:r w:rsidRPr="00671260">
        <w:tab/>
        <w:t>В ходе проведения испытаний было отмечено, что в результате приложения тормозного усилия, указанного в пункте 4.9.5.1, значительное число испытаний может иметь неудовлетворительный исход. Допущение снижения нижнего предела ведет к ужесточению правил из-за охвата большего диапазона интенсивности применения тормозов и к исключению ограничительных условий проведения испытаний.</w:t>
      </w:r>
    </w:p>
    <w:p w:rsidR="00D97E85" w:rsidRPr="00671260" w:rsidRDefault="00D97E85" w:rsidP="00D97E85">
      <w:pPr>
        <w:pStyle w:val="SingleTxtGR"/>
      </w:pPr>
      <w:r w:rsidRPr="00671260">
        <w:t>13.</w:t>
      </w:r>
      <w:r w:rsidRPr="00671260">
        <w:tab/>
        <w:t xml:space="preserve">Поправка к пункту 3.1.4 </w:t>
      </w:r>
      <w:r>
        <w:t>внесена</w:t>
      </w:r>
      <w:r w:rsidRPr="00671260">
        <w:t xml:space="preserve"> для уточнения перекрестной ссылки и содержит указание на категорию транспортных средств во избежание недопонимания из-за существующей </w:t>
      </w:r>
      <w:r>
        <w:t xml:space="preserve">перекрестной </w:t>
      </w:r>
      <w:r w:rsidRPr="00671260">
        <w:t xml:space="preserve">ссылки относительно того, для каких категорий транспортных средств предусмотрено испытание системы стояночного тормоза; из-за существующей </w:t>
      </w:r>
      <w:r>
        <w:t xml:space="preserve">перекрестной </w:t>
      </w:r>
      <w:r w:rsidRPr="00671260">
        <w:t xml:space="preserve">ссылки на уклон испытательной поверхности, приведенной в пункте 4.8.2, категории 3-1 и 3-3 могут быть </w:t>
      </w:r>
      <w:r>
        <w:t xml:space="preserve">также </w:t>
      </w:r>
      <w:r w:rsidRPr="00671260">
        <w:t>ошибочно отнесены к категориям транспортных средств, на которых проводится испытание системы стояночного тормоза.</w:t>
      </w:r>
    </w:p>
    <w:p w:rsidR="00D97E85" w:rsidRDefault="00D97E85" w:rsidP="00D97E85">
      <w:pPr>
        <w:pStyle w:val="SingleTxtGR"/>
      </w:pPr>
      <w:r w:rsidRPr="00671260">
        <w:t>14.</w:t>
      </w:r>
      <w:r w:rsidRPr="00671260">
        <w:tab/>
        <w:t>Вместо ссылки на К-метод (альтернативный метод определения пикового коэффициента торможения (ПКТ)) для ясности и удобства использования, особенно в случае обновления К-метода, эти положения были включены в текст в качестве пункта 5.</w:t>
      </w:r>
    </w:p>
    <w:p w:rsidR="00D97E85" w:rsidRPr="00C23657" w:rsidRDefault="00D97E85" w:rsidP="00D97E85">
      <w:pPr>
        <w:pStyle w:val="SingleTxtGR"/>
      </w:pPr>
      <w:r w:rsidRPr="00C23657">
        <w:t>15.</w:t>
      </w:r>
      <w:r w:rsidRPr="00C23657">
        <w:tab/>
        <w:t>В том случае, если транспортное средство, используемое для официального утверждения типа, плохо поддается испытанию на определение ПКТ из-за возможного отрыва заднего колеса при развитии максимального тормозного усилия или в связи с тем, что на нем не удается обеспечить блокировку колес при снижении эффективности торможения (ход тормозного рычага достигает максимальной величины до блокировки колес), предлагается использовать репрезентативное транспортное средство с шинами, удовлетворяющими соответствующим техническим требованиям.</w:t>
      </w:r>
    </w:p>
    <w:p w:rsidR="00D97E85" w:rsidRPr="00C23657" w:rsidRDefault="00D97E85" w:rsidP="00D97E85">
      <w:pPr>
        <w:pStyle w:val="SingleTxtGR"/>
      </w:pPr>
      <w:r w:rsidRPr="00C23657">
        <w:t>16.</w:t>
      </w:r>
      <w:r w:rsidRPr="00C23657">
        <w:tab/>
        <w:t xml:space="preserve">Испытанию на определение ПКТ К-методом подвергается не транспортное средство, а испытательная поверхность, тогда как метод Американского общества по испытаниям и материалам (ASTM) предусматривает использование одной </w:t>
      </w:r>
      <w:r>
        <w:t xml:space="preserve">и той же </w:t>
      </w:r>
      <w:r w:rsidRPr="00C23657">
        <w:t>конкретной шины. Таким образом, в целях проверки испытательной поверхности при испытании на определение ПКТ целесообразнее использовать одно и то же транспортное средство, а это подразумевает и использование шины, отвечающей тем же техническим требованиям.</w:t>
      </w:r>
    </w:p>
    <w:p w:rsidR="00D97E85" w:rsidRPr="00C23657" w:rsidRDefault="00D97E85" w:rsidP="00D97E85">
      <w:pPr>
        <w:pStyle w:val="SingleTxtGR"/>
      </w:pPr>
      <w:r w:rsidRPr="00C23657">
        <w:t>17.</w:t>
      </w:r>
      <w:r w:rsidRPr="00C23657">
        <w:tab/>
        <w:t xml:space="preserve">Испытания, проведенные в ходе первоначальной разработки ГТП, позволили сопоставить К-метод с методом ASTM, в результате чего был сделан вывод о целесообразности применения альтернативного транспортного средства с шинами, удовлетворяющими </w:t>
      </w:r>
      <w:r>
        <w:t>конкретным</w:t>
      </w:r>
      <w:r w:rsidRPr="00C23657">
        <w:t xml:space="preserve"> техническим требованиям.</w:t>
      </w:r>
    </w:p>
    <w:p w:rsidR="00D97E85" w:rsidRPr="00C23657" w:rsidRDefault="00D97E85" w:rsidP="00D97E85">
      <w:pPr>
        <w:pStyle w:val="SingleTxtGR"/>
      </w:pPr>
      <w:r w:rsidRPr="00C23657">
        <w:t>18.</w:t>
      </w:r>
      <w:r w:rsidRPr="00C23657">
        <w:tab/>
        <w:t xml:space="preserve">В нынешней формулировке положение ГТП № 3 (пункт 3.1.9), предусматривающее, что две раздельные системы </w:t>
      </w:r>
      <w:r>
        <w:t xml:space="preserve">рабочего </w:t>
      </w:r>
      <w:r w:rsidRPr="00C23657">
        <w:t xml:space="preserve">тормоза </w:t>
      </w:r>
      <w:r>
        <w:t>"</w:t>
      </w:r>
      <w:r w:rsidRPr="00C23657">
        <w:t>могут иметь общий тормоз только в том случае, если отказ одной из систем не влияет на эффективность другой</w:t>
      </w:r>
      <w:r>
        <w:t>"</w:t>
      </w:r>
      <w:r w:rsidRPr="00C23657">
        <w:t>, ограничивает возможности применения КТС.</w:t>
      </w:r>
    </w:p>
    <w:p w:rsidR="00D97E85" w:rsidRPr="00C23657" w:rsidRDefault="00D97E85" w:rsidP="00D97E85">
      <w:pPr>
        <w:pStyle w:val="SingleTxtGR"/>
      </w:pPr>
      <w:r w:rsidRPr="00C23657">
        <w:t>19.</w:t>
      </w:r>
      <w:r w:rsidRPr="00C23657">
        <w:tab/>
        <w:t>Этому требованию могут отвечать не все конфигурации КТС, хотя по своим характеристикам они и превосходят обычные тормозные системы.</w:t>
      </w:r>
    </w:p>
    <w:p w:rsidR="00D97E85" w:rsidRPr="00C23657" w:rsidRDefault="00D97E85" w:rsidP="00D97E85">
      <w:pPr>
        <w:pStyle w:val="SingleTxtGR"/>
      </w:pPr>
      <w:r w:rsidRPr="00C23657">
        <w:t>20.</w:t>
      </w:r>
      <w:r w:rsidRPr="00C23657">
        <w:tab/>
        <w:t>Вместе с тем в период разработки исходных требований в отношении КТС (1980-е годы) во внимание были приняты не все конфигурации КТС, и, таким образом, очевидно, что Рабочая группа по вопросам торможения и ходовой части (GRRF), установив это требование, не исключила возможность применения таких систем преднамеренно.</w:t>
      </w:r>
    </w:p>
    <w:p w:rsidR="00D97E85" w:rsidRPr="00C23657" w:rsidRDefault="00D97E85" w:rsidP="00D97E85">
      <w:pPr>
        <w:pStyle w:val="SingleTxtGR"/>
      </w:pPr>
      <w:r w:rsidRPr="00C23657">
        <w:t>21.</w:t>
      </w:r>
      <w:r w:rsidRPr="00C23657">
        <w:tab/>
        <w:t>Для обеспечения того, чтобы в случае сбоя в одной системе, другая система по-прежнему не уступала обычной системе по своим параметрам функционирования, предлагается разрешить использование двух раздельных систем торможения, имеющих общий тормоз и/или привод, при условии, что в случае выхода из строя такого(их) общего(их) элемента(ов) указанная другая система по своим рабочим характеристикам соответствует отдельной тормозной системе. В этой связи предлагается испытание на отказ для тормозных систем КТС конфигурации В. Международная ассоциация заводов-изготовителей мотоциклов (МАЗМ) считает, что обязательное проведение такого испытания должно обеспечить принятие соответствующей КТС, поскольку оно позволит подтвердить ее надежность и гарантированные минимальные показатели эффективности торможения.</w:t>
      </w:r>
    </w:p>
    <w:p w:rsidR="00D97E85" w:rsidRPr="00C23657" w:rsidRDefault="00D97E85" w:rsidP="00D97E85">
      <w:pPr>
        <w:pStyle w:val="SingleTxtGR"/>
      </w:pPr>
      <w:r w:rsidRPr="00C23657">
        <w:t>22.</w:t>
      </w:r>
      <w:r w:rsidRPr="00C23657">
        <w:tab/>
        <w:t>Настоящее предложение будет способствовать дальнейшему расширению применения КТС, которые создают более безопасные условия торможения даже для неопытных мотоциклистов, позволяют им достичь большего замедления по сравнению с обычными тормозными системами и одновременно обеспечивают</w:t>
      </w:r>
      <w:r>
        <w:t xml:space="preserve"> в случае </w:t>
      </w:r>
      <w:r w:rsidRPr="00C23657">
        <w:t xml:space="preserve">отказа одной из систем </w:t>
      </w:r>
      <w:r>
        <w:t xml:space="preserve">возможность </w:t>
      </w:r>
      <w:r w:rsidRPr="00C23657">
        <w:t>задействован</w:t>
      </w:r>
      <w:r>
        <w:t>ия</w:t>
      </w:r>
      <w:r w:rsidRPr="00C23657">
        <w:t xml:space="preserve"> передни</w:t>
      </w:r>
      <w:r>
        <w:t>х</w:t>
      </w:r>
      <w:r w:rsidRPr="00C23657">
        <w:t xml:space="preserve"> или задни</w:t>
      </w:r>
      <w:r>
        <w:t>х</w:t>
      </w:r>
      <w:r w:rsidRPr="00C23657">
        <w:t xml:space="preserve"> тормоз</w:t>
      </w:r>
      <w:r>
        <w:t>ов</w:t>
      </w:r>
      <w:r w:rsidRPr="00C23657">
        <w:t>, не уступающи</w:t>
      </w:r>
      <w:r>
        <w:t>х</w:t>
      </w:r>
      <w:r w:rsidRPr="00C23657">
        <w:t xml:space="preserve"> по своим рабочим показателям обычным системам. </w:t>
      </w:r>
    </w:p>
    <w:p w:rsidR="00D97E85" w:rsidRDefault="00D97E85" w:rsidP="00D97E85">
      <w:pPr>
        <w:pStyle w:val="HChGR"/>
      </w:pPr>
      <w:r w:rsidRPr="00C23657">
        <w:tab/>
        <w:t>III.</w:t>
      </w:r>
      <w:r w:rsidRPr="00C23657">
        <w:tab/>
        <w:t>Предлагаемые поправки</w:t>
      </w:r>
    </w:p>
    <w:p w:rsidR="00A57FDB" w:rsidRPr="00A57FDB" w:rsidRDefault="00A57FDB" w:rsidP="00A57FDB">
      <w:pPr>
        <w:pStyle w:val="SingleTxtGR"/>
      </w:pPr>
      <w:r>
        <w:rPr>
          <w:i/>
        </w:rPr>
        <w:t>Примечание секретариата:</w:t>
      </w:r>
      <w:r>
        <w:t xml:space="preserve"> Приведенный ниже текст слегка отличается от принятого текста, содержащегося в документе </w:t>
      </w:r>
      <w:r w:rsidRPr="00A57FDB">
        <w:rPr>
          <w:lang w:val="en-GB"/>
        </w:rPr>
        <w:t>ECE</w:t>
      </w:r>
      <w:r w:rsidRPr="00A57FDB">
        <w:t>/</w:t>
      </w:r>
      <w:r w:rsidRPr="00A57FDB">
        <w:rPr>
          <w:lang w:val="en-GB"/>
        </w:rPr>
        <w:t>TRANS</w:t>
      </w:r>
      <w:r w:rsidRPr="00A57FDB">
        <w:t>/180/</w:t>
      </w:r>
      <w:r w:rsidRPr="00A57FDB">
        <w:rPr>
          <w:lang w:val="en-GB"/>
        </w:rPr>
        <w:t>Add</w:t>
      </w:r>
      <w:r w:rsidRPr="00A57FDB">
        <w:t>.3/</w:t>
      </w:r>
      <w:r w:rsidRPr="00A57FDB">
        <w:rPr>
          <w:lang w:val="en-GB"/>
        </w:rPr>
        <w:t>Amend</w:t>
      </w:r>
      <w:r w:rsidRPr="00A57FDB">
        <w:t>.2</w:t>
      </w:r>
    </w:p>
    <w:p w:rsidR="00D97E85" w:rsidRPr="00C23657" w:rsidRDefault="00BA6E48" w:rsidP="00D97E85">
      <w:pPr>
        <w:pStyle w:val="SingleTxtGR"/>
        <w:rPr>
          <w:i/>
        </w:rPr>
      </w:pPr>
      <w:r>
        <w:rPr>
          <w:i/>
        </w:rPr>
        <w:t>В т</w:t>
      </w:r>
      <w:r w:rsidR="00D97E85">
        <w:rPr>
          <w:i/>
        </w:rPr>
        <w:t>екст</w:t>
      </w:r>
      <w:r>
        <w:rPr>
          <w:i/>
        </w:rPr>
        <w:t>е Глобальных технических п</w:t>
      </w:r>
      <w:r w:rsidR="00D97E85">
        <w:rPr>
          <w:i/>
        </w:rPr>
        <w:t>равил (часть В)</w:t>
      </w:r>
    </w:p>
    <w:p w:rsidR="00D97E85" w:rsidRPr="00C23657" w:rsidRDefault="00D97E85" w:rsidP="00D97E85">
      <w:pPr>
        <w:pStyle w:val="SingleTxtGR"/>
      </w:pPr>
      <w:r>
        <w:t>Содержание:</w:t>
      </w:r>
    </w:p>
    <w:p w:rsidR="00D97E85" w:rsidRPr="00C23657" w:rsidRDefault="00D97E85" w:rsidP="00D97E85">
      <w:pPr>
        <w:pStyle w:val="SingleTxtGR"/>
        <w:rPr>
          <w:i/>
        </w:rPr>
      </w:pPr>
      <w:r>
        <w:rPr>
          <w:i/>
        </w:rPr>
        <w:t>П</w:t>
      </w:r>
      <w:r w:rsidRPr="00C23657">
        <w:rPr>
          <w:i/>
        </w:rPr>
        <w:t>осле перечня элементов, уже входящих в содержание, включить следующее указание на пункт 5:</w:t>
      </w:r>
    </w:p>
    <w:p w:rsidR="00D97E85" w:rsidRPr="00033CEE" w:rsidRDefault="00D97E85" w:rsidP="00D97E85">
      <w:pPr>
        <w:pStyle w:val="SingleTxtGR"/>
        <w:ind w:left="2268" w:hanging="1134"/>
        <w:rPr>
          <w:b/>
          <w:bCs/>
        </w:rPr>
      </w:pPr>
      <w:r w:rsidRPr="002802AC">
        <w:t>"</w:t>
      </w:r>
      <w:r w:rsidRPr="00033CEE">
        <w:rPr>
          <w:b/>
        </w:rPr>
        <w:t>5.</w:t>
      </w:r>
      <w:r w:rsidRPr="00033CEE">
        <w:rPr>
          <w:b/>
        </w:rPr>
        <w:tab/>
      </w:r>
      <w:r w:rsidRPr="00033CEE">
        <w:rPr>
          <w:b/>
        </w:rPr>
        <w:tab/>
        <w:t>Альтернативный метод определения пикового коэффициента торможения</w:t>
      </w:r>
      <w:r w:rsidRPr="002802AC">
        <w:t>".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 3.1.4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"3.1.4</w:t>
      </w:r>
      <w:r w:rsidRPr="00C23657">
        <w:tab/>
      </w:r>
      <w:r w:rsidRPr="00C23657">
        <w:tab/>
        <w:t>Система стояночного тормоза:</w:t>
      </w:r>
    </w:p>
    <w:p w:rsidR="00D97E85" w:rsidRPr="00C23657" w:rsidRDefault="00D97E85" w:rsidP="00D97E85">
      <w:pPr>
        <w:pStyle w:val="SingleTxtGR"/>
        <w:ind w:left="2268" w:hanging="1134"/>
      </w:pPr>
      <w:r>
        <w:tab/>
      </w:r>
      <w:r>
        <w:tab/>
      </w:r>
      <w:r w:rsidRPr="00C23657">
        <w:t xml:space="preserve">При наличии системы стояночного тормоза она должна удерживать транспортное средство в неподвижном положении на поверхности с уклоном, предписанным в пункте </w:t>
      </w:r>
      <w:r w:rsidRPr="00EE54FE">
        <w:rPr>
          <w:strike/>
        </w:rPr>
        <w:t>4.8.2</w:t>
      </w:r>
      <w:r w:rsidRPr="00C23657">
        <w:t xml:space="preserve"> </w:t>
      </w:r>
      <w:r w:rsidRPr="00C23657">
        <w:rPr>
          <w:b/>
        </w:rPr>
        <w:t>4.1.1.4</w:t>
      </w:r>
      <w:r w:rsidRPr="00C23657">
        <w:t>.</w:t>
      </w:r>
    </w:p>
    <w:p w:rsidR="00D97E85" w:rsidRPr="00C23657" w:rsidRDefault="00D97E85" w:rsidP="00D97E85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Pr="00C23657">
        <w:rPr>
          <w:b/>
        </w:rPr>
        <w:t>В случае транспортных средств категорий 3-2, 3-4 и 3-5 испытание системы стояночного тормоза проводится в соответствии с пунктом 4.8.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Система стояночного тормоза должна:</w:t>
      </w:r>
    </w:p>
    <w:p w:rsidR="00D97E85" w:rsidRPr="00C23657" w:rsidRDefault="00D97E85" w:rsidP="00D97E85">
      <w:pPr>
        <w:pStyle w:val="SingleTxtGR"/>
        <w:ind w:left="2835" w:hanging="1701"/>
      </w:pPr>
      <w:r>
        <w:tab/>
      </w:r>
      <w:r>
        <w:tab/>
      </w:r>
      <w:r w:rsidRPr="00C23657">
        <w:t>а)</w:t>
      </w:r>
      <w:r w:rsidRPr="00C23657">
        <w:tab/>
        <w:t>иметь орган управления, отдельный от органов управления системой рабочего тормоза</w:t>
      </w:r>
      <w:r>
        <w:t>;</w:t>
      </w:r>
      <w:r w:rsidRPr="00C23657">
        <w:t xml:space="preserve"> и</w:t>
      </w:r>
    </w:p>
    <w:p w:rsidR="00D97E85" w:rsidRPr="00C23657" w:rsidRDefault="00D97E85" w:rsidP="00D97E85">
      <w:pPr>
        <w:pStyle w:val="SingleTxtGR"/>
        <w:ind w:left="2835" w:hanging="1701"/>
      </w:pPr>
      <w:r>
        <w:tab/>
      </w:r>
      <w:r>
        <w:tab/>
      </w:r>
      <w:r w:rsidRPr="00C23657">
        <w:t>b)</w:t>
      </w:r>
      <w:r w:rsidRPr="00C23657">
        <w:tab/>
        <w:t>удерживаться в заблокированном состоянии исключительно механическим способом.</w:t>
      </w:r>
    </w:p>
    <w:p w:rsidR="00D97E85" w:rsidRPr="00C23657" w:rsidRDefault="00D97E85" w:rsidP="00D97E85">
      <w:pPr>
        <w:pStyle w:val="SingleTxtGR"/>
        <w:ind w:left="2268" w:hanging="1134"/>
      </w:pPr>
      <w:r>
        <w:tab/>
      </w:r>
      <w:r>
        <w:tab/>
      </w:r>
      <w:r w:rsidRPr="00C23657">
        <w:t>Конфигурация транспортн</w:t>
      </w:r>
      <w:r>
        <w:t>ых</w:t>
      </w:r>
      <w:r w:rsidRPr="00C23657">
        <w:t xml:space="preserve"> средств должна быть такой, чтобы мотоциклист мог приводить в действие систему стояночного тормоза из нормального для вождения положения</w:t>
      </w:r>
      <w:r>
        <w:t>"</w:t>
      </w:r>
      <w:r w:rsidRPr="00C23657">
        <w:t>.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 3.1.9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  <w:ind w:left="2268" w:hanging="1134"/>
      </w:pPr>
      <w:r w:rsidRPr="00C23657">
        <w:t>"3.1.9</w:t>
      </w:r>
      <w:r w:rsidRPr="00C23657">
        <w:tab/>
      </w:r>
      <w:r w:rsidRPr="00C23657">
        <w:tab/>
        <w:t>В случае установки двух раздельных систем рабочего тормоза эти системы могут иметь общий тормоз</w:t>
      </w:r>
      <w:r w:rsidRPr="00AF72B6">
        <w:rPr>
          <w:strike/>
        </w:rPr>
        <w:t>, если отказ одной из систем не влияет на эффективность другой,</w:t>
      </w:r>
      <w:r w:rsidRPr="00C23657">
        <w:t xml:space="preserve"> </w:t>
      </w:r>
      <w:r w:rsidRPr="00C23657">
        <w:rPr>
          <w:b/>
        </w:rPr>
        <w:t>и общий привод, если выполняются требования пункта 4.12</w:t>
      </w:r>
      <w:r w:rsidRPr="00174E5D">
        <w:t>".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Пункты 4.1.1.3 и 4.1.1.4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"4.1.1.3</w:t>
      </w:r>
      <w:r w:rsidRPr="00C23657">
        <w:tab/>
        <w:t>Измерение ПКТ</w:t>
      </w:r>
    </w:p>
    <w:p w:rsidR="00D97E85" w:rsidRPr="00C23657" w:rsidRDefault="00D97E85" w:rsidP="00D97E85">
      <w:pPr>
        <w:pStyle w:val="SingleTxtGR"/>
        <w:ind w:left="2268" w:hanging="1134"/>
      </w:pPr>
      <w:r w:rsidRPr="00C23657">
        <w:tab/>
      </w:r>
      <w:r>
        <w:tab/>
      </w:r>
      <w:r w:rsidRPr="00C23657">
        <w:t xml:space="preserve">ПКТ измеряется </w:t>
      </w:r>
      <w:r w:rsidRPr="00AF72B6">
        <w:rPr>
          <w:strike/>
        </w:rPr>
        <w:t>в соответствии с указаниями, приведенными в национальном или региональном законодательстве, указаниями органа по официальному утверждению типа</w:t>
      </w:r>
      <w:r w:rsidRPr="00C23657">
        <w:t xml:space="preserve"> с использованием:</w:t>
      </w:r>
    </w:p>
    <w:p w:rsidR="00D97E85" w:rsidRPr="00C23657" w:rsidRDefault="00D97E85" w:rsidP="00D97E85">
      <w:pPr>
        <w:pStyle w:val="SingleTxtGR"/>
        <w:ind w:left="2835" w:hanging="1701"/>
        <w:rPr>
          <w:b/>
        </w:rPr>
      </w:pPr>
      <w:r>
        <w:tab/>
      </w:r>
      <w:r>
        <w:tab/>
      </w:r>
      <w:r w:rsidRPr="00C23657">
        <w:t>а)</w:t>
      </w:r>
      <w:r w:rsidRPr="00C23657">
        <w:tab/>
        <w:t>либо эталонной испытательной шины, соответствующей стандарту Е1136 Американского общества по испытаниям и материалам (ASTM)</w:t>
      </w:r>
      <w:r>
        <w:t>,</w:t>
      </w:r>
      <w:r w:rsidRPr="00C23657">
        <w:t xml:space="preserve"> по методу ASTM E1337</w:t>
      </w:r>
      <w:r w:rsidRPr="00C23657">
        <w:noBreakHyphen/>
        <w:t>90 на скорости 40 миль/ч без подачи воды,</w:t>
      </w:r>
    </w:p>
    <w:p w:rsidR="00D97E85" w:rsidRPr="00C23657" w:rsidRDefault="00D97E85" w:rsidP="00D97E85">
      <w:pPr>
        <w:pStyle w:val="SingleTxtGR"/>
        <w:ind w:left="2835" w:hanging="1701"/>
      </w:pPr>
      <w:r>
        <w:tab/>
      </w:r>
      <w:r>
        <w:tab/>
      </w:r>
      <w:r w:rsidRPr="00C23657">
        <w:t>b)</w:t>
      </w:r>
      <w:r w:rsidRPr="00C23657">
        <w:tab/>
        <w:t xml:space="preserve">либо метода, указанного в </w:t>
      </w:r>
      <w:r w:rsidRPr="00AF72B6">
        <w:rPr>
          <w:strike/>
        </w:rPr>
        <w:t>добавлении к приложению 4</w:t>
      </w:r>
      <w:r w:rsidRPr="00174E5D">
        <w:rPr>
          <w:b/>
        </w:rPr>
        <w:t xml:space="preserve"> пункте 5</w:t>
      </w:r>
      <w:r w:rsidRPr="00174E5D">
        <w:t xml:space="preserve"> </w:t>
      </w:r>
      <w:r w:rsidRPr="00AF72B6">
        <w:rPr>
          <w:strike/>
        </w:rPr>
        <w:t>к Правилам № 78 ЕЭК ООН с поправками серии 01</w:t>
      </w:r>
      <w:r w:rsidRPr="00AF72B6">
        <w:t>.</w:t>
      </w:r>
      <w:r w:rsidRPr="00C23657">
        <w:t xml:space="preserve"> </w:t>
      </w:r>
    </w:p>
    <w:p w:rsidR="00D97E85" w:rsidRPr="00C23657" w:rsidRDefault="00D97E85" w:rsidP="00D97E85">
      <w:pPr>
        <w:pStyle w:val="SingleTxtGR"/>
        <w:ind w:left="2268" w:hanging="1134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Pr="00C23657">
        <w:rPr>
          <w:b/>
          <w:i/>
        </w:rPr>
        <w:t>Примечание:</w:t>
      </w:r>
      <w:r w:rsidRPr="00C23657">
        <w:rPr>
          <w:b/>
        </w:rPr>
        <w:t xml:space="preserve"> При проведении испытания для определения ПКТ методом b) может использоваться альтернативное транспортное средство, если для него был установлен тот же номинальный ПКТ при наибольшем и наименьшем значениях μ, что и при предыдущем испытании методом а).</w:t>
      </w:r>
    </w:p>
    <w:p w:rsidR="00D97E85" w:rsidRPr="00C23657" w:rsidRDefault="00D97E85" w:rsidP="00D97E85">
      <w:pPr>
        <w:pStyle w:val="SingleTxtGR"/>
        <w:ind w:left="2268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Pr="00C23657">
        <w:rPr>
          <w:b/>
        </w:rPr>
        <w:t>Измерение ПКТ поверхности проводится не реже одного раза в год. Измерение ПКТ проводится до испытания, если со времени последнего измерения проводился капитальный ремонт или были внесены изменения, которые могут привести к существенному изменению ПКТ.</w:t>
      </w:r>
    </w:p>
    <w:p w:rsidR="00D97E85" w:rsidRDefault="00D97E85" w:rsidP="00D97E85">
      <w:pPr>
        <w:pStyle w:val="SingleTxtGR"/>
      </w:pPr>
      <w:r w:rsidRPr="00C23657">
        <w:t>4.1.1.4</w:t>
      </w:r>
      <w:r w:rsidRPr="00C23657">
        <w:tab/>
        <w:t>Испытания системы стояночного тормоза</w:t>
      </w:r>
    </w:p>
    <w:p w:rsidR="00D97E85" w:rsidRPr="00C23657" w:rsidRDefault="00D97E85" w:rsidP="00D97E85">
      <w:pPr>
        <w:pStyle w:val="SingleTxtGR"/>
        <w:ind w:left="2268" w:hanging="1134"/>
      </w:pPr>
      <w:r>
        <w:tab/>
      </w:r>
      <w:r>
        <w:tab/>
      </w:r>
      <w:r w:rsidRPr="00C23657">
        <w:t xml:space="preserve">Заданный для проведения испытания уклон </w:t>
      </w:r>
      <w:r w:rsidRPr="00C23657">
        <w:rPr>
          <w:b/>
        </w:rPr>
        <w:t>испытательной поверхности должен составлять 18</w:t>
      </w:r>
      <w:r>
        <w:rPr>
          <w:b/>
        </w:rPr>
        <w:t>%</w:t>
      </w:r>
      <w:r w:rsidRPr="00C23657">
        <w:rPr>
          <w:b/>
        </w:rPr>
        <w:t>, а эта поверхность должна быть сухой и чистой и не должна деформироваться</w:t>
      </w:r>
      <w:r w:rsidRPr="00C23657">
        <w:t xml:space="preserve"> под весом транспортного средства".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 4.9.1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"4.9.1</w:t>
      </w:r>
      <w:r w:rsidRPr="00C23657">
        <w:tab/>
      </w:r>
      <w:r w:rsidRPr="00C23657">
        <w:tab/>
        <w:t>Общие положения:</w:t>
      </w:r>
    </w:p>
    <w:p w:rsidR="00D97E85" w:rsidRDefault="00D97E85" w:rsidP="00D97E85">
      <w:pPr>
        <w:pStyle w:val="SingleTxtGR"/>
        <w:ind w:left="2835" w:hanging="1701"/>
      </w:pPr>
      <w:r>
        <w:tab/>
      </w:r>
      <w:r>
        <w:tab/>
      </w:r>
      <w:r w:rsidRPr="00C23657">
        <w:t>a)</w:t>
      </w:r>
      <w:r w:rsidRPr="00C23657">
        <w:tab/>
        <w:t>Данным испытаниям подвергаются только АБС, установленные на транспортных средствах категорий 3</w:t>
      </w:r>
      <w:r>
        <w:t>-</w:t>
      </w:r>
      <w:r w:rsidRPr="00C23657">
        <w:t>1 и 3</w:t>
      </w:r>
      <w:r>
        <w:t>-</w:t>
      </w:r>
      <w:r w:rsidRPr="00C23657">
        <w:t>3.</w:t>
      </w:r>
    </w:p>
    <w:p w:rsidR="00D97E85" w:rsidRDefault="00D97E85" w:rsidP="00D97E85">
      <w:pPr>
        <w:pStyle w:val="SingleTxtGR"/>
        <w:ind w:left="2835" w:hanging="1701"/>
      </w:pPr>
      <w:r>
        <w:tab/>
      </w:r>
      <w:r>
        <w:tab/>
      </w:r>
      <w:r w:rsidRPr="00C23657">
        <w:t>b)</w:t>
      </w:r>
      <w:r w:rsidRPr="00C23657">
        <w:tab/>
        <w:t>Испытания проводятся для подтверждения эффективности тормозных систем, оснащенных АБС, и их эффективности в случае отказа электрооборудования АБС.</w:t>
      </w:r>
    </w:p>
    <w:p w:rsidR="00D97E85" w:rsidRPr="00C23657" w:rsidRDefault="00D97E85" w:rsidP="00D97E85">
      <w:pPr>
        <w:pStyle w:val="SingleTxtGR"/>
        <w:keepLines/>
        <w:ind w:left="2835" w:hanging="1701"/>
      </w:pPr>
      <w:r>
        <w:tab/>
      </w:r>
      <w:r>
        <w:tab/>
      </w:r>
      <w:r w:rsidRPr="00C23657">
        <w:t>c)</w:t>
      </w:r>
      <w:r w:rsidRPr="00C23657">
        <w:tab/>
        <w:t xml:space="preserve">Под "непрерывной цикличностью" подразумевается, что антиблокировочная система в повторяющемся </w:t>
      </w:r>
      <w:r w:rsidRPr="00C23657">
        <w:rPr>
          <w:b/>
        </w:rPr>
        <w:t>или непрерывном режиме</w:t>
      </w:r>
      <w:r w:rsidRPr="00C23657">
        <w:t xml:space="preserve"> модулирует тормозные усилия, с тем чтобы предотвратить блокировку непосредственно управляемых колес".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 4.9.3.1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"4.9.3.1</w:t>
      </w:r>
      <w:r w:rsidRPr="00C23657">
        <w:tab/>
        <w:t>Условия и процедура испытания: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…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d)</w:t>
      </w:r>
      <w:r w:rsidRPr="00C23657">
        <w:tab/>
        <w:t>Тормозное усилие:</w:t>
      </w:r>
    </w:p>
    <w:p w:rsidR="00D97E85" w:rsidRPr="001A663A" w:rsidRDefault="00D97E85" w:rsidP="00D97E85">
      <w:pPr>
        <w:pStyle w:val="SingleTxtGR"/>
        <w:keepLines/>
        <w:ind w:left="2835" w:hanging="1701"/>
      </w:pPr>
      <w:r>
        <w:tab/>
      </w:r>
      <w:r>
        <w:tab/>
      </w:r>
      <w:r>
        <w:tab/>
      </w:r>
      <w:r w:rsidRPr="00BD7F54">
        <w:t xml:space="preserve">Применяемое усилие необходимо для обеспечения работы АБС в режиме непрерывной цикличности во время каждой остановки, до 10 км/ч". </w:t>
      </w:r>
      <w:r w:rsidRPr="00C23657">
        <w:t>(Данное изменение к тексту на русском языке</w:t>
      </w:r>
      <w:r>
        <w:t xml:space="preserve"> </w:t>
      </w:r>
      <w:r w:rsidRPr="00C23657">
        <w:t>не относится</w:t>
      </w:r>
      <w:r>
        <w:t>.</w:t>
      </w:r>
      <w:r w:rsidRPr="00C23657">
        <w:t>)</w:t>
      </w:r>
      <w:r w:rsidR="001A663A">
        <w:t>"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 4.9.5.1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"4.9.5.1</w:t>
      </w:r>
      <w:r w:rsidRPr="00C23657">
        <w:tab/>
        <w:t>Условия и процедура испытания: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…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e)</w:t>
      </w:r>
      <w:r w:rsidRPr="00C23657">
        <w:tab/>
        <w:t xml:space="preserve">Тормозное усилие: </w:t>
      </w:r>
    </w:p>
    <w:p w:rsidR="00D97E85" w:rsidRPr="00C23657" w:rsidRDefault="00D97E85" w:rsidP="00D97E85">
      <w:pPr>
        <w:pStyle w:val="SingleTxtGR"/>
        <w:keepLines/>
        <w:ind w:left="2835" w:hanging="1701"/>
      </w:pPr>
      <w:r>
        <w:tab/>
      </w:r>
      <w:r>
        <w:tab/>
      </w:r>
      <w:r>
        <w:tab/>
      </w:r>
      <w:r w:rsidRPr="00BD7F54">
        <w:t xml:space="preserve">Применяемое усилие необходимо для обеспечения работы АБС в режиме непрерывной цикличности во время каждой остановки, до 10 км/ч". </w:t>
      </w:r>
      <w:r w:rsidRPr="00C23657">
        <w:t>(Данное изменение к тексту на русском языке</w:t>
      </w:r>
      <w:r>
        <w:t xml:space="preserve"> </w:t>
      </w:r>
      <w:r w:rsidRPr="00C23657">
        <w:t>не относится</w:t>
      </w:r>
      <w:r>
        <w:t>.</w:t>
      </w:r>
      <w:r w:rsidRPr="00C23657">
        <w:t>)</w:t>
      </w:r>
    </w:p>
    <w:p w:rsidR="00D97E85" w:rsidRPr="00C23657" w:rsidRDefault="00D97E85" w:rsidP="00D97E85">
      <w:pPr>
        <w:pStyle w:val="SingleTxtGR"/>
        <w:rPr>
          <w:bCs/>
        </w:rPr>
      </w:pPr>
      <w:r>
        <w:tab/>
      </w:r>
      <w:r>
        <w:tab/>
      </w:r>
      <w:r w:rsidRPr="00C23657">
        <w:t>f)</w:t>
      </w:r>
      <w:r w:rsidRPr="00C23657">
        <w:tab/>
        <w:t>Интенсивность применения тормозов:</w:t>
      </w:r>
    </w:p>
    <w:p w:rsidR="00D97E85" w:rsidRPr="00C23657" w:rsidRDefault="00D97E85" w:rsidP="00D97E85">
      <w:pPr>
        <w:pStyle w:val="SingleTxtGR"/>
        <w:ind w:left="2835" w:hanging="1701"/>
      </w:pPr>
      <w:r w:rsidRPr="00C23657">
        <w:tab/>
      </w:r>
      <w:r>
        <w:tab/>
      </w:r>
      <w:r>
        <w:tab/>
      </w:r>
      <w:r w:rsidRPr="00C23657">
        <w:t xml:space="preserve">Тормозное усилие должно прилагаться в течение </w:t>
      </w:r>
      <w:r w:rsidRPr="00C23657">
        <w:rPr>
          <w:b/>
        </w:rPr>
        <w:t>0,1</w:t>
      </w:r>
      <w:r w:rsidRPr="00C23657">
        <w:t>−0,5 секунды".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>Пункт 4.9.6.1</w:t>
      </w:r>
      <w:r w:rsidRPr="00C23657">
        <w:t xml:space="preserve"> 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"4.9.6.1</w:t>
      </w:r>
      <w:r w:rsidRPr="00C23657">
        <w:tab/>
        <w:t>Условия и процедура испытания: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…</w:t>
      </w:r>
    </w:p>
    <w:p w:rsidR="00D97E85" w:rsidRPr="00C23657" w:rsidRDefault="00D97E85" w:rsidP="00D97E85">
      <w:pPr>
        <w:pStyle w:val="SingleTxtGR"/>
      </w:pPr>
      <w:r>
        <w:tab/>
      </w:r>
      <w:r>
        <w:tab/>
        <w:t>e)</w:t>
      </w:r>
      <w:r>
        <w:tab/>
        <w:t>Тормозное усилие:</w:t>
      </w:r>
    </w:p>
    <w:p w:rsidR="00D97E85" w:rsidRPr="00C23657" w:rsidRDefault="00D97E85" w:rsidP="00D97E85">
      <w:pPr>
        <w:pStyle w:val="SingleTxtGR"/>
        <w:keepLines/>
        <w:ind w:left="2835" w:hanging="1701"/>
      </w:pPr>
      <w:r>
        <w:tab/>
      </w:r>
      <w:r>
        <w:tab/>
      </w:r>
      <w:r>
        <w:tab/>
      </w:r>
      <w:r w:rsidRPr="00BD7F54">
        <w:t xml:space="preserve">Применяемое усилие необходимо для обеспечения работы АБС в режиме непрерывной цикличности во время каждой остановки, до 10 км/ч". </w:t>
      </w:r>
      <w:r w:rsidRPr="00C23657">
        <w:t>(Данное изменение к тексту на русском языке</w:t>
      </w:r>
      <w:r>
        <w:t xml:space="preserve"> </w:t>
      </w:r>
      <w:r w:rsidRPr="00C23657">
        <w:t>не относится</w:t>
      </w:r>
      <w:r>
        <w:t>.</w:t>
      </w:r>
      <w:r w:rsidRPr="00C23657">
        <w:t>)</w:t>
      </w:r>
    </w:p>
    <w:p w:rsidR="00D97E85" w:rsidRPr="00C23657" w:rsidRDefault="00D97E85" w:rsidP="00D97E85">
      <w:pPr>
        <w:pStyle w:val="SingleTxtGR"/>
      </w:pPr>
      <w:r w:rsidRPr="00C23657">
        <w:rPr>
          <w:i/>
        </w:rPr>
        <w:t xml:space="preserve">Пункт 4.9.7.1 </w:t>
      </w:r>
      <w:r w:rsidRPr="00C23657">
        <w:t>изменить следующим образом:</w:t>
      </w:r>
    </w:p>
    <w:p w:rsidR="00D97E85" w:rsidRPr="00C23657" w:rsidRDefault="00D97E85" w:rsidP="00D97E85">
      <w:pPr>
        <w:pStyle w:val="SingleTxtGR"/>
      </w:pPr>
      <w:r w:rsidRPr="00C23657">
        <w:t>"4.9.7.1</w:t>
      </w:r>
      <w:r w:rsidRPr="00C23657">
        <w:tab/>
        <w:t>Условия и процедура испытания: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…</w:t>
      </w:r>
    </w:p>
    <w:p w:rsidR="00D97E85" w:rsidRPr="00C23657" w:rsidRDefault="00D97E85" w:rsidP="00D97E85">
      <w:pPr>
        <w:pStyle w:val="SingleTxtGR"/>
      </w:pPr>
      <w:r>
        <w:tab/>
      </w:r>
      <w:r>
        <w:tab/>
      </w:r>
      <w:r w:rsidRPr="00C23657">
        <w:t>e)</w:t>
      </w:r>
      <w:r w:rsidRPr="00C23657">
        <w:tab/>
        <w:t xml:space="preserve">Тормозное усилие: </w:t>
      </w:r>
    </w:p>
    <w:p w:rsidR="00983C34" w:rsidRDefault="00D97E85" w:rsidP="00983C34">
      <w:pPr>
        <w:pStyle w:val="SingleTxtGR"/>
        <w:keepLines/>
        <w:ind w:left="2835" w:hanging="1701"/>
      </w:pPr>
      <w:r>
        <w:tab/>
      </w:r>
      <w:r>
        <w:tab/>
      </w:r>
      <w:r>
        <w:tab/>
      </w:r>
      <w:r w:rsidRPr="00BD7F54">
        <w:t xml:space="preserve">Применяемое усилие необходимо для обеспечения работы АБС в режиме непрерывной цикличности во время каждой остановки, до 10 км/ч". </w:t>
      </w:r>
      <w:r w:rsidRPr="00C23657">
        <w:t>(Данное изменение к тексту на русском языке</w:t>
      </w:r>
      <w:r>
        <w:t xml:space="preserve"> </w:t>
      </w:r>
      <w:r w:rsidRPr="00C23657">
        <w:t>не относится</w:t>
      </w:r>
      <w:r>
        <w:t>.</w:t>
      </w:r>
      <w:r w:rsidRPr="00C23657">
        <w:t>)</w:t>
      </w:r>
    </w:p>
    <w:p w:rsidR="00D97E85" w:rsidRPr="00691B3B" w:rsidRDefault="00D97E85" w:rsidP="00983C34">
      <w:pPr>
        <w:pStyle w:val="SingleTxtGR"/>
        <w:keepLines/>
        <w:ind w:left="2835" w:hanging="1701"/>
        <w:rPr>
          <w:i/>
        </w:rPr>
      </w:pPr>
      <w:r w:rsidRPr="00691B3B">
        <w:rPr>
          <w:i/>
        </w:rPr>
        <w:t xml:space="preserve">Включить новый пункт 4.12 </w:t>
      </w:r>
      <w:r w:rsidRPr="00691B3B">
        <w:t>следующего содержания: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  <w:bCs/>
        </w:rPr>
      </w:pPr>
      <w:r w:rsidRPr="00691B3B">
        <w:t>"</w:t>
      </w:r>
      <w:r w:rsidRPr="00691B3B">
        <w:rPr>
          <w:b/>
        </w:rPr>
        <w:t>4.12</w:t>
      </w:r>
      <w:r w:rsidRPr="00691B3B">
        <w:tab/>
      </w:r>
      <w:r w:rsidRPr="00691B3B">
        <w:rPr>
          <w:b/>
        </w:rPr>
        <w:t>Испытание на отказ КТС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  <w:bCs/>
        </w:rPr>
      </w:pPr>
      <w:r w:rsidRPr="00691B3B">
        <w:rPr>
          <w:b/>
        </w:rPr>
        <w:t>4.12.1</w:t>
      </w:r>
      <w:r w:rsidRPr="00691B3B">
        <w:tab/>
      </w:r>
      <w:r w:rsidRPr="00691B3B">
        <w:rPr>
          <w:b/>
        </w:rPr>
        <w:t>Общие сведения: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  <w:rPr>
          <w:b/>
          <w:bCs/>
        </w:rPr>
      </w:pPr>
      <w:r w:rsidRPr="00171436">
        <w:rPr>
          <w:b/>
        </w:rPr>
        <w:tab/>
      </w:r>
      <w:r w:rsidRPr="00691B3B">
        <w:rPr>
          <w:b/>
        </w:rPr>
        <w:t>a)</w:t>
      </w:r>
      <w:r w:rsidRPr="00691B3B">
        <w:tab/>
      </w:r>
      <w:r w:rsidRPr="00691B3B">
        <w:rPr>
          <w:b/>
        </w:rPr>
        <w:t>Настоящему испытанию подвергаются только транспортные средства, оснащенные КТС, в которой две раздельные системы рабочего тормоза имеют общие элементы.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  <w:rPr>
          <w:b/>
          <w:bCs/>
        </w:rPr>
      </w:pPr>
      <w:r w:rsidRPr="00171436">
        <w:rPr>
          <w:b/>
        </w:rPr>
        <w:tab/>
      </w:r>
      <w:r w:rsidRPr="00691B3B">
        <w:rPr>
          <w:b/>
        </w:rPr>
        <w:t>b)</w:t>
      </w:r>
      <w:r w:rsidRPr="00691B3B">
        <w:tab/>
      </w:r>
      <w:r w:rsidRPr="00691B3B">
        <w:rPr>
          <w:b/>
        </w:rPr>
        <w:t>Это испытание проводится для подтверждения эффективности систем рабочего тормоза в случае отказа одного из общих элементов. Некоторые детали, в частности сам тормоз, тормозные цилиндры и их поршни (за исключением уплотнений), толкатели, кулачковые узлы и главные цилиндры (за исключением уплотнений), не считаются деталями, которые могут разрушаться, − при условии, что их размеры выбраны с большим запасом прочности и что они легкодоступны для технического обслуживания и имеют достаточные характеристики в отношении обеспечения безопасности, – и таким образом освобождаются от испытания на отказ.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  <w:bCs/>
        </w:rPr>
      </w:pPr>
      <w:r w:rsidRPr="00691B3B">
        <w:rPr>
          <w:b/>
        </w:rPr>
        <w:t>4.12.2</w:t>
      </w:r>
      <w:r w:rsidRPr="00691B3B">
        <w:tab/>
      </w:r>
      <w:r w:rsidRPr="00691B3B">
        <w:rPr>
          <w:b/>
        </w:rPr>
        <w:t>Условия и процедура испытания: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  <w:rPr>
          <w:b/>
          <w:bCs/>
        </w:rPr>
      </w:pPr>
      <w:r w:rsidRPr="00171436">
        <w:rPr>
          <w:b/>
        </w:rPr>
        <w:tab/>
      </w:r>
      <w:r w:rsidRPr="00691B3B">
        <w:rPr>
          <w:b/>
        </w:rPr>
        <w:t>а)</w:t>
      </w:r>
      <w:r w:rsidRPr="00691B3B">
        <w:tab/>
      </w:r>
      <w:r w:rsidRPr="00691B3B">
        <w:rPr>
          <w:b/>
        </w:rPr>
        <w:t xml:space="preserve">В случае транспортных средств, оснащенных КТС, в которой две раздельные системы рабочего тормоза имеют общие элементы, проводится испытание, указанное в пункте </w:t>
      </w:r>
      <w:r w:rsidRPr="00842097">
        <w:rPr>
          <w:b/>
        </w:rPr>
        <w:t>3</w:t>
      </w:r>
      <w:r w:rsidR="00842097" w:rsidRPr="00842097">
        <w:rPr>
          <w:rStyle w:val="FootnoteReference"/>
          <w:sz w:val="20"/>
          <w:vertAlign w:val="baseline"/>
        </w:rPr>
        <w:footnoteReference w:customMarkFollows="1" w:id="1"/>
        <w:t>*</w:t>
      </w:r>
      <w:r w:rsidR="00842097" w:rsidRPr="00842097">
        <w:rPr>
          <w:rStyle w:val="FootnoteReference"/>
          <w:vertAlign w:val="baseline"/>
        </w:rPr>
        <w:t xml:space="preserve"> </w:t>
      </w:r>
      <w:r w:rsidRPr="00691B3B">
        <w:rPr>
          <w:b/>
        </w:rPr>
        <w:t xml:space="preserve"> настоящего приложения (испытание на торможение на сухой поверхности</w:t>
      </w:r>
      <w:r>
        <w:rPr>
          <w:b/>
        </w:rPr>
        <w:t xml:space="preserve"> −</w:t>
      </w:r>
      <w:r w:rsidRPr="00691B3B">
        <w:rPr>
          <w:b/>
        </w:rPr>
        <w:t xml:space="preserve"> приведение в действие одного органа тормозного управления), с моделированием отказа одного из общих элементов.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  <w:bCs/>
        </w:rPr>
      </w:pPr>
      <w:r w:rsidRPr="00171436">
        <w:rPr>
          <w:b/>
        </w:rPr>
        <w:tab/>
      </w:r>
      <w:r w:rsidRPr="00691B3B">
        <w:rPr>
          <w:b/>
        </w:rPr>
        <w:t>b)</w:t>
      </w:r>
      <w:r w:rsidRPr="00691B3B">
        <w:tab/>
      </w:r>
      <w:r w:rsidRPr="00691B3B">
        <w:rPr>
          <w:b/>
        </w:rPr>
        <w:t>Груженое транспортное средство.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  <w:bCs/>
        </w:rPr>
      </w:pPr>
      <w:r w:rsidRPr="00691B3B">
        <w:rPr>
          <w:b/>
        </w:rPr>
        <w:t>4.12.3</w:t>
      </w:r>
      <w:r w:rsidRPr="00691B3B">
        <w:tab/>
      </w:r>
      <w:r w:rsidRPr="00691B3B">
        <w:rPr>
          <w:b/>
        </w:rPr>
        <w:t>Эксплуатационные требования</w:t>
      </w:r>
    </w:p>
    <w:p w:rsidR="00D97E85" w:rsidRPr="00171436" w:rsidRDefault="00D97E85" w:rsidP="003F7B1D">
      <w:pPr>
        <w:pStyle w:val="SingleTxtGR"/>
        <w:tabs>
          <w:tab w:val="clear" w:pos="1701"/>
          <w:tab w:val="clear" w:pos="3969"/>
        </w:tabs>
        <w:ind w:left="2268" w:hanging="1134"/>
        <w:rPr>
          <w:b/>
        </w:rPr>
      </w:pPr>
      <w:r w:rsidRPr="00171436">
        <w:rPr>
          <w:b/>
        </w:rPr>
        <w:tab/>
      </w:r>
      <w:r w:rsidRPr="00691B3B">
        <w:rPr>
          <w:b/>
        </w:rPr>
        <w:t>При проведении испытания тормозов согласно процедуре испытания, изложенной в пункте 12.2, тормозной путь должен соответствовать показателю, предусмотренному в колонке 2, или СЗПЗ должен соответствовать показателю, указанному в колонке 3 нижеследующей таблицы:</w:t>
      </w:r>
    </w:p>
    <w:tbl>
      <w:tblPr>
        <w:tblStyle w:val="TabTxt"/>
        <w:tblW w:w="6257" w:type="dxa"/>
        <w:tblInd w:w="22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4"/>
        <w:gridCol w:w="3709"/>
        <w:gridCol w:w="14"/>
        <w:gridCol w:w="1211"/>
        <w:gridCol w:w="7"/>
      </w:tblGrid>
      <w:tr w:rsidR="00D97E85" w:rsidRPr="00F420FF" w:rsidTr="00697AF5">
        <w:trPr>
          <w:gridAfter w:val="1"/>
          <w:wAfter w:w="7" w:type="dxa"/>
          <w:tblHeader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Колонка 1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Колонка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Колонка 3</w:t>
            </w:r>
          </w:p>
        </w:tc>
      </w:tr>
      <w:tr w:rsidR="00D97E85" w:rsidRPr="00F420FF" w:rsidTr="00697AF5">
        <w:trPr>
          <w:gridAfter w:val="1"/>
          <w:wAfter w:w="7" w:type="dxa"/>
          <w:tblHeader/>
        </w:trPr>
        <w:tc>
          <w:tcPr>
            <w:tcW w:w="131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97E85" w:rsidRPr="00F420FF" w:rsidRDefault="00D97E85" w:rsidP="00B34E12">
            <w:pPr>
              <w:spacing w:before="20" w:after="20" w:line="240" w:lineRule="auto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Категория</w:t>
            </w:r>
            <w:r>
              <w:rPr>
                <w:b/>
                <w:i/>
                <w:sz w:val="16"/>
              </w:rPr>
              <w:t xml:space="preserve"> </w:t>
            </w:r>
            <w:r w:rsidRPr="00F420FF">
              <w:rPr>
                <w:b/>
                <w:i/>
                <w:sz w:val="16"/>
              </w:rPr>
              <w:t>транспортного средства</w:t>
            </w:r>
          </w:p>
        </w:tc>
        <w:tc>
          <w:tcPr>
            <w:tcW w:w="3709" w:type="dxa"/>
            <w:tcBorders>
              <w:bottom w:val="single" w:sz="12" w:space="0" w:color="auto"/>
            </w:tcBorders>
            <w:shd w:val="clear" w:color="auto" w:fill="auto"/>
          </w:tcPr>
          <w:p w:rsidR="00D97E85" w:rsidRPr="00F420FF" w:rsidRDefault="00D97E85" w:rsidP="00B34E12">
            <w:pPr>
              <w:spacing w:before="20" w:after="20" w:line="240" w:lineRule="auto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ТОРМОЗНОЙ ПУТЬ (S)</w:t>
            </w:r>
          </w:p>
          <w:p w:rsidR="00D97E85" w:rsidRPr="00F420FF" w:rsidRDefault="00D97E85" w:rsidP="00B34E12">
            <w:pPr>
              <w:spacing w:before="20" w:after="20" w:line="240" w:lineRule="auto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г</w:t>
            </w:r>
            <w:r w:rsidRPr="00F420FF">
              <w:rPr>
                <w:b/>
                <w:i/>
                <w:sz w:val="16"/>
              </w:rPr>
              <w:t xml:space="preserve">де V </w:t>
            </w:r>
            <w:r>
              <w:rPr>
                <w:b/>
                <w:i/>
                <w:sz w:val="16"/>
              </w:rPr>
              <w:t>−</w:t>
            </w:r>
            <w:r w:rsidRPr="00F420FF">
              <w:rPr>
                <w:b/>
                <w:i/>
                <w:sz w:val="16"/>
              </w:rPr>
              <w:t xml:space="preserve"> заданная испытательная скорость в км/ч и S </w:t>
            </w:r>
            <w:r>
              <w:rPr>
                <w:b/>
                <w:i/>
                <w:sz w:val="16"/>
              </w:rPr>
              <w:t>−</w:t>
            </w:r>
            <w:r w:rsidRPr="00F420FF">
              <w:rPr>
                <w:b/>
                <w:i/>
                <w:sz w:val="16"/>
              </w:rPr>
              <w:t xml:space="preserve"> предписанный тормозной путь в метрах)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gridSpan w:val="2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97E85" w:rsidRPr="00F420FF" w:rsidRDefault="00D97E85" w:rsidP="00B34E12">
            <w:pPr>
              <w:spacing w:before="20" w:after="20" w:line="240" w:lineRule="auto"/>
              <w:rPr>
                <w:b/>
                <w:i/>
                <w:sz w:val="16"/>
              </w:rPr>
            </w:pPr>
            <w:r w:rsidRPr="00F420FF">
              <w:rPr>
                <w:b/>
                <w:i/>
                <w:sz w:val="16"/>
              </w:rPr>
              <w:t>СЗПЗ</w:t>
            </w:r>
          </w:p>
        </w:tc>
      </w:tr>
      <w:tr w:rsidR="00D97E85" w:rsidRPr="00F420FF" w:rsidTr="00B34E12">
        <w:trPr>
          <w:gridAfter w:val="1"/>
          <w:wAfter w:w="7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0" w:type="dxa"/>
            <w:gridSpan w:val="5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Торможение только при помощи тормоза переднего (передних) колеса (колес):</w:t>
            </w:r>
          </w:p>
        </w:tc>
      </w:tr>
      <w:tr w:rsidR="00D97E85" w:rsidRPr="00F420FF" w:rsidTr="00B34E12">
        <w:tc>
          <w:tcPr>
            <w:tcW w:w="1302" w:type="dxa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3-1</w:t>
            </w:r>
          </w:p>
        </w:tc>
        <w:tc>
          <w:tcPr>
            <w:tcW w:w="3723" w:type="dxa"/>
            <w:gridSpan w:val="2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S ≤ 0,1 V + 0,0111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≥ 3,4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3-2</w:t>
            </w:r>
          </w:p>
        </w:tc>
        <w:tc>
          <w:tcPr>
            <w:tcW w:w="3723" w:type="dxa"/>
            <w:gridSpan w:val="2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S ≤ 0,1 V + 0,0143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≥ 2,7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3-3</w:t>
            </w:r>
          </w:p>
        </w:tc>
        <w:tc>
          <w:tcPr>
            <w:tcW w:w="3723" w:type="dxa"/>
            <w:gridSpan w:val="2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S ≤ 0,1 V + 0,0087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≥ 4,4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  <w:tcBorders>
              <w:bottom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3-4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S ≤ 0,1 V + 0,0105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≥ 3,6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  <w:tcBorders>
              <w:bottom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3-5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S ≤ 0,1 V + 0,0117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≥ 3,3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rPr>
          <w:gridAfter w:val="1"/>
          <w:wAfter w:w="7" w:type="dxa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50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pageBreakBefore/>
              <w:suppressAutoHyphens/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Торможение только при помощи тормоза заднего (задних) колеса (колес)</w:t>
            </w:r>
          </w:p>
        </w:tc>
      </w:tr>
      <w:tr w:rsidR="00D97E85" w:rsidRPr="00F420FF" w:rsidTr="00B34E12">
        <w:tc>
          <w:tcPr>
            <w:tcW w:w="1302" w:type="dxa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3-1</w:t>
            </w:r>
          </w:p>
        </w:tc>
        <w:tc>
          <w:tcPr>
            <w:tcW w:w="3737" w:type="dxa"/>
            <w:gridSpan w:val="3"/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S ≤ 0,1 V + 0,0143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spacing w:before="20" w:after="20" w:line="220" w:lineRule="exact"/>
              <w:rPr>
                <w:b/>
              </w:rPr>
            </w:pPr>
            <w:r w:rsidRPr="00F420FF">
              <w:rPr>
                <w:b/>
              </w:rPr>
              <w:t>≥ 2,7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3-2</w:t>
            </w:r>
          </w:p>
        </w:tc>
        <w:tc>
          <w:tcPr>
            <w:tcW w:w="3737" w:type="dxa"/>
            <w:gridSpan w:val="3"/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S ≤ 0,1 V + 0,0143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≥ 2,7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3-3</w:t>
            </w:r>
          </w:p>
        </w:tc>
        <w:tc>
          <w:tcPr>
            <w:tcW w:w="3737" w:type="dxa"/>
            <w:gridSpan w:val="3"/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S ≤ 0,1 V + 0,0133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≥ 2,9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  <w:tcBorders>
              <w:bottom w:val="single" w:sz="4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3-4</w:t>
            </w:r>
          </w:p>
        </w:tc>
        <w:tc>
          <w:tcPr>
            <w:tcW w:w="3737" w:type="dxa"/>
            <w:gridSpan w:val="3"/>
            <w:tcBorders>
              <w:bottom w:val="single" w:sz="4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S ≤ 0,1 V + 0,0105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≥ 3,6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  <w:tr w:rsidR="00D97E85" w:rsidRPr="00F420FF" w:rsidTr="00B34E12">
        <w:tc>
          <w:tcPr>
            <w:tcW w:w="1302" w:type="dxa"/>
            <w:tcBorders>
              <w:bottom w:val="single" w:sz="12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3-5</w:t>
            </w:r>
          </w:p>
        </w:tc>
        <w:tc>
          <w:tcPr>
            <w:tcW w:w="3737" w:type="dxa"/>
            <w:gridSpan w:val="3"/>
            <w:tcBorders>
              <w:bottom w:val="single" w:sz="12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S ≤ 0,1 V + 0,0117 V</w:t>
            </w:r>
            <w:r w:rsidRPr="00817ED5">
              <w:rPr>
                <w:b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8" w:type="dxa"/>
            <w:gridSpan w:val="2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97E85" w:rsidRPr="00F420FF" w:rsidRDefault="00D97E85" w:rsidP="00B34E12">
            <w:pPr>
              <w:spacing w:before="0" w:after="0" w:line="220" w:lineRule="exact"/>
              <w:rPr>
                <w:b/>
              </w:rPr>
            </w:pPr>
            <w:r w:rsidRPr="00F420FF">
              <w:rPr>
                <w:b/>
              </w:rPr>
              <w:t>≥ 3,3 м/с</w:t>
            </w:r>
            <w:r w:rsidRPr="00817ED5">
              <w:rPr>
                <w:b/>
                <w:vertAlign w:val="superscript"/>
              </w:rPr>
              <w:t>2</w:t>
            </w:r>
          </w:p>
        </w:tc>
      </w:tr>
    </w:tbl>
    <w:p w:rsidR="00D97E85" w:rsidRPr="00733178" w:rsidRDefault="00D97E85" w:rsidP="00D97E85">
      <w:pPr>
        <w:pStyle w:val="SingleTxtGR"/>
        <w:tabs>
          <w:tab w:val="clear" w:pos="1701"/>
        </w:tabs>
        <w:spacing w:before="120"/>
        <w:ind w:left="2268" w:hanging="1134"/>
        <w:jc w:val="right"/>
      </w:pPr>
      <w:r w:rsidRPr="00733178">
        <w:t>"</w:t>
      </w:r>
    </w:p>
    <w:p w:rsidR="00D97E85" w:rsidRPr="00691B3B" w:rsidRDefault="00D97E85" w:rsidP="00D97E85">
      <w:pPr>
        <w:pStyle w:val="SingleTxtGR"/>
        <w:keepNext/>
        <w:tabs>
          <w:tab w:val="clear" w:pos="1701"/>
        </w:tabs>
        <w:spacing w:before="120"/>
        <w:ind w:left="2268" w:hanging="1134"/>
      </w:pPr>
      <w:r w:rsidRPr="00691B3B">
        <w:rPr>
          <w:i/>
        </w:rPr>
        <w:t>Включить новые пункты 5−5.3</w:t>
      </w:r>
      <w:r w:rsidRPr="00691B3B">
        <w:t xml:space="preserve"> следующего содержания:</w:t>
      </w:r>
    </w:p>
    <w:p w:rsidR="00D97E85" w:rsidRPr="00691B3B" w:rsidRDefault="00D97E85" w:rsidP="00D97E85">
      <w:pPr>
        <w:pStyle w:val="SingleTxtGR"/>
        <w:keepNext/>
        <w:tabs>
          <w:tab w:val="clear" w:pos="1701"/>
          <w:tab w:val="clear" w:pos="3969"/>
        </w:tabs>
        <w:ind w:left="2268" w:hanging="1134"/>
        <w:rPr>
          <w:b/>
        </w:rPr>
      </w:pPr>
      <w:r w:rsidRPr="00691B3B">
        <w:t>"</w:t>
      </w:r>
      <w:r w:rsidRPr="00691B3B">
        <w:rPr>
          <w:b/>
        </w:rPr>
        <w:t>5.</w:t>
      </w:r>
      <w:r w:rsidRPr="00691B3B">
        <w:tab/>
      </w:r>
      <w:r w:rsidRPr="00691B3B">
        <w:rPr>
          <w:b/>
        </w:rPr>
        <w:t>Альтернативный метод определения пикового коэффициента торможения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</w:rPr>
      </w:pPr>
      <w:r w:rsidRPr="00691B3B">
        <w:rPr>
          <w:b/>
        </w:rPr>
        <w:t>5.1</w:t>
      </w:r>
      <w:r w:rsidRPr="00691B3B">
        <w:tab/>
      </w:r>
      <w:r w:rsidRPr="00691B3B">
        <w:rPr>
          <w:b/>
        </w:rPr>
        <w:t>Общие положения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</w:pPr>
      <w:r w:rsidRPr="00171436">
        <w:rPr>
          <w:b/>
        </w:rPr>
        <w:tab/>
      </w:r>
      <w:r w:rsidRPr="00691B3B">
        <w:rPr>
          <w:b/>
        </w:rPr>
        <w:t>а)</w:t>
      </w:r>
      <w:r w:rsidRPr="00691B3B">
        <w:rPr>
          <w:b/>
        </w:rPr>
        <w:tab/>
        <w:t>Цель данного испытания – установить пиковый коэффициент торможения (ПКТ) для транспортного средства, затормаживаемого на испытательных поверхностях, описание которых приводится в пунктах 4.1.1.1 и 4.1.1.2.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  <w:rPr>
          <w:b/>
        </w:rPr>
      </w:pPr>
      <w:r w:rsidRPr="00171436">
        <w:rPr>
          <w:b/>
        </w:rPr>
        <w:tab/>
      </w:r>
      <w:r w:rsidRPr="00691B3B">
        <w:rPr>
          <w:b/>
        </w:rPr>
        <w:t>b)</w:t>
      </w:r>
      <w:r w:rsidRPr="00691B3B">
        <w:tab/>
      </w:r>
      <w:r w:rsidRPr="00691B3B">
        <w:rPr>
          <w:b/>
        </w:rPr>
        <w:t>Испытание включает ряд остановок с различными усилиями воздействия на органы управления тормозной системы. Оба колеса должны быть заторможены одновременно до момента блокировки колес, с тем чтобы достичь максимального коэффициента замедления транспортного средства на данной испытательной поверхности.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  <w:rPr>
          <w:b/>
        </w:rPr>
      </w:pPr>
      <w:r w:rsidRPr="00171436">
        <w:rPr>
          <w:b/>
        </w:rPr>
        <w:tab/>
      </w:r>
      <w:r w:rsidRPr="00691B3B">
        <w:rPr>
          <w:b/>
        </w:rPr>
        <w:t>с)</w:t>
      </w:r>
      <w:r w:rsidRPr="00691B3B">
        <w:rPr>
          <w:b/>
        </w:rPr>
        <w:tab/>
        <w:t>За максимальный коэффициент замедления транспортного средства принимается наибольшая величина, зарегистрированная во время всех остановок в ходе испытаний.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3969"/>
        </w:tabs>
        <w:ind w:left="2835" w:hanging="1701"/>
        <w:rPr>
          <w:b/>
        </w:rPr>
      </w:pPr>
      <w:r w:rsidRPr="00171436">
        <w:rPr>
          <w:b/>
        </w:rPr>
        <w:tab/>
      </w:r>
      <w:r w:rsidRPr="00691B3B">
        <w:rPr>
          <w:b/>
        </w:rPr>
        <w:t>d)</w:t>
      </w:r>
      <w:r w:rsidRPr="00691B3B">
        <w:rPr>
          <w:b/>
        </w:rPr>
        <w:tab/>
        <w:t>ПКТ рассчитывается исходя из остановки в ходе испытания, когда достигается максимальный коэффициент замедления транспортного средства, следующим образом:</w:t>
      </w:r>
    </w:p>
    <w:p w:rsidR="00D97E85" w:rsidRPr="0080612C" w:rsidRDefault="00186E69" w:rsidP="00D97E85">
      <w:pPr>
        <w:pStyle w:val="SingleTxtGR"/>
        <w:jc w:val="center"/>
        <w:rPr>
          <w:spacing w:val="0"/>
          <w:kern w:val="24"/>
          <w:position w:val="28"/>
        </w:rPr>
      </w:pPr>
      <w:r>
        <w:pict>
          <v:shape id="_x0000_i1025" type="#_x0000_t75" style="width:73.2pt;height:30pt">
            <v:imagedata r:id="rId9" o:title=""/>
          </v:shape>
        </w:pict>
      </w:r>
      <w:r w:rsidR="00D97E85" w:rsidRPr="0080612C">
        <w:rPr>
          <w:spacing w:val="0"/>
          <w:position w:val="28"/>
        </w:rPr>
        <w:t>,</w:t>
      </w:r>
    </w:p>
    <w:p w:rsidR="00D97E85" w:rsidRPr="00691B3B" w:rsidRDefault="00D97E85" w:rsidP="00D97E85">
      <w:pPr>
        <w:pStyle w:val="SingleTxtGR"/>
        <w:ind w:left="2268"/>
        <w:rPr>
          <w:b/>
        </w:rPr>
      </w:pPr>
      <w:r w:rsidRPr="00171436">
        <w:rPr>
          <w:b/>
        </w:rPr>
        <w:tab/>
      </w:r>
      <w:r w:rsidRPr="00691B3B">
        <w:rPr>
          <w:b/>
        </w:rPr>
        <w:t xml:space="preserve">где: 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2268"/>
          <w:tab w:val="clear" w:pos="3969"/>
          <w:tab w:val="left" w:pos="3119"/>
        </w:tabs>
        <w:ind w:left="3402" w:hanging="2268"/>
        <w:rPr>
          <w:b/>
        </w:rPr>
      </w:pPr>
      <w:r w:rsidRPr="00032DFF">
        <w:rPr>
          <w:b/>
        </w:rPr>
        <w:tab/>
      </w:r>
      <w:r w:rsidRPr="00691B3B">
        <w:rPr>
          <w:b/>
        </w:rPr>
        <w:t>t</w:t>
      </w:r>
      <w:r w:rsidRPr="00B2712B">
        <w:rPr>
          <w:b/>
        </w:rPr>
        <w:tab/>
      </w:r>
      <w:r w:rsidRPr="00691B3B">
        <w:rPr>
          <w:b/>
        </w:rPr>
        <w:t>−</w:t>
      </w:r>
      <w:r w:rsidRPr="00B2712B">
        <w:rPr>
          <w:b/>
        </w:rPr>
        <w:tab/>
      </w:r>
      <w:r w:rsidRPr="00691B3B">
        <w:rPr>
          <w:b/>
        </w:rPr>
        <w:t>время в секундах, необходимое для снижения скорости транспортного средства с 40 км/ч до 20 км/ч.</w:t>
      </w:r>
    </w:p>
    <w:p w:rsidR="00D97E85" w:rsidRPr="00691B3B" w:rsidRDefault="00D97E85" w:rsidP="00D97E85">
      <w:pPr>
        <w:pStyle w:val="SingleTxtGR"/>
        <w:tabs>
          <w:tab w:val="clear" w:pos="1701"/>
          <w:tab w:val="clear" w:pos="2268"/>
          <w:tab w:val="clear" w:pos="3969"/>
          <w:tab w:val="left" w:pos="3119"/>
        </w:tabs>
        <w:ind w:left="2835" w:hanging="1701"/>
        <w:rPr>
          <w:b/>
        </w:rPr>
      </w:pPr>
      <w:r w:rsidRPr="00B2712B">
        <w:rPr>
          <w:b/>
          <w:i/>
        </w:rPr>
        <w:tab/>
      </w:r>
      <w:r w:rsidRPr="00691B3B">
        <w:rPr>
          <w:b/>
          <w:i/>
        </w:rPr>
        <w:t>Примечание:</w:t>
      </w:r>
      <w:r w:rsidRPr="00B2712B">
        <w:rPr>
          <w:b/>
          <w:i/>
        </w:rPr>
        <w:t xml:space="preserve"> </w:t>
      </w:r>
      <w:r w:rsidRPr="00691B3B">
        <w:rPr>
          <w:b/>
        </w:rPr>
        <w:t>Для транспортных средств, которые неспособны достичь испытательной скорости 50 км/ч, ПКТ измеряется следующим образом:</w:t>
      </w:r>
    </w:p>
    <w:p w:rsidR="00D97E85" w:rsidRPr="0080612C" w:rsidRDefault="00186E69" w:rsidP="00B64BEA">
      <w:pPr>
        <w:pStyle w:val="SingleTxtGR"/>
        <w:pageBreakBefore/>
        <w:jc w:val="center"/>
        <w:rPr>
          <w:spacing w:val="0"/>
          <w:kern w:val="24"/>
          <w:position w:val="28"/>
        </w:rPr>
      </w:pPr>
      <w:r>
        <w:pict>
          <v:shape id="_x0000_i1026" type="#_x0000_t75" style="width:73.2pt;height:30pt">
            <v:imagedata r:id="rId9" o:title=""/>
          </v:shape>
        </w:pict>
      </w:r>
      <w:r w:rsidR="00D97E85" w:rsidRPr="0080612C">
        <w:rPr>
          <w:spacing w:val="0"/>
          <w:position w:val="28"/>
        </w:rPr>
        <w:t>,</w:t>
      </w:r>
    </w:p>
    <w:p w:rsidR="00D97E85" w:rsidRPr="00032DFF" w:rsidRDefault="00D97E85" w:rsidP="00B64BEA">
      <w:pPr>
        <w:pStyle w:val="SingleTxtGR"/>
        <w:ind w:left="2268"/>
        <w:rPr>
          <w:b/>
        </w:rPr>
      </w:pPr>
      <w:r w:rsidRPr="00171436">
        <w:rPr>
          <w:b/>
        </w:rPr>
        <w:tab/>
      </w:r>
      <w:r w:rsidRPr="00032DFF">
        <w:rPr>
          <w:b/>
        </w:rPr>
        <w:t xml:space="preserve">где: </w:t>
      </w:r>
    </w:p>
    <w:p w:rsidR="00D97E85" w:rsidRPr="00032DFF" w:rsidRDefault="00D97E85" w:rsidP="00D97E85">
      <w:pPr>
        <w:pStyle w:val="SingleTxtGR"/>
        <w:tabs>
          <w:tab w:val="clear" w:pos="1701"/>
          <w:tab w:val="clear" w:pos="2268"/>
          <w:tab w:val="clear" w:pos="3969"/>
          <w:tab w:val="left" w:pos="3119"/>
        </w:tabs>
        <w:ind w:left="3402" w:hanging="2268"/>
        <w:rPr>
          <w:b/>
        </w:rPr>
      </w:pPr>
      <w:r w:rsidRPr="00123A1A">
        <w:rPr>
          <w:b/>
        </w:rPr>
        <w:tab/>
      </w:r>
      <w:r w:rsidRPr="00032DFF">
        <w:rPr>
          <w:b/>
        </w:rPr>
        <w:t>t</w:t>
      </w:r>
      <w:r w:rsidRPr="00475FB4">
        <w:rPr>
          <w:b/>
        </w:rPr>
        <w:tab/>
      </w:r>
      <w:r w:rsidRPr="00032DFF">
        <w:rPr>
          <w:b/>
        </w:rPr>
        <w:t>−</w:t>
      </w:r>
      <w:r w:rsidRPr="00475FB4">
        <w:rPr>
          <w:b/>
        </w:rPr>
        <w:tab/>
      </w:r>
      <w:r w:rsidRPr="00032DFF">
        <w:rPr>
          <w:b/>
        </w:rPr>
        <w:t xml:space="preserve">время в секундах, необходимое для снижения </w:t>
      </w:r>
      <w:r>
        <w:rPr>
          <w:b/>
        </w:rPr>
        <w:br/>
      </w:r>
      <w:r w:rsidRPr="00032DFF">
        <w:rPr>
          <w:b/>
        </w:rPr>
        <w:t>скорости транспортного средства с 0,8 V</w:t>
      </w:r>
      <w:r w:rsidRPr="00015813">
        <w:rPr>
          <w:b/>
          <w:vertAlign w:val="subscript"/>
        </w:rPr>
        <w:t>max</w:t>
      </w:r>
      <w:r w:rsidRPr="00032DFF">
        <w:rPr>
          <w:b/>
        </w:rPr>
        <w:t xml:space="preserve"> до </w:t>
      </w:r>
      <w:r>
        <w:rPr>
          <w:b/>
        </w:rPr>
        <w:br/>
      </w:r>
      <w:r w:rsidRPr="00032DFF">
        <w:rPr>
          <w:b/>
        </w:rPr>
        <w:t>(0,8 V</w:t>
      </w:r>
      <w:r w:rsidRPr="00015813">
        <w:rPr>
          <w:b/>
          <w:vertAlign w:val="subscript"/>
        </w:rPr>
        <w:t>max</w:t>
      </w:r>
      <w:r w:rsidRPr="00032DFF">
        <w:rPr>
          <w:b/>
        </w:rPr>
        <w:t xml:space="preserve"> − 20), где V</w:t>
      </w:r>
      <w:r w:rsidRPr="00015813">
        <w:rPr>
          <w:b/>
          <w:vertAlign w:val="subscript"/>
        </w:rPr>
        <w:t>max</w:t>
      </w:r>
      <w:r w:rsidRPr="00032DFF">
        <w:rPr>
          <w:b/>
        </w:rPr>
        <w:t xml:space="preserve"> измеряется в км/ч.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e)</w:t>
      </w:r>
      <w:r w:rsidRPr="00032DFF">
        <w:rPr>
          <w:b/>
        </w:rPr>
        <w:tab/>
        <w:t>Величина ПКТ округляется до второго знака после запятой.</w:t>
      </w:r>
    </w:p>
    <w:p w:rsidR="00D97E85" w:rsidRPr="00032DFF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</w:rPr>
      </w:pPr>
      <w:r w:rsidRPr="00032DFF">
        <w:rPr>
          <w:b/>
        </w:rPr>
        <w:t>5.2</w:t>
      </w:r>
      <w:r w:rsidRPr="00032DFF">
        <w:rPr>
          <w:b/>
        </w:rPr>
        <w:tab/>
        <w:t>Состояние транспортного средства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а)</w:t>
      </w:r>
      <w:r w:rsidRPr="00032DFF">
        <w:rPr>
          <w:b/>
        </w:rPr>
        <w:tab/>
        <w:t>Данному испытанию подвергаются транспортные средства категорий 3-1 и 3-3.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b)</w:t>
      </w:r>
      <w:r w:rsidRPr="00032DFF">
        <w:rPr>
          <w:b/>
        </w:rPr>
        <w:tab/>
        <w:t>Антиблокировочная система должна находиться в неработающем состоянии в диапазоне 40 км/ч – 20 км/ч.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c)</w:t>
      </w:r>
      <w:r w:rsidRPr="00032DFF">
        <w:rPr>
          <w:b/>
        </w:rPr>
        <w:tab/>
        <w:t>Легкогруженое транспортное средство.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d)</w:t>
      </w:r>
      <w:r w:rsidRPr="00032DFF">
        <w:rPr>
          <w:b/>
        </w:rPr>
        <w:tab/>
        <w:t>Двигатель отсоединен.</w:t>
      </w:r>
    </w:p>
    <w:p w:rsidR="00D97E85" w:rsidRPr="00032DFF" w:rsidRDefault="00D97E85" w:rsidP="00D97E85">
      <w:pPr>
        <w:pStyle w:val="SingleTxtGR"/>
        <w:tabs>
          <w:tab w:val="clear" w:pos="1701"/>
          <w:tab w:val="clear" w:pos="3969"/>
        </w:tabs>
        <w:ind w:left="2268" w:hanging="1134"/>
        <w:rPr>
          <w:b/>
        </w:rPr>
      </w:pPr>
      <w:r w:rsidRPr="00032DFF">
        <w:rPr>
          <w:b/>
        </w:rPr>
        <w:t>5.3</w:t>
      </w:r>
      <w:r w:rsidRPr="00032DFF">
        <w:rPr>
          <w:b/>
        </w:rPr>
        <w:tab/>
        <w:t>Условия и процедура испытания: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a)</w:t>
      </w:r>
      <w:r w:rsidRPr="00032DFF">
        <w:rPr>
          <w:b/>
        </w:rPr>
        <w:tab/>
        <w:t xml:space="preserve">Начальная температура тормоза: ≥ 55 °C </w:t>
      </w:r>
      <w:r>
        <w:rPr>
          <w:b/>
        </w:rPr>
        <w:t>−</w:t>
      </w:r>
      <w:r w:rsidRPr="00032DFF">
        <w:rPr>
          <w:b/>
        </w:rPr>
        <w:t xml:space="preserve"> ≤ 100 °C.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b)</w:t>
      </w:r>
      <w:r w:rsidRPr="00032DFF">
        <w:rPr>
          <w:b/>
        </w:rPr>
        <w:tab/>
        <w:t>Испытательная скорость: 60 км/ч или 0,9 V</w:t>
      </w:r>
      <w:r w:rsidRPr="00672CAD">
        <w:rPr>
          <w:b/>
          <w:vertAlign w:val="subscript"/>
        </w:rPr>
        <w:t>max</w:t>
      </w:r>
      <w:r w:rsidRPr="00032DFF">
        <w:rPr>
          <w:b/>
        </w:rPr>
        <w:t xml:space="preserve"> в зависимости от того, какая из этих величин меньше.</w:t>
      </w:r>
    </w:p>
    <w:p w:rsidR="00D97E85" w:rsidRPr="00032DFF" w:rsidRDefault="00D97E85" w:rsidP="00D97E85">
      <w:pPr>
        <w:pStyle w:val="SingleTxtGR"/>
        <w:ind w:left="2835" w:hanging="567"/>
        <w:rPr>
          <w:b/>
          <w:bCs/>
        </w:rPr>
      </w:pPr>
      <w:r w:rsidRPr="00032DFF">
        <w:rPr>
          <w:b/>
        </w:rPr>
        <w:t>с)</w:t>
      </w:r>
      <w:r w:rsidRPr="00032DFF">
        <w:rPr>
          <w:b/>
        </w:rPr>
        <w:tab/>
        <w:t>Применение тормозов:</w:t>
      </w:r>
    </w:p>
    <w:p w:rsidR="00D97E85" w:rsidRPr="00032DFF" w:rsidRDefault="00D97E85" w:rsidP="00D97E85">
      <w:pPr>
        <w:pStyle w:val="SingleTxtGR"/>
        <w:ind w:left="2835"/>
        <w:rPr>
          <w:b/>
        </w:rPr>
      </w:pPr>
      <w:r w:rsidRPr="00032DFF">
        <w:rPr>
          <w:b/>
        </w:rPr>
        <w:t>Одновременное приведение в действие обоих органов управления системой рабочего тормоза, если такое оборудование установлено, либо единого органа управления системой рабочего тормоза в случае системы рабочего тормоза, воздействующей на все колеса.</w:t>
      </w:r>
    </w:p>
    <w:p w:rsidR="00D97E85" w:rsidRPr="00032DFF" w:rsidRDefault="00D97E85" w:rsidP="00D97E85">
      <w:pPr>
        <w:pStyle w:val="SingleTxtGR"/>
        <w:ind w:left="2835"/>
        <w:rPr>
          <w:b/>
        </w:rPr>
      </w:pPr>
      <w:r w:rsidRPr="00032DFF">
        <w:rPr>
          <w:b/>
        </w:rPr>
        <w:t>Для транспортных средств, оснащенных единым органом управления системы рабочего тормоза, может оказаться необходимым изменить тормозную систему, если одно из колес не обеспечивает максимального замедления.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d)</w:t>
      </w:r>
      <w:r w:rsidRPr="00032DFF">
        <w:rPr>
          <w:b/>
        </w:rPr>
        <w:tab/>
        <w:t>Тормозное усилие:</w:t>
      </w:r>
    </w:p>
    <w:p w:rsidR="00D97E85" w:rsidRPr="00032DFF" w:rsidRDefault="00D97E85" w:rsidP="00D97E85">
      <w:pPr>
        <w:pStyle w:val="SingleTxtGR"/>
        <w:ind w:left="2835"/>
        <w:rPr>
          <w:b/>
        </w:rPr>
      </w:pPr>
      <w:r w:rsidRPr="00032DFF">
        <w:rPr>
          <w:b/>
        </w:rPr>
        <w:t>Усилие воздействия на орган управления, обеспечивающее максимальный коэффициент замедления транспортного средства, определенный в пункте 6.1 с).</w:t>
      </w:r>
    </w:p>
    <w:p w:rsidR="00D97E85" w:rsidRPr="00032DFF" w:rsidRDefault="00D97E85" w:rsidP="00D97E85">
      <w:pPr>
        <w:pStyle w:val="SingleTxtGR"/>
        <w:ind w:left="2835"/>
        <w:rPr>
          <w:b/>
        </w:rPr>
      </w:pPr>
      <w:r w:rsidRPr="00032DFF">
        <w:rPr>
          <w:b/>
        </w:rPr>
        <w:t>Усилие воздействия на орган управления, прилагаемое во время торможения, должно быть постоянным.</w:t>
      </w:r>
    </w:p>
    <w:p w:rsidR="00D97E85" w:rsidRPr="00032DFF" w:rsidRDefault="00D97E85" w:rsidP="00D97E85">
      <w:pPr>
        <w:pStyle w:val="SingleTxtGR"/>
        <w:ind w:left="2835" w:hanging="567"/>
        <w:rPr>
          <w:b/>
        </w:rPr>
      </w:pPr>
      <w:r w:rsidRPr="00032DFF">
        <w:rPr>
          <w:b/>
        </w:rPr>
        <w:t>е)</w:t>
      </w:r>
      <w:r w:rsidRPr="00032DFF">
        <w:rPr>
          <w:b/>
        </w:rPr>
        <w:tab/>
        <w:t>Число остановок:</w:t>
      </w:r>
      <w:r>
        <w:rPr>
          <w:b/>
        </w:rPr>
        <w:t xml:space="preserve"> </w:t>
      </w:r>
      <w:r w:rsidRPr="00032DFF">
        <w:rPr>
          <w:b/>
        </w:rPr>
        <w:t>пока транспортное средство не достигнет своего максимального коэффициента замедления.</w:t>
      </w:r>
    </w:p>
    <w:p w:rsidR="00931755" w:rsidRDefault="00D97E85" w:rsidP="002C2BF2">
      <w:pPr>
        <w:pStyle w:val="SingleTxtGR"/>
        <w:ind w:left="2835" w:hanging="567"/>
      </w:pPr>
      <w:r w:rsidRPr="00032DFF">
        <w:rPr>
          <w:b/>
        </w:rPr>
        <w:t>f)</w:t>
      </w:r>
      <w:r w:rsidRPr="00032DFF">
        <w:rPr>
          <w:b/>
        </w:rPr>
        <w:tab/>
        <w:t>В случае каждой остановки транспортное средство разгоняется до испытательной скорости, после чего приводит</w:t>
      </w:r>
      <w:r>
        <w:rPr>
          <w:b/>
        </w:rPr>
        <w:t>ся(я</w:t>
      </w:r>
      <w:r w:rsidRPr="00032DFF">
        <w:rPr>
          <w:b/>
        </w:rPr>
        <w:t>тся) в действие орган(ы) управления тормозной системы в соответствии с условиями, указанными в настоящем пункт</w:t>
      </w:r>
      <w:r>
        <w:rPr>
          <w:b/>
        </w:rPr>
        <w:t>е</w:t>
      </w:r>
      <w:r w:rsidRPr="00C77ECA">
        <w:t>"</w:t>
      </w:r>
      <w:r>
        <w:t>.</w:t>
      </w:r>
    </w:p>
    <w:p w:rsidR="00220626" w:rsidRPr="006D5AE2" w:rsidRDefault="00931755" w:rsidP="00931755">
      <w:pPr>
        <w:pStyle w:val="HChGR"/>
      </w:pPr>
      <w:r>
        <w:br w:type="page"/>
      </w:r>
      <w:bookmarkStart w:id="1" w:name="_Toc283124934"/>
      <w:bookmarkStart w:id="2" w:name="_Toc329088793"/>
      <w:r w:rsidR="00220626" w:rsidRPr="00C71A66">
        <w:tab/>
      </w:r>
      <w:bookmarkEnd w:id="1"/>
      <w:bookmarkEnd w:id="2"/>
      <w:r w:rsidR="00220626" w:rsidRPr="00C71A66">
        <w:tab/>
      </w:r>
      <w:r w:rsidR="00220626">
        <w:t>О</w:t>
      </w:r>
      <w:r w:rsidR="00220626" w:rsidRPr="00CE4370">
        <w:t>кончательный</w:t>
      </w:r>
      <w:r w:rsidR="00220626" w:rsidRPr="006D5AE2">
        <w:t xml:space="preserve"> </w:t>
      </w:r>
      <w:r w:rsidR="00220626" w:rsidRPr="00CE4370">
        <w:t>отчет</w:t>
      </w:r>
      <w:r w:rsidR="00220626" w:rsidRPr="006D5AE2">
        <w:t xml:space="preserve"> </w:t>
      </w:r>
      <w:r w:rsidR="00220626" w:rsidRPr="00CE4370">
        <w:t>о</w:t>
      </w:r>
      <w:r w:rsidR="00220626" w:rsidRPr="006D5AE2">
        <w:t xml:space="preserve"> </w:t>
      </w:r>
      <w:r w:rsidR="00220626" w:rsidRPr="00CE4370">
        <w:t>внесении</w:t>
      </w:r>
      <w:r w:rsidR="00220626" w:rsidRPr="006D5AE2">
        <w:t xml:space="preserve"> </w:t>
      </w:r>
      <w:r w:rsidR="00220626" w:rsidRPr="00CE4370">
        <w:t>поправки</w:t>
      </w:r>
      <w:r w:rsidR="00220626" w:rsidRPr="006D5AE2">
        <w:t xml:space="preserve"> </w:t>
      </w:r>
      <w:r w:rsidR="00220626">
        <w:br/>
      </w:r>
      <w:r w:rsidR="00220626" w:rsidRPr="00CE4370">
        <w:t>в</w:t>
      </w:r>
      <w:r w:rsidR="00220626" w:rsidRPr="006D5AE2">
        <w:t xml:space="preserve"> </w:t>
      </w:r>
      <w:r w:rsidR="00220626" w:rsidRPr="00CE4370">
        <w:t>ГТП</w:t>
      </w:r>
      <w:r w:rsidR="00220626" w:rsidRPr="006D5AE2">
        <w:t xml:space="preserve"> </w:t>
      </w:r>
      <w:r w:rsidR="00220626">
        <w:t>№ 3</w:t>
      </w:r>
    </w:p>
    <w:p w:rsidR="00220626" w:rsidRPr="00D520D3" w:rsidRDefault="00220626" w:rsidP="00220626">
      <w:pPr>
        <w:pStyle w:val="SingleTxtGR"/>
      </w:pPr>
      <w:r w:rsidRPr="00310F9D">
        <w:t>1.</w:t>
      </w:r>
      <w:r w:rsidRPr="00310F9D">
        <w:tab/>
      </w:r>
      <w:r>
        <w:t>Исполнительный комитет Соглашения 1998 года (АС.3) рассмотрел предложение Италии по внесению поправки в Глобальные</w:t>
      </w:r>
      <w:r w:rsidRPr="00423DD6">
        <w:t xml:space="preserve"> технически</w:t>
      </w:r>
      <w:r>
        <w:t>е</w:t>
      </w:r>
      <w:r w:rsidRPr="00423DD6">
        <w:t xml:space="preserve"> правил</w:t>
      </w:r>
      <w:r>
        <w:t>а № 3, касающие</w:t>
      </w:r>
      <w:r w:rsidRPr="00423DD6">
        <w:t xml:space="preserve">ся торможения мотоциклов, на своей </w:t>
      </w:r>
      <w:r>
        <w:t>тридцать девят</w:t>
      </w:r>
      <w:r w:rsidRPr="00423DD6">
        <w:t>ой сессии в ноябре 20</w:t>
      </w:r>
      <w:r>
        <w:t>13</w:t>
      </w:r>
      <w:r w:rsidRPr="00423DD6">
        <w:t xml:space="preserve"> года (ECE/TRANS/WP.29/AC.3/</w:t>
      </w:r>
      <w:r>
        <w:t>37</w:t>
      </w:r>
      <w:r w:rsidRPr="00423DD6">
        <w:t>).</w:t>
      </w:r>
      <w:r>
        <w:t xml:space="preserve"> </w:t>
      </w:r>
      <w:r w:rsidRPr="00C31802">
        <w:t>Представленная</w:t>
      </w:r>
      <w:r w:rsidRPr="00D520D3">
        <w:t xml:space="preserve"> </w:t>
      </w:r>
      <w:r w:rsidRPr="00C31802">
        <w:t>поправка</w:t>
      </w:r>
      <w:r w:rsidRPr="00D520D3">
        <w:t xml:space="preserve"> </w:t>
      </w:r>
      <w:r w:rsidRPr="00C31802">
        <w:t>предлагается</w:t>
      </w:r>
      <w:r w:rsidRPr="00D520D3">
        <w:t xml:space="preserve"> </w:t>
      </w:r>
      <w:r w:rsidRPr="00C31802">
        <w:t>в</w:t>
      </w:r>
      <w:r w:rsidRPr="00D520D3">
        <w:t xml:space="preserve"> </w:t>
      </w:r>
      <w:r>
        <w:t>контексте</w:t>
      </w:r>
      <w:r w:rsidRPr="00D520D3">
        <w:t xml:space="preserve"> </w:t>
      </w:r>
      <w:r>
        <w:t>упрощения</w:t>
      </w:r>
      <w:r w:rsidRPr="00D520D3">
        <w:t xml:space="preserve"> </w:t>
      </w:r>
      <w:r>
        <w:t>Правил</w:t>
      </w:r>
      <w:r w:rsidRPr="00D520D3">
        <w:t xml:space="preserve"> № 78.</w:t>
      </w:r>
    </w:p>
    <w:p w:rsidR="00220626" w:rsidRPr="00EB7963" w:rsidRDefault="00220626" w:rsidP="00220626">
      <w:pPr>
        <w:pStyle w:val="SingleTxtGR"/>
      </w:pPr>
      <w:r w:rsidRPr="00D50C32">
        <w:t>2.</w:t>
      </w:r>
      <w:r w:rsidRPr="00D50C32">
        <w:tab/>
      </w:r>
      <w:r>
        <w:t>Предложение</w:t>
      </w:r>
      <w:r w:rsidRPr="00D50C32">
        <w:t xml:space="preserve"> </w:t>
      </w:r>
      <w:r>
        <w:t>по</w:t>
      </w:r>
      <w:r w:rsidRPr="00D50C32">
        <w:t xml:space="preserve"> </w:t>
      </w:r>
      <w:r>
        <w:t>внесению</w:t>
      </w:r>
      <w:r w:rsidRPr="00D50C32">
        <w:t xml:space="preserve"> </w:t>
      </w:r>
      <w:r>
        <w:t>поправки</w:t>
      </w:r>
      <w:r w:rsidRPr="00D50C32">
        <w:t xml:space="preserve"> </w:t>
      </w:r>
      <w:r>
        <w:t>в</w:t>
      </w:r>
      <w:r w:rsidRPr="00D50C32">
        <w:t xml:space="preserve"> </w:t>
      </w:r>
      <w:r>
        <w:t>данные</w:t>
      </w:r>
      <w:r w:rsidRPr="00D50C32">
        <w:t xml:space="preserve"> </w:t>
      </w:r>
      <w:r>
        <w:t>ГТП</w:t>
      </w:r>
      <w:r w:rsidRPr="00D50C32">
        <w:t xml:space="preserve"> </w:t>
      </w:r>
      <w:r>
        <w:t>было</w:t>
      </w:r>
      <w:r w:rsidRPr="00D50C32">
        <w:t xml:space="preserve"> </w:t>
      </w:r>
      <w:r>
        <w:t>передано</w:t>
      </w:r>
      <w:r w:rsidRPr="00D50C32">
        <w:t xml:space="preserve"> </w:t>
      </w:r>
      <w:r>
        <w:t>Рабочей</w:t>
      </w:r>
      <w:r w:rsidRPr="00D50C32">
        <w:t xml:space="preserve"> </w:t>
      </w:r>
      <w:r>
        <w:t>группе</w:t>
      </w:r>
      <w:r w:rsidRPr="00D50C32">
        <w:t xml:space="preserve"> </w:t>
      </w:r>
      <w:r w:rsidRPr="00C71A66">
        <w:t>по вопросам торможения и ходовой части (GRRF)</w:t>
      </w:r>
      <w:r>
        <w:t xml:space="preserve"> в целях ее разработки</w:t>
      </w:r>
      <w:r w:rsidRPr="00EB7963">
        <w:t>.</w:t>
      </w:r>
    </w:p>
    <w:p w:rsidR="00220626" w:rsidRDefault="00220626" w:rsidP="00220626">
      <w:pPr>
        <w:pStyle w:val="SingleTxtGR"/>
      </w:pPr>
      <w:r w:rsidRPr="00EB7963">
        <w:t>3.</w:t>
      </w:r>
      <w:r w:rsidRPr="00EB7963">
        <w:tab/>
      </w:r>
      <w:r>
        <w:t xml:space="preserve">На своей семьдесят восьмой сессии GRRF рекомендовала соответствующий проект поправки 2 к ГТП № 3 </w:t>
      </w:r>
      <w:r w:rsidRPr="006613FD">
        <w:t>в целях ее введения в Глобальный регистр (ECE/TRANS/WP.29/GRRF/</w:t>
      </w:r>
      <w:r>
        <w:t>78</w:t>
      </w:r>
      <w:r w:rsidRPr="006613FD">
        <w:t>, пункт</w:t>
      </w:r>
      <w:r>
        <w:t xml:space="preserve"> 2</w:t>
      </w:r>
      <w:r w:rsidRPr="006613FD">
        <w:t>1)</w:t>
      </w:r>
      <w:r>
        <w:t xml:space="preserve"> на своей сессии в марте 2015 года</w:t>
      </w:r>
      <w:r w:rsidRPr="006613FD">
        <w:t>.</w:t>
      </w:r>
      <w:r>
        <w:t xml:space="preserve"> Эта поправка </w:t>
      </w:r>
      <w:r w:rsidRPr="003D15D5">
        <w:t>уточн</w:t>
      </w:r>
      <w:r>
        <w:t xml:space="preserve">яет </w:t>
      </w:r>
      <w:r w:rsidRPr="003D15D5">
        <w:t>текст ГТП № 3, касающи</w:t>
      </w:r>
      <w:r>
        <w:t>й</w:t>
      </w:r>
      <w:r w:rsidRPr="003D15D5">
        <w:t xml:space="preserve">ся тормозных систем мотоциклов, с учетом обеспокоенности </w:t>
      </w:r>
      <w:r>
        <w:t>по поводу</w:t>
      </w:r>
      <w:r w:rsidRPr="003D15D5">
        <w:t xml:space="preserve"> возможной путаницы, связанной с толкованием терминов "дезактивирована" и "отключена".</w:t>
      </w:r>
      <w:r>
        <w:t xml:space="preserve"> Она также предусматривает исправление некоторых перекрестных ссылок и заголовков и вводит в действие требования к испытанию на отказ для </w:t>
      </w:r>
      <w:r w:rsidRPr="00F8428D">
        <w:t>комбинированных тормозных систем (КТС)</w:t>
      </w:r>
      <w:r>
        <w:t xml:space="preserve"> с целью отразить в них последние наработки в области тормозных систем</w:t>
      </w:r>
      <w:r w:rsidRPr="008B1A55">
        <w:t>.</w:t>
      </w:r>
    </w:p>
    <w:p w:rsidR="00D97E85" w:rsidRPr="00D97E85" w:rsidRDefault="00220626" w:rsidP="00FD723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7E85" w:rsidRPr="00D97E85" w:rsidSect="00BA3D5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89" w:rsidRDefault="00D87189">
      <w:r>
        <w:rPr>
          <w:lang w:val="en-US"/>
        </w:rPr>
        <w:tab/>
      </w:r>
      <w:r>
        <w:separator/>
      </w:r>
    </w:p>
  </w:endnote>
  <w:endnote w:type="continuationSeparator" w:id="0">
    <w:p w:rsidR="00D87189" w:rsidRDefault="00D8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9" w:rsidRPr="00F005B1" w:rsidRDefault="00D8718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6E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 w:rsidR="00F005B1">
      <w:rPr>
        <w:lang w:val="en-US"/>
      </w:rPr>
      <w:t>5</w:t>
    </w:r>
    <w:r>
      <w:rPr>
        <w:lang w:val="en-US"/>
      </w:rPr>
      <w:t>-</w:t>
    </w:r>
    <w:r w:rsidR="00F005B1">
      <w:rPr>
        <w:lang w:val="en-US"/>
      </w:rPr>
      <w:t>09637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9" w:rsidRPr="009A6F4A" w:rsidRDefault="00D87189">
    <w:pPr>
      <w:pStyle w:val="Footer"/>
      <w:rPr>
        <w:lang w:val="en-US"/>
      </w:rPr>
    </w:pPr>
    <w:r>
      <w:rPr>
        <w:lang w:val="en-US"/>
      </w:rPr>
      <w:t>GE.</w:t>
    </w:r>
    <w:r w:rsidR="00F005B1">
      <w:rPr>
        <w:lang w:val="en-US"/>
      </w:rPr>
      <w:t>15</w:t>
    </w:r>
    <w:r>
      <w:rPr>
        <w:lang w:val="en-US"/>
      </w:rPr>
      <w:t>-</w:t>
    </w:r>
    <w:r w:rsidR="00F005B1">
      <w:rPr>
        <w:lang w:val="en-US"/>
      </w:rPr>
      <w:t>09637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78F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65"/>
      <w:gridCol w:w="4606"/>
      <w:gridCol w:w="1584"/>
    </w:tblGrid>
    <w:tr w:rsidR="008C3F35" w:rsidTr="00B34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8C3F35" w:rsidRDefault="008C3F35" w:rsidP="00DA6D42">
          <w:r>
            <w:rPr>
              <w:lang w:val="en-US"/>
            </w:rPr>
            <w:t>GE.15-</w:t>
          </w:r>
          <w:r w:rsidR="00DA6D42">
            <w:rPr>
              <w:lang w:val="en-US"/>
            </w:rPr>
            <w:t>09637</w:t>
          </w:r>
          <w:r>
            <w:rPr>
              <w:lang w:val="en-US"/>
            </w:rPr>
            <w:t xml:space="preserve">  (R)</w:t>
          </w:r>
          <w:r w:rsidR="00DA6D42">
            <w:rPr>
              <w:lang w:val="en-US"/>
            </w:rPr>
            <w:t xml:space="preserve">  290615  290615</w:t>
          </w:r>
        </w:p>
      </w:tc>
      <w:tc>
        <w:tcPr>
          <w:tcW w:w="4663" w:type="dxa"/>
          <w:vMerge w:val="restart"/>
          <w:vAlign w:val="bottom"/>
        </w:tcPr>
        <w:p w:rsidR="008C3F35" w:rsidRDefault="00186E69" w:rsidP="00B34E12">
          <w:pPr>
            <w:spacing w:after="120"/>
            <w:jc w:val="right"/>
          </w:pPr>
          <w:r>
            <w:rPr>
              <w:b/>
              <w:noProof/>
              <w:sz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7" type="#_x0000_t75" alt="recycle_Russian" style="width:213pt;height:18pt;visibility:visible;mso-wrap-style:square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8C3F35" w:rsidRDefault="00186E69" w:rsidP="00B34E12">
          <w:pPr>
            <w:jc w:val="right"/>
          </w:pPr>
          <w:r>
            <w:rPr>
              <w:sz w:val="20"/>
            </w:rPr>
            <w:pict>
              <v:shape id="_x0000_i1028" type="#_x0000_t75" style="width:68.4pt;height:68.4pt">
                <v:imagedata r:id="rId2" o:title="Appendix 1&amp;Size=2&amp;Lang=R"/>
              </v:shape>
            </w:pict>
          </w:r>
        </w:p>
      </w:tc>
    </w:tr>
    <w:tr w:rsidR="008C3F35" w:rsidRPr="00797A78" w:rsidTr="00B34E12">
      <w:tc>
        <w:tcPr>
          <w:tcW w:w="4068" w:type="dxa"/>
          <w:vAlign w:val="bottom"/>
        </w:tcPr>
        <w:p w:rsidR="008C3F35" w:rsidRPr="00E5742D" w:rsidRDefault="00E5742D" w:rsidP="00B34E1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5742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C3F35" w:rsidRDefault="008C3F35" w:rsidP="00B34E12"/>
      </w:tc>
      <w:tc>
        <w:tcPr>
          <w:tcW w:w="1124" w:type="dxa"/>
          <w:vMerge/>
        </w:tcPr>
        <w:p w:rsidR="008C3F35" w:rsidRDefault="008C3F35" w:rsidP="00B34E12"/>
      </w:tc>
    </w:tr>
  </w:tbl>
  <w:p w:rsidR="00D87189" w:rsidRPr="009A6F4A" w:rsidRDefault="00D87189" w:rsidP="008C3F35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89" w:rsidRPr="00F71F63" w:rsidRDefault="00D8718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87189" w:rsidRPr="00F71F63" w:rsidRDefault="00D8718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87189" w:rsidRPr="00635E86" w:rsidRDefault="00D87189" w:rsidP="00635E86">
      <w:pPr>
        <w:pStyle w:val="Footer"/>
      </w:pPr>
    </w:p>
  </w:footnote>
  <w:footnote w:id="1">
    <w:p w:rsidR="00842097" w:rsidRPr="00842097" w:rsidRDefault="00842097">
      <w:pPr>
        <w:pStyle w:val="FootnoteText"/>
        <w:rPr>
          <w:sz w:val="20"/>
          <w:lang w:val="ru-RU"/>
        </w:rPr>
      </w:pPr>
      <w:r>
        <w:tab/>
      </w:r>
      <w:r w:rsidRPr="007B19BD">
        <w:rPr>
          <w:rStyle w:val="FootnoteReference"/>
          <w:sz w:val="20"/>
          <w:vertAlign w:val="baseline"/>
          <w:lang w:val="ru-RU"/>
        </w:rPr>
        <w:t>*</w:t>
      </w:r>
      <w:r w:rsidRPr="007B19BD">
        <w:rPr>
          <w:sz w:val="20"/>
          <w:lang w:val="ru-RU"/>
        </w:rPr>
        <w:t xml:space="preserve"> </w:t>
      </w:r>
      <w:r w:rsidRPr="007B19BD">
        <w:rPr>
          <w:lang w:val="ru-RU"/>
        </w:rPr>
        <w:tab/>
      </w:r>
      <w:r w:rsidRPr="00D9490B">
        <w:rPr>
          <w:i/>
          <w:lang w:val="ru-RU"/>
        </w:rPr>
        <w:t>Примечание секретариата</w:t>
      </w:r>
      <w:r>
        <w:rPr>
          <w:lang w:val="ru-RU"/>
        </w:rPr>
        <w:t>: Ссылка является неверной</w:t>
      </w:r>
      <w:r w:rsidR="007B19BD">
        <w:rPr>
          <w:lang w:val="ru-RU"/>
        </w:rPr>
        <w:t xml:space="preserve"> и исправлена в принятых поправках. Ссылку следует сделать на </w:t>
      </w:r>
      <w:r w:rsidR="000E14A8">
        <w:rPr>
          <w:lang w:val="ru-RU"/>
        </w:rPr>
        <w:t>"</w:t>
      </w:r>
      <w:r w:rsidR="007B19BD">
        <w:rPr>
          <w:lang w:val="ru-RU"/>
        </w:rPr>
        <w:t>пункт 4.3".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9" w:rsidRPr="00535532" w:rsidRDefault="00D87189">
    <w:pPr>
      <w:pStyle w:val="Header"/>
      <w:rPr>
        <w:lang w:val="en-US"/>
      </w:rPr>
    </w:pPr>
    <w:r>
      <w:rPr>
        <w:lang w:val="en-US"/>
      </w:rPr>
      <w:t>ECE/TRANS/180/Add.3/</w:t>
    </w:r>
    <w:r w:rsidR="00535532">
      <w:rPr>
        <w:lang w:val="en-US"/>
      </w:rPr>
      <w:t>Amend.2/Appendix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9" w:rsidRPr="009A6F4A" w:rsidRDefault="00D87189">
    <w:pPr>
      <w:pStyle w:val="Header"/>
      <w:rPr>
        <w:lang w:val="en-US"/>
      </w:rPr>
    </w:pPr>
    <w:r>
      <w:rPr>
        <w:lang w:val="en-US"/>
      </w:rPr>
      <w:tab/>
    </w:r>
    <w:r w:rsidR="00535532">
      <w:rPr>
        <w:lang w:val="en-US"/>
      </w:rPr>
      <w:t>ECE/TRANS/180/Add.3/Amend.2/Appendix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6C1"/>
    <w:rsid w:val="000033D8"/>
    <w:rsid w:val="00003FFA"/>
    <w:rsid w:val="00005C1C"/>
    <w:rsid w:val="0001587B"/>
    <w:rsid w:val="00016553"/>
    <w:rsid w:val="000233B3"/>
    <w:rsid w:val="00023E9E"/>
    <w:rsid w:val="00026161"/>
    <w:rsid w:val="00026B0C"/>
    <w:rsid w:val="0003638E"/>
    <w:rsid w:val="00036FF2"/>
    <w:rsid w:val="0004010A"/>
    <w:rsid w:val="0004040D"/>
    <w:rsid w:val="00043D88"/>
    <w:rsid w:val="00046E4D"/>
    <w:rsid w:val="000557BF"/>
    <w:rsid w:val="0006401A"/>
    <w:rsid w:val="00072C27"/>
    <w:rsid w:val="00086182"/>
    <w:rsid w:val="00090891"/>
    <w:rsid w:val="00092E62"/>
    <w:rsid w:val="000959CF"/>
    <w:rsid w:val="00097975"/>
    <w:rsid w:val="000A3DDF"/>
    <w:rsid w:val="000A60A0"/>
    <w:rsid w:val="000C3688"/>
    <w:rsid w:val="000D6863"/>
    <w:rsid w:val="000E14A8"/>
    <w:rsid w:val="000E486C"/>
    <w:rsid w:val="000E6390"/>
    <w:rsid w:val="000F1841"/>
    <w:rsid w:val="00117AEE"/>
    <w:rsid w:val="00130C48"/>
    <w:rsid w:val="001463F7"/>
    <w:rsid w:val="0015769C"/>
    <w:rsid w:val="001633F9"/>
    <w:rsid w:val="00180752"/>
    <w:rsid w:val="00185076"/>
    <w:rsid w:val="0018543C"/>
    <w:rsid w:val="00186E69"/>
    <w:rsid w:val="00190231"/>
    <w:rsid w:val="00192ABD"/>
    <w:rsid w:val="001A663A"/>
    <w:rsid w:val="001A75D5"/>
    <w:rsid w:val="001A76C1"/>
    <w:rsid w:val="001A7D40"/>
    <w:rsid w:val="001D07F7"/>
    <w:rsid w:val="001D7B8F"/>
    <w:rsid w:val="001E48EE"/>
    <w:rsid w:val="001F2D04"/>
    <w:rsid w:val="0020059C"/>
    <w:rsid w:val="002019BD"/>
    <w:rsid w:val="00220626"/>
    <w:rsid w:val="0022100A"/>
    <w:rsid w:val="00232D42"/>
    <w:rsid w:val="00237334"/>
    <w:rsid w:val="002444F4"/>
    <w:rsid w:val="002629A0"/>
    <w:rsid w:val="0028492B"/>
    <w:rsid w:val="00291C8F"/>
    <w:rsid w:val="002A1859"/>
    <w:rsid w:val="002B4BF9"/>
    <w:rsid w:val="002C0E22"/>
    <w:rsid w:val="002C2BF2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0491"/>
    <w:rsid w:val="00356BB2"/>
    <w:rsid w:val="00360477"/>
    <w:rsid w:val="00364971"/>
    <w:rsid w:val="00367FC9"/>
    <w:rsid w:val="003711A1"/>
    <w:rsid w:val="00372123"/>
    <w:rsid w:val="00386581"/>
    <w:rsid w:val="00387100"/>
    <w:rsid w:val="003951D3"/>
    <w:rsid w:val="003978C6"/>
    <w:rsid w:val="003B0539"/>
    <w:rsid w:val="003B40A9"/>
    <w:rsid w:val="003B4171"/>
    <w:rsid w:val="003C016E"/>
    <w:rsid w:val="003C1114"/>
    <w:rsid w:val="003D5EBD"/>
    <w:rsid w:val="003E6BC5"/>
    <w:rsid w:val="003F7B1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62DB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5532"/>
    <w:rsid w:val="00540A9A"/>
    <w:rsid w:val="00543522"/>
    <w:rsid w:val="00545680"/>
    <w:rsid w:val="00550FD5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26BB"/>
    <w:rsid w:val="00623A56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2EF5"/>
    <w:rsid w:val="006926C7"/>
    <w:rsid w:val="00694C37"/>
    <w:rsid w:val="00697AF5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25F8"/>
    <w:rsid w:val="006E6860"/>
    <w:rsid w:val="006E7183"/>
    <w:rsid w:val="006F5FBF"/>
    <w:rsid w:val="006F7A60"/>
    <w:rsid w:val="0070327E"/>
    <w:rsid w:val="00707B5F"/>
    <w:rsid w:val="00723AF0"/>
    <w:rsid w:val="00735602"/>
    <w:rsid w:val="00737637"/>
    <w:rsid w:val="0075279B"/>
    <w:rsid w:val="00753748"/>
    <w:rsid w:val="00762446"/>
    <w:rsid w:val="00781ACB"/>
    <w:rsid w:val="007858D1"/>
    <w:rsid w:val="0079734C"/>
    <w:rsid w:val="007A79EB"/>
    <w:rsid w:val="007B19BD"/>
    <w:rsid w:val="007D4CA0"/>
    <w:rsid w:val="007D7A23"/>
    <w:rsid w:val="007E38C3"/>
    <w:rsid w:val="007E549E"/>
    <w:rsid w:val="007E71C9"/>
    <w:rsid w:val="007F56CA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09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3F35"/>
    <w:rsid w:val="008C7B87"/>
    <w:rsid w:val="008D5008"/>
    <w:rsid w:val="008D6A7A"/>
    <w:rsid w:val="008E3E87"/>
    <w:rsid w:val="008E7F13"/>
    <w:rsid w:val="008F3185"/>
    <w:rsid w:val="00915B0A"/>
    <w:rsid w:val="00926904"/>
    <w:rsid w:val="00931755"/>
    <w:rsid w:val="009372F0"/>
    <w:rsid w:val="009525DE"/>
    <w:rsid w:val="00955022"/>
    <w:rsid w:val="00957B4D"/>
    <w:rsid w:val="00964EEA"/>
    <w:rsid w:val="00980C86"/>
    <w:rsid w:val="009838EA"/>
    <w:rsid w:val="00983C34"/>
    <w:rsid w:val="009B1D9B"/>
    <w:rsid w:val="009B4074"/>
    <w:rsid w:val="009C0F2F"/>
    <w:rsid w:val="009C30BB"/>
    <w:rsid w:val="009C60BE"/>
    <w:rsid w:val="009D10BE"/>
    <w:rsid w:val="009E33A5"/>
    <w:rsid w:val="009E6279"/>
    <w:rsid w:val="009F00A6"/>
    <w:rsid w:val="009F08C9"/>
    <w:rsid w:val="009F56A7"/>
    <w:rsid w:val="009F5B05"/>
    <w:rsid w:val="00A026CA"/>
    <w:rsid w:val="00A07232"/>
    <w:rsid w:val="00A14800"/>
    <w:rsid w:val="00A156DE"/>
    <w:rsid w:val="00A157ED"/>
    <w:rsid w:val="00A206BC"/>
    <w:rsid w:val="00A2446A"/>
    <w:rsid w:val="00A4025D"/>
    <w:rsid w:val="00A57FDB"/>
    <w:rsid w:val="00A765AB"/>
    <w:rsid w:val="00A765D6"/>
    <w:rsid w:val="00A800D1"/>
    <w:rsid w:val="00A92699"/>
    <w:rsid w:val="00AB5BF0"/>
    <w:rsid w:val="00AC1C95"/>
    <w:rsid w:val="00AC2CCB"/>
    <w:rsid w:val="00AC443A"/>
    <w:rsid w:val="00AC4938"/>
    <w:rsid w:val="00AE01D6"/>
    <w:rsid w:val="00AE0B2F"/>
    <w:rsid w:val="00AE57C7"/>
    <w:rsid w:val="00AE60E2"/>
    <w:rsid w:val="00B01303"/>
    <w:rsid w:val="00B0169F"/>
    <w:rsid w:val="00B0541B"/>
    <w:rsid w:val="00B05F21"/>
    <w:rsid w:val="00B14EA9"/>
    <w:rsid w:val="00B30A3C"/>
    <w:rsid w:val="00B41CAD"/>
    <w:rsid w:val="00B64BEA"/>
    <w:rsid w:val="00B81305"/>
    <w:rsid w:val="00BA3D5F"/>
    <w:rsid w:val="00BA6E48"/>
    <w:rsid w:val="00BB17DC"/>
    <w:rsid w:val="00BB1AF9"/>
    <w:rsid w:val="00BB4C4A"/>
    <w:rsid w:val="00BC15FD"/>
    <w:rsid w:val="00BD3CAE"/>
    <w:rsid w:val="00BD5F3C"/>
    <w:rsid w:val="00BE2D0F"/>
    <w:rsid w:val="00C07C0F"/>
    <w:rsid w:val="00C145C4"/>
    <w:rsid w:val="00C20D2F"/>
    <w:rsid w:val="00C2131B"/>
    <w:rsid w:val="00C250BE"/>
    <w:rsid w:val="00C33E4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478F"/>
    <w:rsid w:val="00CA609E"/>
    <w:rsid w:val="00CA7DA4"/>
    <w:rsid w:val="00CB31FB"/>
    <w:rsid w:val="00CE3D6F"/>
    <w:rsid w:val="00CE79A5"/>
    <w:rsid w:val="00CF0042"/>
    <w:rsid w:val="00CF262F"/>
    <w:rsid w:val="00CF69FA"/>
    <w:rsid w:val="00D025D5"/>
    <w:rsid w:val="00D26B13"/>
    <w:rsid w:val="00D26CC1"/>
    <w:rsid w:val="00D30662"/>
    <w:rsid w:val="00D32A0B"/>
    <w:rsid w:val="00D6236B"/>
    <w:rsid w:val="00D66E32"/>
    <w:rsid w:val="00D809D1"/>
    <w:rsid w:val="00D84ECF"/>
    <w:rsid w:val="00D87189"/>
    <w:rsid w:val="00D929BE"/>
    <w:rsid w:val="00D9490B"/>
    <w:rsid w:val="00D97E85"/>
    <w:rsid w:val="00DA2851"/>
    <w:rsid w:val="00DA2B7C"/>
    <w:rsid w:val="00DA5686"/>
    <w:rsid w:val="00DA6AA5"/>
    <w:rsid w:val="00DA6D42"/>
    <w:rsid w:val="00DB2FC0"/>
    <w:rsid w:val="00DC026D"/>
    <w:rsid w:val="00DC7BC3"/>
    <w:rsid w:val="00DF18FA"/>
    <w:rsid w:val="00DF49CA"/>
    <w:rsid w:val="00DF775B"/>
    <w:rsid w:val="00E007F3"/>
    <w:rsid w:val="00E00DEA"/>
    <w:rsid w:val="00E06EF0"/>
    <w:rsid w:val="00E11679"/>
    <w:rsid w:val="00E274C0"/>
    <w:rsid w:val="00E307D1"/>
    <w:rsid w:val="00E46A04"/>
    <w:rsid w:val="00E5742D"/>
    <w:rsid w:val="00E717F3"/>
    <w:rsid w:val="00E72C5E"/>
    <w:rsid w:val="00E73451"/>
    <w:rsid w:val="00E7489F"/>
    <w:rsid w:val="00E75147"/>
    <w:rsid w:val="00E8167D"/>
    <w:rsid w:val="00E8497D"/>
    <w:rsid w:val="00E907E9"/>
    <w:rsid w:val="00E96BE7"/>
    <w:rsid w:val="00EA2CD0"/>
    <w:rsid w:val="00EC0044"/>
    <w:rsid w:val="00EC6B9F"/>
    <w:rsid w:val="00EE241D"/>
    <w:rsid w:val="00EE516D"/>
    <w:rsid w:val="00EF4D1B"/>
    <w:rsid w:val="00EF7295"/>
    <w:rsid w:val="00F005B1"/>
    <w:rsid w:val="00F069D1"/>
    <w:rsid w:val="00F1503D"/>
    <w:rsid w:val="00F22712"/>
    <w:rsid w:val="00F275F5"/>
    <w:rsid w:val="00F33188"/>
    <w:rsid w:val="00F35BDE"/>
    <w:rsid w:val="00F52A0E"/>
    <w:rsid w:val="00F5342B"/>
    <w:rsid w:val="00F71F63"/>
    <w:rsid w:val="00F87506"/>
    <w:rsid w:val="00F92C41"/>
    <w:rsid w:val="00FA1ACB"/>
    <w:rsid w:val="00FA5522"/>
    <w:rsid w:val="00FA6E4A"/>
    <w:rsid w:val="00FB2B35"/>
    <w:rsid w:val="00FC4AE1"/>
    <w:rsid w:val="00FD723A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4040D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04040D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1025383</vt:lpstr>
    </vt:vector>
  </TitlesOfParts>
  <Company>CSD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1025383</dc:title>
  <dc:creator>ARGOUNOVA</dc:creator>
  <cp:lastModifiedBy>Rev.24</cp:lastModifiedBy>
  <cp:revision>2</cp:revision>
  <cp:lastPrinted>2015-06-29T15:36:00Z</cp:lastPrinted>
  <dcterms:created xsi:type="dcterms:W3CDTF">2016-02-10T15:24:00Z</dcterms:created>
  <dcterms:modified xsi:type="dcterms:W3CDTF">2016-02-10T15:24:00Z</dcterms:modified>
</cp:coreProperties>
</file>