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6B" w:rsidRPr="0070396F" w:rsidRDefault="0070396F" w:rsidP="0070396F">
      <w:pPr>
        <w:spacing w:line="240" w:lineRule="auto"/>
        <w:rPr>
          <w:sz w:val="6"/>
          <w:lang w:val="fr-CH"/>
        </w:rPr>
        <w:sectPr w:rsidR="00A5606B" w:rsidRPr="0070396F" w:rsidSect="00A5606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lang w:val="fr-CH"/>
        </w:rPr>
        <w:t xml:space="preserve">  </w:t>
      </w:r>
      <w:commentRangeEnd w:id="1"/>
      <w:r>
        <w:rPr>
          <w:rStyle w:val="CommentReference"/>
        </w:rPr>
        <w:commentReference w:id="1"/>
      </w:r>
    </w:p>
    <w:p w:rsidR="00803EC1" w:rsidRPr="008F4439" w:rsidRDefault="00D95EB7" w:rsidP="00803E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F4439">
        <w:rPr>
          <w:lang w:val="fr-CH"/>
        </w:rPr>
        <w:lastRenderedPageBreak/>
        <w:tab/>
      </w:r>
      <w:r w:rsidRPr="008F4439">
        <w:rPr>
          <w:lang w:val="fr-CH"/>
        </w:rPr>
        <w:tab/>
        <w:t>Registre mondial</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803EC1" w:rsidP="00803E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F4439">
        <w:rPr>
          <w:lang w:val="fr-CH"/>
        </w:rPr>
        <w:tab/>
      </w:r>
      <w:r w:rsidRPr="008F4439">
        <w:rPr>
          <w:lang w:val="fr-CH"/>
        </w:rPr>
        <w:tab/>
        <w:t>É</w:t>
      </w:r>
      <w:r w:rsidR="00D95EB7" w:rsidRPr="008F4439">
        <w:rPr>
          <w:lang w:val="fr-CH"/>
        </w:rPr>
        <w:t xml:space="preserve">laboré le 18 novembre 2004 conformément à l’Article 6 </w:t>
      </w:r>
      <w:r w:rsidR="008F4847">
        <w:rPr>
          <w:lang w:val="fr-CH"/>
        </w:rPr>
        <w:br/>
      </w:r>
      <w:r w:rsidR="00D95EB7" w:rsidRPr="008F4439">
        <w:rPr>
          <w:lang w:val="fr-CH"/>
        </w:rPr>
        <w:t xml:space="preserve">de l’Accord concernant l’établissement de règlements </w:t>
      </w:r>
      <w:r w:rsidRPr="008F4439">
        <w:rPr>
          <w:lang w:val="fr-CH"/>
        </w:rPr>
        <w:br/>
      </w:r>
      <w:r w:rsidR="00D95EB7" w:rsidRPr="008F4439">
        <w:rPr>
          <w:lang w:val="fr-CH"/>
        </w:rPr>
        <w:t>techniques</w:t>
      </w:r>
      <w:bookmarkStart w:id="2" w:name="insstart"/>
      <w:bookmarkEnd w:id="2"/>
      <w:r w:rsidR="00D95EB7" w:rsidRPr="008F4439">
        <w:rPr>
          <w:lang w:val="fr-CH"/>
        </w:rPr>
        <w:t xml:space="preserve"> mondiaux applicables aux véhicules à roues, </w:t>
      </w:r>
      <w:r w:rsidRPr="008F4439">
        <w:rPr>
          <w:lang w:val="fr-CH"/>
        </w:rPr>
        <w:br/>
      </w:r>
      <w:r w:rsidR="00D95EB7" w:rsidRPr="008F4439">
        <w:rPr>
          <w:lang w:val="fr-CH"/>
        </w:rPr>
        <w:t xml:space="preserve">ainsi qu’aux équipements et pièces qui peuvent être montés </w:t>
      </w:r>
      <w:r w:rsidRPr="008F4439">
        <w:rPr>
          <w:lang w:val="fr-CH"/>
        </w:rPr>
        <w:br/>
      </w:r>
      <w:r w:rsidR="00D95EB7" w:rsidRPr="008F4439">
        <w:rPr>
          <w:lang w:val="fr-CH"/>
        </w:rPr>
        <w:t>et/ou utilisés sur les véhicules à roues (</w:t>
      </w:r>
      <w:hyperlink r:id="rId16" w:history="1">
        <w:r w:rsidR="00D95EB7" w:rsidRPr="007A2D8A">
          <w:rPr>
            <w:rStyle w:val="Hyperlink"/>
            <w:u w:val="none"/>
            <w:lang w:val="fr-CH"/>
          </w:rPr>
          <w:t>ECE/TRANS/132</w:t>
        </w:r>
      </w:hyperlink>
      <w:r w:rsidR="00D95EB7" w:rsidRPr="008F4439">
        <w:rPr>
          <w:lang w:val="fr-CH"/>
        </w:rPr>
        <w:t xml:space="preserve"> et </w:t>
      </w:r>
      <w:hyperlink r:id="rId17" w:history="1">
        <w:r w:rsidR="00D95EB7" w:rsidRPr="007A2D8A">
          <w:rPr>
            <w:rStyle w:val="Hyperlink"/>
            <w:u w:val="none"/>
            <w:lang w:val="fr-CH"/>
          </w:rPr>
          <w:t>Corr.1</w:t>
        </w:r>
      </w:hyperlink>
      <w:r w:rsidR="00D95EB7" w:rsidRPr="008F4439">
        <w:rPr>
          <w:lang w:val="fr-CH"/>
        </w:rPr>
        <w:t>)</w:t>
      </w:r>
      <w:r w:rsidRPr="008F4439">
        <w:rPr>
          <w:lang w:val="fr-CH"/>
        </w:rPr>
        <w:t xml:space="preserve"> </w:t>
      </w:r>
      <w:r w:rsidRPr="008F4439">
        <w:rPr>
          <w:lang w:val="fr-CH"/>
        </w:rPr>
        <w:br/>
        <w:t>e</w:t>
      </w:r>
      <w:r w:rsidR="00D95EB7" w:rsidRPr="008F4439">
        <w:rPr>
          <w:lang w:val="fr-CH"/>
        </w:rPr>
        <w:t>n date, à Genève, du 25 juin 1998</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D95EB7" w:rsidP="00803E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F4439">
        <w:rPr>
          <w:lang w:val="fr-CH"/>
        </w:rPr>
        <w:tab/>
      </w:r>
      <w:r w:rsidRPr="008F4439">
        <w:rPr>
          <w:lang w:val="fr-CH"/>
        </w:rPr>
        <w:tab/>
        <w:t>Additif 3</w:t>
      </w:r>
      <w:r w:rsidR="003C2C8D">
        <w:rPr>
          <w:lang w:val="fr-CH"/>
        </w:rPr>
        <w:t> </w:t>
      </w:r>
      <w:r w:rsidRPr="008F4439">
        <w:rPr>
          <w:lang w:val="fr-CH"/>
        </w:rPr>
        <w:t xml:space="preserve">: Règlement technique mondial </w:t>
      </w:r>
      <w:r w:rsidR="008F4847" w:rsidRPr="008F4439">
        <w:rPr>
          <w:lang w:val="fr-CH"/>
        </w:rPr>
        <w:t>n</w:t>
      </w:r>
      <w:r w:rsidRPr="008F4847">
        <w:rPr>
          <w:vertAlign w:val="superscript"/>
          <w:lang w:val="fr-CH"/>
        </w:rPr>
        <w:t>o</w:t>
      </w:r>
      <w:r w:rsidRPr="008F4439">
        <w:rPr>
          <w:lang w:val="fr-CH"/>
        </w:rPr>
        <w:t xml:space="preserve"> 3</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803EC1" w:rsidP="00803E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F4439">
        <w:rPr>
          <w:lang w:val="fr-CH"/>
        </w:rPr>
        <w:tab/>
      </w:r>
      <w:r w:rsidRPr="008F4439">
        <w:rPr>
          <w:lang w:val="fr-CH"/>
        </w:rPr>
        <w:tab/>
      </w:r>
      <w:r w:rsidR="00D95EB7" w:rsidRPr="008F4439">
        <w:rPr>
          <w:lang w:val="fr-CH"/>
        </w:rPr>
        <w:t xml:space="preserve">Règlements techniques mondiaux concernant les systèmes </w:t>
      </w:r>
      <w:r w:rsidRPr="008F4439">
        <w:rPr>
          <w:lang w:val="fr-CH"/>
        </w:rPr>
        <w:br/>
      </w:r>
      <w:r w:rsidR="00D95EB7" w:rsidRPr="008F4439">
        <w:rPr>
          <w:lang w:val="fr-CH"/>
        </w:rPr>
        <w:t xml:space="preserve">de freinage des motocycles </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803EC1" w:rsidP="00803E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F4439">
        <w:rPr>
          <w:lang w:val="fr-CH"/>
        </w:rPr>
        <w:tab/>
      </w:r>
      <w:r w:rsidRPr="008F4439">
        <w:rPr>
          <w:lang w:val="fr-CH"/>
        </w:rPr>
        <w:tab/>
      </w:r>
      <w:r w:rsidR="00D95EB7" w:rsidRPr="008F4439">
        <w:rPr>
          <w:lang w:val="fr-CH"/>
        </w:rPr>
        <w:t xml:space="preserve">Amendement 2 </w:t>
      </w:r>
      <w:r w:rsidR="003C2C8D">
        <w:rPr>
          <w:lang w:val="fr-CH"/>
        </w:rPr>
        <w:t>–</w:t>
      </w:r>
      <w:r w:rsidR="00D95EB7" w:rsidRPr="008F4439">
        <w:rPr>
          <w:lang w:val="fr-CH"/>
        </w:rPr>
        <w:t xml:space="preserve"> Appendice 1</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803EC1" w:rsidP="00803E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F4439">
        <w:rPr>
          <w:lang w:val="fr-CH"/>
        </w:rPr>
        <w:tab/>
      </w:r>
      <w:r w:rsidRPr="008F4439">
        <w:rPr>
          <w:lang w:val="fr-CH"/>
        </w:rPr>
        <w:tab/>
      </w:r>
      <w:r w:rsidR="00D95EB7" w:rsidRPr="008F4439">
        <w:rPr>
          <w:lang w:val="fr-CH"/>
        </w:rPr>
        <w:t xml:space="preserve">Proposition et rapport conformément à l’article 6, </w:t>
      </w:r>
      <w:r w:rsidRPr="008F4439">
        <w:rPr>
          <w:lang w:val="fr-CH"/>
        </w:rPr>
        <w:br/>
      </w:r>
      <w:r w:rsidR="00D95EB7" w:rsidRPr="008F4439">
        <w:rPr>
          <w:lang w:val="fr-CH"/>
        </w:rPr>
        <w:t>paragraphe 6.3.7</w:t>
      </w:r>
      <w:r w:rsidRPr="008F4439">
        <w:rPr>
          <w:lang w:val="fr-CH"/>
        </w:rPr>
        <w:t>,</w:t>
      </w:r>
      <w:r w:rsidR="00D95EB7" w:rsidRPr="008F4439">
        <w:rPr>
          <w:lang w:val="fr-CH"/>
        </w:rPr>
        <w:t xml:space="preserve"> de l’Accord</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D95EB7" w:rsidP="00803EC1">
      <w:pPr>
        <w:pStyle w:val="Bullet1"/>
        <w:rPr>
          <w:lang w:val="fr-CH"/>
        </w:rPr>
      </w:pPr>
      <w:r w:rsidRPr="008F4439">
        <w:rPr>
          <w:lang w:val="fr-CH"/>
        </w:rPr>
        <w:t>Autorisation d’élaborer des amendements au RTM n</w:t>
      </w:r>
      <w:r w:rsidRPr="008F4439">
        <w:rPr>
          <w:vertAlign w:val="superscript"/>
          <w:lang w:val="fr-CH"/>
        </w:rPr>
        <w:t>o </w:t>
      </w:r>
      <w:r w:rsidRPr="008F4439">
        <w:rPr>
          <w:lang w:val="fr-CH"/>
        </w:rPr>
        <w:t>3 (Freinage des motocycles) (</w:t>
      </w:r>
      <w:hyperlink r:id="rId18" w:history="1">
        <w:r w:rsidRPr="007A2D8A">
          <w:rPr>
            <w:rStyle w:val="Hyperlink"/>
            <w:u w:val="none"/>
            <w:lang w:val="fr-CH"/>
          </w:rPr>
          <w:t>ECE/TRANS/WP.29/AC.3/37</w:t>
        </w:r>
      </w:hyperlink>
      <w:r w:rsidRPr="008F4439">
        <w:rPr>
          <w:lang w:val="fr-CH"/>
        </w:rPr>
        <w:t>).</w:t>
      </w:r>
    </w:p>
    <w:p w:rsidR="00D95EB7" w:rsidRPr="008F4439" w:rsidRDefault="00D95EB7" w:rsidP="00803EC1">
      <w:pPr>
        <w:pStyle w:val="Bullet1"/>
        <w:rPr>
          <w:lang w:val="fr-CH"/>
        </w:rPr>
      </w:pPr>
      <w:r w:rsidRPr="008F4439">
        <w:rPr>
          <w:lang w:val="fr-CH"/>
        </w:rPr>
        <w:t xml:space="preserve">Projet de rapport final sur l’amendement 2 au règlement technique mondial </w:t>
      </w:r>
      <w:r w:rsidR="00803EC1" w:rsidRPr="008F4439">
        <w:rPr>
          <w:lang w:val="fr-CH"/>
        </w:rPr>
        <w:t>n</w:t>
      </w:r>
      <w:r w:rsidR="00803EC1" w:rsidRPr="008F4439">
        <w:rPr>
          <w:vertAlign w:val="superscript"/>
          <w:lang w:val="fr-CH"/>
        </w:rPr>
        <w:t>o</w:t>
      </w:r>
      <w:r w:rsidR="00803EC1" w:rsidRPr="008F4439">
        <w:rPr>
          <w:lang w:val="fr-CH"/>
        </w:rPr>
        <w:t> </w:t>
      </w:r>
      <w:r w:rsidRPr="008F4439">
        <w:rPr>
          <w:lang w:val="fr-CH"/>
        </w:rPr>
        <w:t>3 (Freinage des motocycles) (</w:t>
      </w:r>
      <w:hyperlink r:id="rId19" w:history="1">
        <w:r w:rsidRPr="007A2D8A">
          <w:rPr>
            <w:rStyle w:val="Hyperlink"/>
            <w:u w:val="none"/>
            <w:lang w:val="fr-CH"/>
          </w:rPr>
          <w:t>ECE/TRANS/WP.29/2015/39</w:t>
        </w:r>
      </w:hyperlink>
      <w:r w:rsidRPr="008F4439">
        <w:rPr>
          <w:lang w:val="fr-CH"/>
        </w:rPr>
        <w:t>).</w:t>
      </w:r>
    </w:p>
    <w:p w:rsidR="00466555" w:rsidRPr="00466555" w:rsidRDefault="00466555" w:rsidP="00466555">
      <w:pPr>
        <w:pStyle w:val="SingleTxt"/>
        <w:spacing w:after="0" w:line="120" w:lineRule="exact"/>
        <w:rPr>
          <w:sz w:val="10"/>
          <w:lang w:val="fr-CH"/>
        </w:rPr>
      </w:pPr>
    </w:p>
    <w:p w:rsidR="00466555" w:rsidRPr="00466555" w:rsidRDefault="00466555" w:rsidP="00466555">
      <w:pPr>
        <w:pStyle w:val="SingleTxt"/>
        <w:spacing w:after="0" w:line="120" w:lineRule="exact"/>
        <w:rPr>
          <w:sz w:val="10"/>
          <w:lang w:val="fr-CH"/>
        </w:rPr>
      </w:pPr>
    </w:p>
    <w:p w:rsidR="00466555" w:rsidRPr="002241DD" w:rsidRDefault="00466555" w:rsidP="00466555">
      <w:pPr>
        <w:pStyle w:val="SingleTxt"/>
        <w:rPr>
          <w:lang w:val="fr-CH"/>
        </w:rPr>
      </w:pPr>
    </w:p>
    <w:p w:rsidR="00466555" w:rsidRPr="002241DD" w:rsidRDefault="00466555" w:rsidP="00466555">
      <w:pPr>
        <w:pStyle w:val="SingleTxt"/>
        <w:spacing w:line="240" w:lineRule="auto"/>
        <w:jc w:val="center"/>
        <w:rPr>
          <w:lang w:val="fr-CH"/>
        </w:rPr>
      </w:pPr>
      <w:r>
        <w:rPr>
          <w:noProof/>
          <w:lang w:val="en-GB" w:eastAsia="en-GB"/>
        </w:rPr>
        <w:drawing>
          <wp:inline distT="0" distB="0" distL="0" distR="0" wp14:anchorId="4F2163C6" wp14:editId="4EFD6FA8">
            <wp:extent cx="1033780" cy="8267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7603" r="-7603"/>
                    <a:stretch>
                      <a:fillRect/>
                    </a:stretch>
                  </pic:blipFill>
                  <pic:spPr bwMode="auto">
                    <a:xfrm>
                      <a:off x="0" y="0"/>
                      <a:ext cx="1033780" cy="826770"/>
                    </a:xfrm>
                    <a:prstGeom prst="rect">
                      <a:avLst/>
                    </a:prstGeom>
                    <a:noFill/>
                    <a:ln>
                      <a:noFill/>
                    </a:ln>
                  </pic:spPr>
                </pic:pic>
              </a:graphicData>
            </a:graphic>
          </wp:inline>
        </w:drawing>
      </w:r>
    </w:p>
    <w:p w:rsidR="00466555" w:rsidRPr="00466555" w:rsidRDefault="00466555" w:rsidP="00466555">
      <w:pPr>
        <w:pStyle w:val="SingleTxt"/>
        <w:jc w:val="center"/>
        <w:rPr>
          <w:b/>
          <w:lang w:val="fr-CH"/>
        </w:rPr>
      </w:pPr>
      <w:r w:rsidRPr="00466555">
        <w:rPr>
          <w:b/>
          <w:lang w:val="fr-CH"/>
        </w:rPr>
        <w:t>NATIONS UNIES</w:t>
      </w:r>
    </w:p>
    <w:p w:rsidR="00466555" w:rsidRDefault="00466555" w:rsidP="00466555">
      <w:pPr>
        <w:pStyle w:val="Bullet1"/>
        <w:rPr>
          <w:lang w:val="fr-CH"/>
        </w:rPr>
      </w:pPr>
      <w:r>
        <w:rPr>
          <w:lang w:val="fr-CH"/>
        </w:rPr>
        <w:br w:type="page"/>
      </w:r>
    </w:p>
    <w:p w:rsidR="00D95EB7" w:rsidRPr="008F4439" w:rsidRDefault="00D95EB7" w:rsidP="00803E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F4439">
        <w:rPr>
          <w:lang w:val="fr-CH"/>
        </w:rPr>
        <w:lastRenderedPageBreak/>
        <w:tab/>
        <w:t>I.</w:t>
      </w:r>
      <w:r w:rsidRPr="008F4439">
        <w:rPr>
          <w:lang w:val="fr-CH"/>
        </w:rPr>
        <w:tab/>
        <w:t>Introduction</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L’un des principaux objectifs du Règlement technique mondial (RTM) n</w:t>
      </w:r>
      <w:r w:rsidRPr="008F4439">
        <w:rPr>
          <w:vertAlign w:val="superscript"/>
          <w:lang w:val="fr-CH"/>
        </w:rPr>
        <w:t>o </w:t>
      </w:r>
      <w:r w:rsidRPr="008F4439">
        <w:rPr>
          <w:lang w:val="fr-CH"/>
        </w:rPr>
        <w:t>3 est de réduire le nombre de personnes tuées et blessées lors d’accidents de motocycles en agissant sur l’efficacité du freinage de ces véhicules comme moyen d’améliorer la sécurité routière.</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Le RTM n</w:t>
      </w:r>
      <w:r w:rsidRPr="008F4439">
        <w:rPr>
          <w:vertAlign w:val="superscript"/>
          <w:lang w:val="fr-CH"/>
        </w:rPr>
        <w:t>o </w:t>
      </w:r>
      <w:r w:rsidRPr="008F4439">
        <w:rPr>
          <w:lang w:val="fr-CH"/>
        </w:rPr>
        <w:t>3 offre des procédures d’essai claires et objectives ainsi que des prescriptions faciles à suivre tout en s’intéressant également au développement de technologies telles que les systèmes de freinage intégral et les systèmes antiblocage des freins (ABS).</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La présente proposition vise à clarifier le texte du RTM n</w:t>
      </w:r>
      <w:r w:rsidRPr="008F4439">
        <w:rPr>
          <w:vertAlign w:val="superscript"/>
          <w:lang w:val="fr-CH"/>
        </w:rPr>
        <w:t>o </w:t>
      </w:r>
      <w:r w:rsidRPr="008F4439">
        <w:rPr>
          <w:lang w:val="fr-CH"/>
        </w:rPr>
        <w:t>3 relatif aux systèmes de freinage des motocycles en ce qui concerne une possible confusion due à l’interprétation des termes «</w:t>
      </w:r>
      <w:r w:rsidR="007A2D8A">
        <w:rPr>
          <w:lang w:val="fr-CH"/>
        </w:rPr>
        <w:t> </w:t>
      </w:r>
      <w:r w:rsidRPr="008F4439">
        <w:rPr>
          <w:lang w:val="fr-CH"/>
        </w:rPr>
        <w:t>désactivé</w:t>
      </w:r>
      <w:r w:rsidR="007A2D8A">
        <w:rPr>
          <w:lang w:val="fr-CH"/>
        </w:rPr>
        <w:t> </w:t>
      </w:r>
      <w:r w:rsidRPr="008F4439">
        <w:rPr>
          <w:lang w:val="fr-CH"/>
        </w:rPr>
        <w:t>» et «</w:t>
      </w:r>
      <w:r w:rsidR="003C2C8D">
        <w:rPr>
          <w:lang w:val="fr-CH"/>
        </w:rPr>
        <w:t> </w:t>
      </w:r>
      <w:r w:rsidRPr="008F4439">
        <w:rPr>
          <w:lang w:val="fr-CH"/>
        </w:rPr>
        <w:t>déconnecté</w:t>
      </w:r>
      <w:r w:rsidR="003C2C8D">
        <w:rPr>
          <w:lang w:val="fr-CH"/>
        </w:rPr>
        <w:t> </w:t>
      </w:r>
      <w:r w:rsidRPr="008F4439">
        <w:rPr>
          <w:lang w:val="fr-CH"/>
        </w:rPr>
        <w:t>» utilisés dans le RTM.</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La proposition développe aussi les prescriptions relatives aux systèmes de freinage intégral afin de prendre en compte les dernières nouveautés en matière de configuration des systèmes de freinage.</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La proposition introduit le texte de la «</w:t>
      </w:r>
      <w:r w:rsidR="003C2C8D">
        <w:rPr>
          <w:lang w:val="fr-CH"/>
        </w:rPr>
        <w:t> </w:t>
      </w:r>
      <w:r w:rsidRPr="008F4439">
        <w:rPr>
          <w:lang w:val="fr-CH"/>
        </w:rPr>
        <w:t>méthode K</w:t>
      </w:r>
      <w:r w:rsidR="003C2C8D">
        <w:rPr>
          <w:lang w:val="fr-CH"/>
        </w:rPr>
        <w:t> </w:t>
      </w:r>
      <w:r w:rsidRPr="008F4439">
        <w:rPr>
          <w:lang w:val="fr-CH"/>
        </w:rPr>
        <w:t>» dans le RTM.</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La proposition introduit la notion de véhicule représentatif sur la base des dispositions du Règlement n</w:t>
      </w:r>
      <w:r w:rsidRPr="008F4439">
        <w:rPr>
          <w:vertAlign w:val="superscript"/>
          <w:lang w:val="fr-CH"/>
        </w:rPr>
        <w:t>o </w:t>
      </w:r>
      <w:r w:rsidRPr="008F4439">
        <w:rPr>
          <w:lang w:val="fr-CH"/>
        </w:rPr>
        <w:t>13-H.</w:t>
      </w:r>
    </w:p>
    <w:p w:rsidR="00803EC1" w:rsidRPr="008F4439" w:rsidRDefault="00803EC1" w:rsidP="00C5023A">
      <w:pPr>
        <w:pStyle w:val="SingleTxt"/>
        <w:spacing w:after="0" w:line="120" w:lineRule="exact"/>
        <w:rPr>
          <w:sz w:val="10"/>
          <w:lang w:val="fr-CH"/>
        </w:rPr>
      </w:pPr>
    </w:p>
    <w:p w:rsidR="00C5023A" w:rsidRPr="008F4439" w:rsidRDefault="00C5023A" w:rsidP="00C5023A">
      <w:pPr>
        <w:pStyle w:val="SingleTxt"/>
        <w:spacing w:after="0" w:line="120" w:lineRule="exact"/>
        <w:rPr>
          <w:sz w:val="10"/>
          <w:lang w:val="fr-CH"/>
        </w:rPr>
      </w:pPr>
    </w:p>
    <w:p w:rsidR="00D95EB7" w:rsidRPr="008F4439" w:rsidRDefault="00D95EB7" w:rsidP="00803EC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F4439">
        <w:rPr>
          <w:lang w:val="fr-CH"/>
        </w:rPr>
        <w:tab/>
        <w:t>II.</w:t>
      </w:r>
      <w:r w:rsidRPr="008F4439">
        <w:rPr>
          <w:lang w:val="fr-CH"/>
        </w:rPr>
        <w:tab/>
        <w:t>Justification des modifications</w:t>
      </w:r>
    </w:p>
    <w:p w:rsidR="00803EC1" w:rsidRPr="008F4439" w:rsidRDefault="00803EC1" w:rsidP="00803EC1">
      <w:pPr>
        <w:pStyle w:val="SingleTxt"/>
        <w:spacing w:after="0" w:line="120" w:lineRule="exact"/>
        <w:rPr>
          <w:sz w:val="10"/>
          <w:lang w:val="fr-CH"/>
        </w:rPr>
      </w:pPr>
    </w:p>
    <w:p w:rsidR="00803EC1" w:rsidRPr="008F4439" w:rsidRDefault="00803EC1" w:rsidP="00803EC1">
      <w:pPr>
        <w:pStyle w:val="SingleTxt"/>
        <w:spacing w:after="0" w:line="120" w:lineRule="exact"/>
        <w:rPr>
          <w:sz w:val="10"/>
          <w:lang w:val="fr-CH"/>
        </w:rPr>
      </w:pP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L’interprétation des termes «</w:t>
      </w:r>
      <w:r w:rsidR="003C2C8D">
        <w:rPr>
          <w:lang w:val="fr-CH"/>
        </w:rPr>
        <w:t> </w:t>
      </w:r>
      <w:r w:rsidRPr="008F4439">
        <w:rPr>
          <w:lang w:val="fr-CH"/>
        </w:rPr>
        <w:t>désactivé</w:t>
      </w:r>
      <w:r w:rsidR="003C2C8D">
        <w:rPr>
          <w:lang w:val="fr-CH"/>
        </w:rPr>
        <w:t> </w:t>
      </w:r>
      <w:r w:rsidRPr="008F4439">
        <w:rPr>
          <w:lang w:val="fr-CH"/>
        </w:rPr>
        <w:t>» et «</w:t>
      </w:r>
      <w:r w:rsidR="003C2C8D">
        <w:rPr>
          <w:lang w:val="fr-CH"/>
        </w:rPr>
        <w:t> </w:t>
      </w:r>
      <w:r w:rsidRPr="008F4439">
        <w:rPr>
          <w:lang w:val="fr-CH"/>
        </w:rPr>
        <w:t>déconnecté</w:t>
      </w:r>
      <w:r w:rsidR="003C2C8D">
        <w:rPr>
          <w:lang w:val="fr-CH"/>
        </w:rPr>
        <w:t> </w:t>
      </w:r>
      <w:r w:rsidRPr="008F4439">
        <w:rPr>
          <w:lang w:val="fr-CH"/>
        </w:rPr>
        <w:t>» est un sujet de préoccupation. Dans le cas de la méthode «</w:t>
      </w:r>
      <w:r w:rsidR="00F818C8">
        <w:rPr>
          <w:lang w:val="fr-CH"/>
        </w:rPr>
        <w:t> </w:t>
      </w:r>
      <w:r w:rsidRPr="008F4439">
        <w:rPr>
          <w:lang w:val="fr-CH"/>
        </w:rPr>
        <w:t>déconnectée</w:t>
      </w:r>
      <w:r w:rsidR="00F818C8">
        <w:rPr>
          <w:lang w:val="fr-CH"/>
        </w:rPr>
        <w:t> </w:t>
      </w:r>
      <w:r w:rsidRPr="008F4439">
        <w:rPr>
          <w:lang w:val="fr-CH"/>
        </w:rPr>
        <w:t>», la pression de fonctionnement des freins est la pression de freinage maximale juste avant le blocage des roues (pression supérieure à celle du début de fonctionnement de l’ABS) alors que dans le cas de la méthode «</w:t>
      </w:r>
      <w:r w:rsidR="003C2C8D">
        <w:rPr>
          <w:lang w:val="fr-CH"/>
        </w:rPr>
        <w:t> </w:t>
      </w:r>
      <w:r w:rsidRPr="008F4439">
        <w:rPr>
          <w:lang w:val="fr-CH"/>
        </w:rPr>
        <w:t>désactivée</w:t>
      </w:r>
      <w:r w:rsidR="003C2C8D">
        <w:rPr>
          <w:lang w:val="fr-CH"/>
        </w:rPr>
        <w:t> </w:t>
      </w:r>
      <w:r w:rsidRPr="008F4439">
        <w:rPr>
          <w:lang w:val="fr-CH"/>
        </w:rPr>
        <w:t>» la pression de fonctionnement des freins est inférieure à celle du début de fonctionnement de l’ABS. Au cours de la mesure de K, il n’est donc possible d’ajuster la pression de freinage que dans une fourchette inférieure à la pression de fonctionnement de l’ABS. Le présent amendement clarifie la situation en éliminant les deux termes et en utilisant l’expression «</w:t>
      </w:r>
      <w:r w:rsidR="00F818C8">
        <w:rPr>
          <w:lang w:val="fr-CH"/>
        </w:rPr>
        <w:t> </w:t>
      </w:r>
      <w:r w:rsidRPr="008F4439">
        <w:rPr>
          <w:lang w:val="fr-CH"/>
        </w:rPr>
        <w:t>ne doit pas pouvoir fonctionner</w:t>
      </w:r>
      <w:r w:rsidR="00F818C8">
        <w:rPr>
          <w:lang w:val="fr-CH"/>
        </w:rPr>
        <w:t> </w:t>
      </w:r>
      <w:r w:rsidRPr="008F4439">
        <w:rPr>
          <w:lang w:val="fr-CH"/>
        </w:rPr>
        <w:t xml:space="preserve">». </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Il est procédé à une clarification des références croisées pour faire en sorte que l’essai qui convient soit appliqué à la bonne catégorie de véhicules.</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La notion de véhicule représentatif est précisée.</w:t>
      </w:r>
    </w:p>
    <w:p w:rsidR="00D95EB7" w:rsidRPr="008F4439" w:rsidRDefault="00D95EB7" w:rsidP="00803EC1">
      <w:pPr>
        <w:pStyle w:val="SingleTxt"/>
        <w:numPr>
          <w:ilvl w:val="0"/>
          <w:numId w:val="9"/>
        </w:numPr>
        <w:tabs>
          <w:tab w:val="clear" w:pos="475"/>
          <w:tab w:val="num" w:pos="1742"/>
        </w:tabs>
        <w:ind w:left="1267"/>
        <w:rPr>
          <w:lang w:val="fr-CH"/>
        </w:rPr>
      </w:pPr>
      <w:r w:rsidRPr="008F4439">
        <w:rPr>
          <w:lang w:val="fr-CH"/>
        </w:rPr>
        <w:t>En clarifiant l’expression «</w:t>
      </w:r>
      <w:r w:rsidR="003C2C8D">
        <w:rPr>
          <w:lang w:val="fr-CH"/>
        </w:rPr>
        <w:t> </w:t>
      </w:r>
      <w:r w:rsidRPr="008F4439">
        <w:rPr>
          <w:lang w:val="fr-CH"/>
        </w:rPr>
        <w:t>en mode régulation</w:t>
      </w:r>
      <w:r w:rsidR="003C2C8D">
        <w:rPr>
          <w:lang w:val="fr-CH"/>
        </w:rPr>
        <w:t> </w:t>
      </w:r>
      <w:r w:rsidRPr="008F4439">
        <w:rPr>
          <w:lang w:val="fr-CH"/>
        </w:rPr>
        <w:t>», on s’assure que la modulation de la force de freinage se produit de manière répétée ou continue avec le système antiblocage. Cela permet une gamme plus large de modulations ne se limitant pas aux cycles traditionnels de l’ABS. L’expression «</w:t>
      </w:r>
      <w:r w:rsidR="00522A87">
        <w:rPr>
          <w:lang w:val="fr-CH"/>
        </w:rPr>
        <w:t> </w:t>
      </w:r>
      <w:r w:rsidRPr="008F4439">
        <w:rPr>
          <w:lang w:val="fr-CH"/>
        </w:rPr>
        <w:t>en mode régulation</w:t>
      </w:r>
      <w:r w:rsidR="00522A87">
        <w:rPr>
          <w:lang w:val="fr-CH"/>
        </w:rPr>
        <w:t> </w:t>
      </w:r>
      <w:r w:rsidRPr="008F4439">
        <w:rPr>
          <w:lang w:val="fr-CH"/>
        </w:rPr>
        <w:t>» a été introduite par souci de cohérence.</w:t>
      </w:r>
    </w:p>
    <w:p w:rsidR="00D95EB7" w:rsidRPr="008F4439" w:rsidRDefault="00964851" w:rsidP="00964851">
      <w:pPr>
        <w:pStyle w:val="SingleTxt"/>
        <w:ind w:left="1742" w:hanging="475"/>
        <w:rPr>
          <w:lang w:val="fr-CH"/>
        </w:rPr>
      </w:pPr>
      <w:r>
        <w:rPr>
          <w:lang w:val="fr-CH"/>
        </w:rPr>
        <w:tab/>
      </w:r>
      <w:r>
        <w:rPr>
          <w:lang w:val="fr-CH"/>
        </w:rPr>
        <w:tab/>
      </w:r>
      <w:r w:rsidR="00D95EB7" w:rsidRPr="008F4439">
        <w:rPr>
          <w:lang w:val="fr-CH"/>
        </w:rPr>
        <w:t>«</w:t>
      </w:r>
      <w:r w:rsidR="003C2C8D">
        <w:rPr>
          <w:lang w:val="fr-CH"/>
        </w:rPr>
        <w:t> </w:t>
      </w:r>
      <w:r w:rsidR="00D95EB7" w:rsidRPr="008F4439">
        <w:rPr>
          <w:lang w:val="fr-CH"/>
        </w:rPr>
        <w:t xml:space="preserve">La force d’actionnement appliquée est celle qui est nécessaire pour que le système antiblocage </w:t>
      </w:r>
      <w:r w:rsidR="00D95EB7" w:rsidRPr="008F4439">
        <w:rPr>
          <w:bCs/>
          <w:lang w:val="fr-CH"/>
        </w:rPr>
        <w:t>soit en mode régulation</w:t>
      </w:r>
      <w:r w:rsidR="00D95EB7" w:rsidRPr="008F4439">
        <w:rPr>
          <w:lang w:val="fr-CH"/>
        </w:rPr>
        <w:t xml:space="preserve"> à chaque freinage, jusqu’à ce que la vitesse du véhicule s’abaisse à 10 km/h.</w:t>
      </w:r>
      <w:r w:rsidR="003C2C8D">
        <w:rPr>
          <w:lang w:val="fr-CH"/>
        </w:rPr>
        <w:t> </w:t>
      </w:r>
      <w:r w:rsidR="00D95EB7" w:rsidRPr="008F4439">
        <w:rPr>
          <w:lang w:val="fr-CH"/>
        </w:rPr>
        <w:t>»</w:t>
      </w:r>
      <w:r w:rsidR="003C2C8D">
        <w:rPr>
          <w:lang w:val="fr-CH"/>
        </w:rPr>
        <w:t>.</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Le présent amendement actualise l’emploi des unités du Système international (SI) et procède à un changement de décimale.</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Il a été observé lors des essais que la durée d’application de la force d’actionnement des freins spécifiée au paragraphe 4.9.5.1 pouvait entraîner de nombreux cas de non</w:t>
      </w:r>
      <w:r w:rsidR="00C5023A" w:rsidRPr="008F4439">
        <w:rPr>
          <w:szCs w:val="24"/>
          <w:lang w:val="fr-CH"/>
        </w:rPr>
        <w:t>-</w:t>
      </w:r>
      <w:r w:rsidRPr="008F4439">
        <w:rPr>
          <w:szCs w:val="24"/>
          <w:lang w:val="fr-CH"/>
        </w:rPr>
        <w:t xml:space="preserve">conformité. Permettre de la raccourcir tend à rendre le </w:t>
      </w:r>
      <w:r w:rsidRPr="008F4439">
        <w:rPr>
          <w:szCs w:val="24"/>
          <w:lang w:val="fr-CH"/>
        </w:rPr>
        <w:lastRenderedPageBreak/>
        <w:t>règlement plus contraignant en augmentant le nombre des durées d’application de la force d’actionnement des freins, tout en éliminant des prescriptions d’essai restrictives.</w:t>
      </w:r>
    </w:p>
    <w:p w:rsidR="00D95EB7" w:rsidRPr="008F4439" w:rsidRDefault="00D95EB7" w:rsidP="00803EC1">
      <w:pPr>
        <w:pStyle w:val="SingleTxt"/>
        <w:numPr>
          <w:ilvl w:val="0"/>
          <w:numId w:val="9"/>
        </w:numPr>
        <w:tabs>
          <w:tab w:val="clear" w:pos="475"/>
          <w:tab w:val="num" w:pos="1742"/>
        </w:tabs>
        <w:ind w:left="1267"/>
        <w:rPr>
          <w:spacing w:val="-2"/>
          <w:szCs w:val="24"/>
          <w:lang w:val="fr-CH"/>
        </w:rPr>
      </w:pPr>
      <w:r w:rsidRPr="008F4439">
        <w:rPr>
          <w:spacing w:val="-2"/>
          <w:szCs w:val="24"/>
          <w:lang w:val="fr-CH"/>
        </w:rPr>
        <w:t>L’amendement au paragraphe 3.1.4 clarifie les références croisées et mentionne la catégorie de véhicules afin d’éviter tout malentendu susceptible d’avoir été engendré par les références actuelles concernant les catégories de véhicules qui doivent subir l’essai du frein de stationnement; la référence actuelle à la pente qui figure au paragraphe 4.8.2 peut être mal interprétée car l’essai du frein de stationnement concerne également les catégories 3-1 et 3-3.</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 xml:space="preserve">La méthode K </w:t>
      </w:r>
      <w:r w:rsidR="00F818C8">
        <w:rPr>
          <w:szCs w:val="24"/>
          <w:lang w:val="fr-CH"/>
        </w:rPr>
        <w:t>[</w:t>
      </w:r>
      <w:r w:rsidRPr="008F4439">
        <w:rPr>
          <w:szCs w:val="24"/>
          <w:lang w:val="fr-CH"/>
        </w:rPr>
        <w:t>autre méthode permettant de déterminer le coefficient de freinage maximal (CFM)</w:t>
      </w:r>
      <w:r w:rsidR="00F818C8">
        <w:rPr>
          <w:szCs w:val="24"/>
          <w:lang w:val="fr-CH"/>
        </w:rPr>
        <w:t>]</w:t>
      </w:r>
      <w:r w:rsidRPr="008F4439">
        <w:rPr>
          <w:szCs w:val="24"/>
          <w:lang w:val="fr-CH"/>
        </w:rPr>
        <w:t xml:space="preserve"> a été introduite en tant que paragraphe 5 plutôt que sous forme de référence, par souci de clarté et pour plus de commodité, surtout si la méthode K devait être actualisée.</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Il est proposé d’avoir recours à un véhicule représentatif équipé des pneumatiques spécifiés lorsque le véhicule utilisé pour les essais d’homologation de type ne se prête pas à l’essai de mesure du CFM en raison d’un possible décollement de la roue arrière au cours du freinage maximal ou d’un défaut de blocage des roues pour cause de réduction de la capacité de freinage (le levier du frein est à fond de course avant le blocage des roues).</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L’essai de mesure du CFM par la méthode K ne concerne pas le véhicule mais le revêtement d’essai, alors que selon la méthode ASTM il faut toujours utiliser des pneumatiques de même spécification. Il est donc plus approprié, du point de vue du contrôle du revêtement d’essai, d’utiliser pour l’essai de mesure du CFM le même véhicule et par conséquent des pneus de même spécification.</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Des essais menés au cours de la phase initiale d’élaboration du RTM ont mis en évidence entre la méthode K et la méthode ASTM une concordance qui plaide en faveur de l’utilisation d’un véhicule représentatif équipé des pneumatiques spécifiés.</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Les prescriptions actuelles du RTM n</w:t>
      </w:r>
      <w:r w:rsidRPr="008F4439">
        <w:rPr>
          <w:szCs w:val="24"/>
          <w:vertAlign w:val="superscript"/>
          <w:lang w:val="fr-CH"/>
        </w:rPr>
        <w:t>o </w:t>
      </w:r>
      <w:r w:rsidRPr="008F4439">
        <w:rPr>
          <w:szCs w:val="24"/>
          <w:lang w:val="fr-CH"/>
        </w:rPr>
        <w:t>3 (par. 3.1.9), à savoir</w:t>
      </w:r>
      <w:r w:rsidR="003C2C8D">
        <w:rPr>
          <w:szCs w:val="24"/>
          <w:lang w:val="fr-CH"/>
        </w:rPr>
        <w:t> </w:t>
      </w:r>
      <w:r w:rsidRPr="008F4439">
        <w:rPr>
          <w:szCs w:val="24"/>
          <w:lang w:val="fr-CH"/>
        </w:rPr>
        <w:t>: «</w:t>
      </w:r>
      <w:r w:rsidR="007A2D8A">
        <w:rPr>
          <w:szCs w:val="24"/>
          <w:lang w:val="fr-CH"/>
        </w:rPr>
        <w:t> </w:t>
      </w:r>
      <w:r w:rsidRPr="008F4439">
        <w:rPr>
          <w:szCs w:val="24"/>
          <w:lang w:val="fr-CH"/>
        </w:rPr>
        <w:t>Dans les cas où deux systèmes de frein de service distincts sont installés, ces systèmes peuvent partager un frein, à condition qu’une défaillance d’un système n’affecte pas l’efficacité de l’autre.</w:t>
      </w:r>
      <w:r w:rsidR="007A2D8A">
        <w:rPr>
          <w:szCs w:val="24"/>
          <w:lang w:val="fr-CH"/>
        </w:rPr>
        <w:t> </w:t>
      </w:r>
      <w:r w:rsidRPr="008F4439">
        <w:rPr>
          <w:szCs w:val="24"/>
          <w:lang w:val="fr-CH"/>
        </w:rPr>
        <w:t>», sont une entrave à l’application des systèmes de freinage intégral.</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Toutes les configurations de systèmes de freinage intégral, en effet, ne peuvent pas satisfaire à cette prescription, bien qu’ils aient une efficacité supérieure à celle des systèmes de freinage classiques.</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Toutes les configurations de systèmes de freinage intégral, toutefois, ne pouvaient pas être prises en considération à la date où les prescriptions ont été formulées à l’origine (dans les années 1980). C’est pourquoi on peut partir du principe que le Groupe de travail en matière de roulement et de freinage (GRRF) n’avait pas l’intention d’exclure délibérément ces systèmes en adoptant ces prescriptions.</w:t>
      </w:r>
    </w:p>
    <w:p w:rsidR="00D95EB7" w:rsidRPr="008F4439" w:rsidRDefault="00D95EB7" w:rsidP="00803EC1">
      <w:pPr>
        <w:pStyle w:val="SingleTxt"/>
        <w:numPr>
          <w:ilvl w:val="0"/>
          <w:numId w:val="9"/>
        </w:numPr>
        <w:tabs>
          <w:tab w:val="clear" w:pos="475"/>
          <w:tab w:val="num" w:pos="1742"/>
        </w:tabs>
        <w:ind w:left="1267"/>
        <w:rPr>
          <w:szCs w:val="24"/>
          <w:lang w:val="fr-CH"/>
        </w:rPr>
      </w:pPr>
      <w:r w:rsidRPr="008F4439">
        <w:rPr>
          <w:szCs w:val="24"/>
          <w:lang w:val="fr-CH"/>
        </w:rPr>
        <w:t>Afin de garantir qu’en cas de défaillance d’un système l’efficacité de l’autre soit encore égale à celle obtenue avec un système de freinage classique, il est proposé de permettre que deux systèmes de frein distincts partagent un frein et/ou une transmission, à condition qu’en cas de défaillance d’un ou des composants communs, le deuxième système réponde aux prescriptions d’efficacité s’appliquant à un système de frein individuel. À cette fin, il est proposé un essai de défaillance pour les systèmes de freinage intégral de la configuration B. L’Association internationale des constructeurs de motocycles (IMMA) considère que l’application de ces prescriptions devrait ouvrir la voie à l’acceptation de ces systèmes de freinage intégral en apportant la preuve de leur fiabilité et de l’efficacité de freinage résiduelle qu’ils garantissent.</w:t>
      </w:r>
    </w:p>
    <w:p w:rsidR="00D95EB7" w:rsidRDefault="00D95EB7" w:rsidP="00803EC1">
      <w:pPr>
        <w:pStyle w:val="SingleTxt"/>
        <w:numPr>
          <w:ilvl w:val="0"/>
          <w:numId w:val="9"/>
        </w:numPr>
        <w:tabs>
          <w:tab w:val="clear" w:pos="475"/>
          <w:tab w:val="num" w:pos="1742"/>
        </w:tabs>
        <w:ind w:left="1267"/>
        <w:rPr>
          <w:szCs w:val="24"/>
          <w:lang w:val="fr-CH"/>
        </w:rPr>
      </w:pPr>
      <w:r w:rsidRPr="008F4439">
        <w:rPr>
          <w:szCs w:val="24"/>
          <w:lang w:val="fr-CH"/>
        </w:rPr>
        <w:t>La présente proposition favorisera la généralisation des systèmes de freinage intégral, permettant ainsi aux pilotes même inexpérimentés de freiner de manière plus sûre et d’obtenir une plus grande décélération qu’avec des systèmes de freinage conventionnels, tout en garantissant au minimum, en cas de défaillance de l’un des systèmes, que le frein avant ou arrière puisse être actionné avec une efficacité de freinage au moins égale à celle d’un système conventionnel.</w:t>
      </w:r>
    </w:p>
    <w:p w:rsidR="007A2D8A" w:rsidRPr="007A2D8A" w:rsidRDefault="007A2D8A" w:rsidP="007A2D8A">
      <w:pPr>
        <w:pStyle w:val="SingleTxt"/>
        <w:tabs>
          <w:tab w:val="clear" w:pos="1742"/>
        </w:tabs>
        <w:spacing w:after="0" w:line="120" w:lineRule="exact"/>
        <w:rPr>
          <w:sz w:val="10"/>
          <w:szCs w:val="24"/>
          <w:lang w:val="fr-CH"/>
        </w:rPr>
      </w:pPr>
    </w:p>
    <w:p w:rsidR="007A2D8A" w:rsidRPr="007A2D8A" w:rsidRDefault="007A2D8A" w:rsidP="007A2D8A">
      <w:pPr>
        <w:pStyle w:val="SingleTxt"/>
        <w:tabs>
          <w:tab w:val="clear" w:pos="1742"/>
        </w:tabs>
        <w:spacing w:after="0" w:line="120" w:lineRule="exact"/>
        <w:rPr>
          <w:sz w:val="10"/>
          <w:szCs w:val="24"/>
          <w:lang w:val="fr-CH"/>
        </w:rPr>
      </w:pPr>
    </w:p>
    <w:p w:rsidR="00D95EB7" w:rsidRPr="008F4439" w:rsidRDefault="00D95EB7" w:rsidP="00D3747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F4439">
        <w:rPr>
          <w:lang w:val="fr-CH"/>
        </w:rPr>
        <w:tab/>
        <w:t>III.</w:t>
      </w:r>
      <w:r w:rsidRPr="008F4439">
        <w:rPr>
          <w:lang w:val="fr-CH"/>
        </w:rPr>
        <w:tab/>
        <w:t>Proposition de modifications</w:t>
      </w:r>
    </w:p>
    <w:p w:rsidR="00C5023A" w:rsidRPr="008F4439" w:rsidRDefault="00C5023A" w:rsidP="00C5023A">
      <w:pPr>
        <w:pStyle w:val="SingleTxt"/>
        <w:spacing w:after="0" w:line="120" w:lineRule="exact"/>
        <w:rPr>
          <w:i/>
          <w:sz w:val="10"/>
          <w:lang w:val="fr-CH"/>
        </w:rPr>
      </w:pPr>
    </w:p>
    <w:p w:rsidR="00C5023A" w:rsidRPr="00D3747C" w:rsidRDefault="00C5023A" w:rsidP="00D3747C">
      <w:pPr>
        <w:pStyle w:val="SingleTxt"/>
        <w:spacing w:after="0" w:line="120" w:lineRule="exact"/>
        <w:rPr>
          <w:sz w:val="10"/>
          <w:lang w:val="fr-CH"/>
        </w:rPr>
      </w:pPr>
    </w:p>
    <w:p w:rsidR="00D95EB7" w:rsidRPr="008F4439" w:rsidRDefault="008E2B47" w:rsidP="00D3747C">
      <w:pPr>
        <w:pStyle w:val="SingleTxt"/>
        <w:rPr>
          <w:lang w:val="fr-CH"/>
        </w:rPr>
      </w:pPr>
      <w:r>
        <w:rPr>
          <w:i/>
          <w:lang w:val="fr-CH"/>
        </w:rPr>
        <w:tab/>
      </w:r>
      <w:r w:rsidR="00D95EB7" w:rsidRPr="00D3747C">
        <w:rPr>
          <w:i/>
          <w:lang w:val="fr-CH"/>
        </w:rPr>
        <w:t>Note du secrétariat</w:t>
      </w:r>
      <w:r w:rsidR="003C2C8D">
        <w:rPr>
          <w:i/>
          <w:lang w:val="fr-CH"/>
        </w:rPr>
        <w:t> </w:t>
      </w:r>
      <w:r w:rsidR="00D95EB7" w:rsidRPr="008F4439">
        <w:rPr>
          <w:lang w:val="fr-CH"/>
        </w:rPr>
        <w:t>: Le texte ci-dessous est légèrement diférent du texte adopté figurant dans le document ECE/TRANS/180/Add.3/Amend.2</w:t>
      </w:r>
    </w:p>
    <w:p w:rsidR="00D95EB7" w:rsidRPr="008F4439" w:rsidRDefault="00D95EB7" w:rsidP="00C5023A">
      <w:pPr>
        <w:pStyle w:val="SingleTxt"/>
        <w:rPr>
          <w:i/>
          <w:lang w:val="fr-CH"/>
        </w:rPr>
      </w:pPr>
      <w:r w:rsidRPr="008F4439">
        <w:rPr>
          <w:i/>
          <w:lang w:val="fr-CH"/>
        </w:rPr>
        <w:t>Dans le texte du Règlement technique mondial (partie B)</w:t>
      </w:r>
    </w:p>
    <w:p w:rsidR="00D95EB7" w:rsidRPr="008F4439" w:rsidRDefault="00D95EB7" w:rsidP="00C5023A">
      <w:pPr>
        <w:pStyle w:val="SingleTxt"/>
        <w:rPr>
          <w:lang w:val="fr-CH"/>
        </w:rPr>
      </w:pPr>
      <w:r w:rsidRPr="008F4439">
        <w:rPr>
          <w:lang w:val="fr-CH"/>
        </w:rPr>
        <w:t>Table des matières</w:t>
      </w:r>
      <w:r w:rsidR="00C5023A" w:rsidRPr="008F4439">
        <w:rPr>
          <w:lang w:val="fr-CH"/>
        </w:rPr>
        <w:t> </w:t>
      </w:r>
      <w:r w:rsidRPr="008F4439">
        <w:rPr>
          <w:lang w:val="fr-CH"/>
        </w:rPr>
        <w:t>:</w:t>
      </w:r>
    </w:p>
    <w:p w:rsidR="00F818C8" w:rsidRDefault="00D95EB7" w:rsidP="00F818C8">
      <w:pPr>
        <w:pStyle w:val="SingleTxt"/>
        <w:rPr>
          <w:lang w:val="fr-CH"/>
        </w:rPr>
      </w:pPr>
      <w:r w:rsidRPr="008F4439">
        <w:rPr>
          <w:i/>
          <w:lang w:val="fr-CH"/>
        </w:rPr>
        <w:t>Ajouter à la fin de la table des matières actuelle la mention suivante</w:t>
      </w:r>
      <w:r w:rsidR="00C5023A" w:rsidRPr="008F4439">
        <w:rPr>
          <w:i/>
          <w:lang w:val="fr-CH"/>
        </w:rPr>
        <w:t> </w:t>
      </w:r>
      <w:r w:rsidRPr="008F4439">
        <w:rPr>
          <w:lang w:val="fr-CH"/>
        </w:rPr>
        <w:t>:</w:t>
      </w:r>
    </w:p>
    <w:p w:rsidR="00D95EB7" w:rsidRPr="00F818C8" w:rsidRDefault="00D95EB7" w:rsidP="00F818C8">
      <w:pPr>
        <w:pStyle w:val="SingleTxt"/>
        <w:jc w:val="left"/>
        <w:rPr>
          <w:lang w:val="fr-CH"/>
        </w:rPr>
      </w:pPr>
      <w:r w:rsidRPr="00F818C8">
        <w:t>«</w:t>
      </w:r>
      <w:r w:rsidR="00D3747C" w:rsidRPr="00F818C8">
        <w:rPr>
          <w:b/>
        </w:rPr>
        <w:t> </w:t>
      </w:r>
      <w:r w:rsidRPr="00F818C8">
        <w:rPr>
          <w:b/>
        </w:rPr>
        <w:t>5.</w:t>
      </w:r>
      <w:r w:rsidRPr="00F818C8">
        <w:rPr>
          <w:b/>
        </w:rPr>
        <w:tab/>
        <w:t xml:space="preserve">Autre méthode permettant de déterminer le coefficient </w:t>
      </w:r>
      <w:r w:rsidR="00F818C8">
        <w:rPr>
          <w:b/>
        </w:rPr>
        <w:br/>
      </w:r>
      <w:r w:rsidRPr="00F818C8">
        <w:rPr>
          <w:b/>
        </w:rPr>
        <w:t>de freinage maximal</w:t>
      </w:r>
      <w:r w:rsidR="00D3747C" w:rsidRPr="00F818C8">
        <w:rPr>
          <w:b/>
        </w:rPr>
        <w:t> </w:t>
      </w:r>
      <w:r w:rsidRPr="00F818C8">
        <w:t>»</w:t>
      </w:r>
    </w:p>
    <w:p w:rsidR="00D95EB7" w:rsidRPr="008F4439" w:rsidRDefault="00D95EB7" w:rsidP="008F4439">
      <w:pPr>
        <w:pStyle w:val="SingleTxt"/>
        <w:rPr>
          <w:lang w:val="fr-CH"/>
        </w:rPr>
      </w:pPr>
      <w:r w:rsidRPr="008F4439">
        <w:rPr>
          <w:i/>
          <w:lang w:val="fr-CH"/>
        </w:rPr>
        <w:t>Paragraphe 3.1.4</w:t>
      </w:r>
      <w:r w:rsidRPr="008F4439">
        <w:rPr>
          <w:lang w:val="fr-CH"/>
        </w:rPr>
        <w:t>, modifier comme suit</w:t>
      </w:r>
      <w:r w:rsidR="003C2C8D">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D3747C">
        <w:rPr>
          <w:lang w:val="fr-CH"/>
        </w:rPr>
        <w:t> </w:t>
      </w:r>
      <w:r w:rsidRPr="008F4439">
        <w:rPr>
          <w:lang w:val="fr-CH"/>
        </w:rPr>
        <w:t>3.1.4</w:t>
      </w:r>
      <w:r w:rsidRPr="008F4439">
        <w:rPr>
          <w:lang w:val="fr-CH"/>
        </w:rPr>
        <w:tab/>
        <w:t>Système de frein de stationnement</w:t>
      </w:r>
    </w:p>
    <w:p w:rsidR="00D95EB7" w:rsidRPr="008F4439" w:rsidRDefault="00964851" w:rsidP="00964851">
      <w:pPr>
        <w:pStyle w:val="SingleTxt"/>
        <w:ind w:left="2218" w:hanging="951"/>
        <w:rPr>
          <w:lang w:val="fr-CH"/>
        </w:rPr>
      </w:pPr>
      <w:r>
        <w:rPr>
          <w:lang w:val="fr-CH"/>
        </w:rPr>
        <w:tab/>
      </w:r>
      <w:r>
        <w:rPr>
          <w:lang w:val="fr-CH"/>
        </w:rPr>
        <w:tab/>
      </w:r>
      <w:r w:rsidR="00D95EB7" w:rsidRPr="008F4439">
        <w:rPr>
          <w:lang w:val="fr-CH"/>
        </w:rPr>
        <w:t>Si un système de frein de stationnement est présent, il doit maintenir le véhicule immobilisé sur la pente prescrite au paragraphe </w:t>
      </w:r>
      <w:r w:rsidR="00D95EB7" w:rsidRPr="008F4439">
        <w:rPr>
          <w:strike/>
          <w:lang w:val="fr-CH"/>
        </w:rPr>
        <w:t xml:space="preserve">4.8.2 </w:t>
      </w:r>
      <w:r w:rsidR="00D95EB7" w:rsidRPr="008F4439">
        <w:rPr>
          <w:b/>
          <w:lang w:val="fr-CH"/>
        </w:rPr>
        <w:t>4.1.1.4</w:t>
      </w:r>
      <w:r w:rsidR="00D95EB7" w:rsidRPr="008F4439">
        <w:rPr>
          <w:lang w:val="fr-CH"/>
        </w:rPr>
        <w:t>.</w:t>
      </w:r>
    </w:p>
    <w:p w:rsidR="00D95EB7" w:rsidRPr="00964851" w:rsidRDefault="00964851" w:rsidP="00964851">
      <w:pPr>
        <w:pStyle w:val="SingleTxt"/>
        <w:ind w:left="2218" w:hanging="951"/>
        <w:rPr>
          <w:b/>
          <w:lang w:val="fr-CH"/>
        </w:rPr>
      </w:pPr>
      <w:r>
        <w:rPr>
          <w:lang w:val="fr-CH"/>
        </w:rPr>
        <w:tab/>
      </w:r>
      <w:r>
        <w:rPr>
          <w:lang w:val="fr-CH"/>
        </w:rPr>
        <w:tab/>
      </w:r>
      <w:r w:rsidR="00D95EB7" w:rsidRPr="00964851">
        <w:rPr>
          <w:b/>
          <w:lang w:val="fr-CH"/>
        </w:rPr>
        <w:t>Pour les catégories 3-2, 3-4 et 3-5, le système de frein de stationnement doit subir les essais prescrits au paragraphe 4.8.</w:t>
      </w:r>
    </w:p>
    <w:p w:rsidR="008E2B47" w:rsidRDefault="00964851" w:rsidP="00964851">
      <w:pPr>
        <w:pStyle w:val="SingleTxt"/>
        <w:rPr>
          <w:lang w:val="fr-CH"/>
        </w:rPr>
      </w:pPr>
      <w:r>
        <w:rPr>
          <w:lang w:val="fr-CH"/>
        </w:rPr>
        <w:tab/>
      </w:r>
      <w:r>
        <w:rPr>
          <w:lang w:val="fr-CH"/>
        </w:rPr>
        <w:tab/>
      </w:r>
      <w:r w:rsidR="00D95EB7" w:rsidRPr="008F4439">
        <w:rPr>
          <w:lang w:val="fr-CH"/>
        </w:rPr>
        <w:t>Le frein de stationnement</w:t>
      </w:r>
      <w:r w:rsidR="003C2C8D">
        <w:rPr>
          <w:lang w:val="fr-CH"/>
        </w:rPr>
        <w:t> </w:t>
      </w:r>
      <w:r w:rsidR="00D95EB7" w:rsidRPr="008F4439">
        <w:rPr>
          <w:lang w:val="fr-CH"/>
        </w:rPr>
        <w:t>:</w:t>
      </w:r>
    </w:p>
    <w:p w:rsidR="00D95EB7" w:rsidRPr="008F4439" w:rsidRDefault="008E2B47" w:rsidP="00964851">
      <w:pPr>
        <w:pStyle w:val="SingleTxt"/>
        <w:ind w:left="2693" w:hanging="1426"/>
        <w:rPr>
          <w:lang w:val="fr-CH"/>
        </w:rPr>
      </w:pPr>
      <w:r>
        <w:rPr>
          <w:lang w:val="fr-CH"/>
        </w:rPr>
        <w:tab/>
      </w:r>
      <w:r>
        <w:rPr>
          <w:lang w:val="fr-CH"/>
        </w:rPr>
        <w:tab/>
      </w:r>
      <w:r w:rsidR="00D95EB7" w:rsidRPr="008F4439">
        <w:rPr>
          <w:lang w:val="fr-CH"/>
        </w:rPr>
        <w:t>a)</w:t>
      </w:r>
      <w:r w:rsidR="00D95EB7" w:rsidRPr="008F4439">
        <w:rPr>
          <w:lang w:val="fr-CH"/>
        </w:rPr>
        <w:tab/>
        <w:t>Doit avoir une commande distincte des commandes du système de frein de service; et</w:t>
      </w:r>
    </w:p>
    <w:p w:rsidR="00D95EB7" w:rsidRPr="008F4439" w:rsidRDefault="00D3747C" w:rsidP="008F4847">
      <w:pPr>
        <w:pStyle w:val="SingleTxt"/>
        <w:ind w:left="2693" w:hanging="1426"/>
        <w:rPr>
          <w:lang w:val="fr-CH"/>
        </w:rPr>
      </w:pPr>
      <w:r>
        <w:rPr>
          <w:lang w:val="fr-CH"/>
        </w:rPr>
        <w:tab/>
      </w:r>
      <w:r w:rsidR="008E2B47">
        <w:rPr>
          <w:lang w:val="fr-CH"/>
        </w:rPr>
        <w:tab/>
      </w:r>
      <w:r w:rsidR="00D95EB7" w:rsidRPr="008F4439">
        <w:rPr>
          <w:lang w:val="fr-CH"/>
        </w:rPr>
        <w:t>b)</w:t>
      </w:r>
      <w:r w:rsidR="00D95EB7" w:rsidRPr="008F4439">
        <w:rPr>
          <w:lang w:val="fr-CH"/>
        </w:rPr>
        <w:tab/>
        <w:t xml:space="preserve">Doit être maintenu en </w:t>
      </w:r>
      <w:r w:rsidR="008E2B47">
        <w:rPr>
          <w:lang w:val="fr-CH"/>
        </w:rPr>
        <w:t>position bloquée par des moyens</w:t>
      </w:r>
      <w:r w:rsidR="00D95EB7" w:rsidRPr="008F4439">
        <w:rPr>
          <w:lang w:val="fr-CH"/>
        </w:rPr>
        <w:t>exclusivement mécaniques.</w:t>
      </w:r>
    </w:p>
    <w:p w:rsidR="00D95EB7" w:rsidRPr="008F4439" w:rsidRDefault="008F4847" w:rsidP="008F4847">
      <w:pPr>
        <w:pStyle w:val="SingleTxt"/>
        <w:ind w:left="2218" w:hanging="951"/>
        <w:rPr>
          <w:lang w:val="fr-CH"/>
        </w:rPr>
      </w:pPr>
      <w:r>
        <w:rPr>
          <w:lang w:val="fr-CH"/>
        </w:rPr>
        <w:tab/>
      </w:r>
      <w:r>
        <w:rPr>
          <w:lang w:val="fr-CH"/>
        </w:rPr>
        <w:tab/>
      </w:r>
      <w:r w:rsidR="00D95EB7" w:rsidRPr="008F4439">
        <w:rPr>
          <w:lang w:val="fr-CH"/>
        </w:rPr>
        <w:t>La configuration du véhicule doit être telle que le conducteur puisse actionner le système de frein de stationnement tout en étant assis en position de conduite normale.</w:t>
      </w:r>
      <w:r w:rsidR="00522A87">
        <w:rPr>
          <w:lang w:val="fr-CH"/>
        </w:rPr>
        <w:t> </w:t>
      </w:r>
      <w:r w:rsidR="00D95EB7" w:rsidRPr="008F4439">
        <w:rPr>
          <w:lang w:val="fr-CH"/>
        </w:rPr>
        <w:t>».</w:t>
      </w:r>
    </w:p>
    <w:p w:rsidR="00D95EB7" w:rsidRPr="008F4439" w:rsidRDefault="00D95EB7" w:rsidP="00466555">
      <w:pPr>
        <w:pStyle w:val="SingleTxt"/>
        <w:rPr>
          <w:lang w:val="fr-CH"/>
        </w:rPr>
      </w:pPr>
      <w:r w:rsidRPr="008F4439">
        <w:rPr>
          <w:i/>
          <w:lang w:val="fr-CH"/>
        </w:rPr>
        <w:t>Paragraphe 3.1.9</w:t>
      </w:r>
      <w:r w:rsidRPr="008F4439">
        <w:rPr>
          <w:lang w:val="fr-CH"/>
        </w:rPr>
        <w:t>, modifier comme suit</w:t>
      </w:r>
      <w:r w:rsidR="003C2C8D">
        <w:rPr>
          <w:lang w:val="fr-CH"/>
        </w:rPr>
        <w:t> </w:t>
      </w:r>
      <w:r w:rsidRPr="008F4439">
        <w:rPr>
          <w:lang w:val="fr-CH"/>
        </w:rPr>
        <w:t>:</w:t>
      </w:r>
    </w:p>
    <w:p w:rsidR="00D95EB7" w:rsidRPr="008F4439" w:rsidRDefault="00D95EB7" w:rsidP="00964851">
      <w:pPr>
        <w:pStyle w:val="SingleTxt"/>
        <w:ind w:left="2218" w:hanging="951"/>
        <w:rPr>
          <w:lang w:val="fr-CH"/>
        </w:rPr>
      </w:pPr>
      <w:r w:rsidRPr="008F4439">
        <w:rPr>
          <w:lang w:val="fr-CH"/>
        </w:rPr>
        <w:t>«</w:t>
      </w:r>
      <w:r w:rsidR="003C2C8D">
        <w:rPr>
          <w:lang w:val="fr-CH"/>
        </w:rPr>
        <w:t> </w:t>
      </w:r>
      <w:r w:rsidRPr="008F4439">
        <w:rPr>
          <w:lang w:val="fr-CH"/>
        </w:rPr>
        <w:t>3.1.9</w:t>
      </w:r>
      <w:r w:rsidRPr="008F4439">
        <w:rPr>
          <w:lang w:val="fr-CH"/>
        </w:rPr>
        <w:tab/>
        <w:t>Dans les cas où deux systèmes de frein de service séparés sontinstallés, ces systèmes peuvent partager un frein</w:t>
      </w:r>
      <w:r w:rsidRPr="008F4439">
        <w:rPr>
          <w:strike/>
          <w:lang w:val="fr-CH"/>
        </w:rPr>
        <w:t>, à condition qu’une défaillance d’un système n’affecte pas l’efficacité de l’autre</w:t>
      </w:r>
      <w:r w:rsidRPr="008F4439">
        <w:rPr>
          <w:lang w:val="fr-CH"/>
        </w:rPr>
        <w:t xml:space="preserve"> </w:t>
      </w:r>
      <w:r w:rsidRPr="008F4439">
        <w:rPr>
          <w:b/>
          <w:lang w:val="fr-CH"/>
        </w:rPr>
        <w:t>et une transmission, à condition qu’il soit satisfait aux prescriptions du paragraphe 4.12</w:t>
      </w:r>
      <w:r w:rsidRPr="008F4439">
        <w:rPr>
          <w:lang w:val="fr-CH"/>
        </w:rPr>
        <w:t>.</w:t>
      </w:r>
      <w:r w:rsidR="003C2C8D">
        <w:rPr>
          <w:lang w:val="fr-CH"/>
        </w:rPr>
        <w:t> </w:t>
      </w:r>
      <w:r w:rsidRPr="008F4439">
        <w:rPr>
          <w:lang w:val="fr-CH"/>
        </w:rPr>
        <w:t>».</w:t>
      </w:r>
    </w:p>
    <w:p w:rsidR="00D95EB7" w:rsidRPr="008F4439" w:rsidRDefault="00D95EB7" w:rsidP="008F4439">
      <w:pPr>
        <w:pStyle w:val="SingleTxt"/>
        <w:rPr>
          <w:lang w:val="fr-CH"/>
        </w:rPr>
      </w:pPr>
      <w:r w:rsidRPr="008F4439">
        <w:rPr>
          <w:i/>
          <w:lang w:val="fr-CH"/>
        </w:rPr>
        <w:t>Paragraphes 4.1.1.3 et 4.1.1.4</w:t>
      </w:r>
      <w:r w:rsidRPr="008F4439">
        <w:rPr>
          <w:lang w:val="fr-CH"/>
        </w:rPr>
        <w:t>, modifier comme suit</w:t>
      </w:r>
      <w:r w:rsidR="003C2C8D">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8E2B47">
        <w:rPr>
          <w:lang w:val="fr-CH"/>
        </w:rPr>
        <w:t> </w:t>
      </w:r>
      <w:r w:rsidRPr="008F4439">
        <w:rPr>
          <w:lang w:val="fr-CH"/>
        </w:rPr>
        <w:t>4.1.1.3</w:t>
      </w:r>
      <w:r w:rsidRPr="008F4439">
        <w:rPr>
          <w:lang w:val="fr-CH"/>
        </w:rPr>
        <w:tab/>
        <w:t>Mesure du CFM</w:t>
      </w:r>
    </w:p>
    <w:p w:rsidR="00D95EB7" w:rsidRPr="008F4439" w:rsidRDefault="008F4847" w:rsidP="008F4847">
      <w:pPr>
        <w:pStyle w:val="SingleTxt"/>
        <w:ind w:left="2218" w:hanging="951"/>
        <w:rPr>
          <w:lang w:val="fr-CH"/>
        </w:rPr>
      </w:pPr>
      <w:r>
        <w:rPr>
          <w:lang w:val="fr-CH"/>
        </w:rPr>
        <w:tab/>
      </w:r>
      <w:r>
        <w:rPr>
          <w:lang w:val="fr-CH"/>
        </w:rPr>
        <w:tab/>
      </w:r>
      <w:r w:rsidR="00D95EB7" w:rsidRPr="008F4439">
        <w:rPr>
          <w:lang w:val="fr-CH"/>
        </w:rPr>
        <w:t>On mesure le CFM</w:t>
      </w:r>
      <w:r w:rsidR="00D95EB7" w:rsidRPr="007C582D">
        <w:rPr>
          <w:lang w:val="fr-CH"/>
        </w:rPr>
        <w:t xml:space="preserve"> </w:t>
      </w:r>
      <w:r w:rsidR="00D95EB7" w:rsidRPr="008F4439">
        <w:rPr>
          <w:strike/>
          <w:lang w:val="fr-CH"/>
        </w:rPr>
        <w:t>conformément aux prescriptions des législations nationales ou régionales</w:t>
      </w:r>
      <w:r w:rsidR="00D95EB7" w:rsidRPr="008F4439">
        <w:rPr>
          <w:lang w:val="fr-CH"/>
        </w:rPr>
        <w:t xml:space="preserve"> en utilisant</w:t>
      </w:r>
      <w:r w:rsidR="003C2C8D">
        <w:rPr>
          <w:lang w:val="fr-CH"/>
        </w:rPr>
        <w:t> </w:t>
      </w:r>
      <w:r w:rsidR="00D95EB7" w:rsidRPr="008F4439">
        <w:rPr>
          <w:lang w:val="fr-CH"/>
        </w:rPr>
        <w:t>:</w:t>
      </w:r>
    </w:p>
    <w:p w:rsidR="00D95EB7" w:rsidRPr="008F4439" w:rsidRDefault="008F4847" w:rsidP="008F4847">
      <w:pPr>
        <w:pStyle w:val="SingleTxt"/>
        <w:ind w:left="2693" w:hanging="1426"/>
        <w:rPr>
          <w:lang w:val="fr-CH"/>
        </w:rPr>
      </w:pPr>
      <w:r>
        <w:rPr>
          <w:lang w:val="fr-CH"/>
        </w:rPr>
        <w:tab/>
      </w:r>
      <w:r>
        <w:rPr>
          <w:lang w:val="fr-CH"/>
        </w:rPr>
        <w:tab/>
      </w:r>
      <w:r w:rsidR="00D95EB7" w:rsidRPr="008F4439">
        <w:rPr>
          <w:lang w:val="fr-CH"/>
        </w:rPr>
        <w:t>a)</w:t>
      </w:r>
      <w:r w:rsidR="00D95EB7" w:rsidRPr="008F4439">
        <w:rPr>
          <w:lang w:val="fr-CH"/>
        </w:rPr>
        <w:tab/>
        <w:t>Soit le pneu d’essai de référence prescrit par la norme ASTM E1136 de l’American Society for Testing and Materials (ASTM), suivant la méthode ASTM E1337-90, à une vitesse de 40 mph sans aspersion d’eau;</w:t>
      </w:r>
    </w:p>
    <w:p w:rsidR="00D95EB7" w:rsidRPr="008F4439" w:rsidRDefault="008F4847" w:rsidP="008F4847">
      <w:pPr>
        <w:pStyle w:val="SingleTxt"/>
        <w:ind w:left="2693" w:hanging="1426"/>
        <w:rPr>
          <w:lang w:val="fr-CH"/>
        </w:rPr>
      </w:pPr>
      <w:r>
        <w:rPr>
          <w:lang w:val="fr-CH"/>
        </w:rPr>
        <w:tab/>
      </w:r>
      <w:r>
        <w:rPr>
          <w:lang w:val="fr-CH"/>
        </w:rPr>
        <w:tab/>
      </w:r>
      <w:r w:rsidR="00D95EB7" w:rsidRPr="008F4439">
        <w:rPr>
          <w:lang w:val="fr-CH"/>
        </w:rPr>
        <w:t>b)</w:t>
      </w:r>
      <w:r w:rsidR="00D95EB7" w:rsidRPr="008F4439">
        <w:rPr>
          <w:lang w:val="fr-CH"/>
        </w:rPr>
        <w:tab/>
        <w:t>Soit la méthode indiquée</w:t>
      </w:r>
      <w:r w:rsidR="00D95EB7" w:rsidRPr="007C582D">
        <w:rPr>
          <w:lang w:val="fr-CH"/>
        </w:rPr>
        <w:t xml:space="preserve"> </w:t>
      </w:r>
      <w:r w:rsidR="00D95EB7" w:rsidRPr="008F4439">
        <w:rPr>
          <w:strike/>
          <w:lang w:val="fr-CH"/>
        </w:rPr>
        <w:t>dans l’appendice de l’annexe 4</w:t>
      </w:r>
      <w:r w:rsidR="00D95EB7" w:rsidRPr="008F4439">
        <w:rPr>
          <w:lang w:val="fr-CH"/>
        </w:rPr>
        <w:t xml:space="preserve"> </w:t>
      </w:r>
      <w:r w:rsidR="00D95EB7" w:rsidRPr="008F4439">
        <w:rPr>
          <w:b/>
          <w:lang w:val="fr-CH"/>
        </w:rPr>
        <w:t xml:space="preserve">au paragraphe 5 </w:t>
      </w:r>
      <w:r w:rsidR="00D95EB7" w:rsidRPr="008F4439">
        <w:rPr>
          <w:strike/>
          <w:lang w:val="fr-CH"/>
        </w:rPr>
        <w:t>de la série 01 d’amendements au Règlement n</w:t>
      </w:r>
      <w:r w:rsidR="00D95EB7" w:rsidRPr="008F4439">
        <w:rPr>
          <w:strike/>
          <w:vertAlign w:val="superscript"/>
          <w:lang w:val="fr-CH"/>
        </w:rPr>
        <w:t>o </w:t>
      </w:r>
      <w:r w:rsidR="00D95EB7" w:rsidRPr="008F4439">
        <w:rPr>
          <w:strike/>
          <w:lang w:val="fr-CH"/>
        </w:rPr>
        <w:t>78 de la CEE</w:t>
      </w:r>
      <w:r w:rsidR="00D95EB7" w:rsidRPr="008F4439">
        <w:rPr>
          <w:lang w:val="fr-CH"/>
        </w:rPr>
        <w:t>.</w:t>
      </w:r>
    </w:p>
    <w:p w:rsidR="00D95EB7" w:rsidRPr="008F4439" w:rsidRDefault="008F4847" w:rsidP="008F4847">
      <w:pPr>
        <w:pStyle w:val="SingleTxt"/>
        <w:ind w:left="2218" w:hanging="951"/>
        <w:rPr>
          <w:b/>
          <w:lang w:val="fr-CH"/>
        </w:rPr>
      </w:pPr>
      <w:r>
        <w:rPr>
          <w:b/>
          <w:i/>
          <w:lang w:val="fr-CH"/>
        </w:rPr>
        <w:tab/>
      </w:r>
      <w:r>
        <w:rPr>
          <w:b/>
          <w:i/>
          <w:lang w:val="fr-CH"/>
        </w:rPr>
        <w:tab/>
      </w:r>
      <w:r w:rsidR="00D95EB7" w:rsidRPr="008F4439">
        <w:rPr>
          <w:b/>
          <w:i/>
          <w:lang w:val="fr-CH"/>
        </w:rPr>
        <w:t>Note</w:t>
      </w:r>
      <w:r w:rsidR="003C2C8D">
        <w:rPr>
          <w:b/>
          <w:i/>
          <w:lang w:val="fr-CH"/>
        </w:rPr>
        <w:t> </w:t>
      </w:r>
      <w:r w:rsidR="00D95EB7" w:rsidRPr="008F4439">
        <w:rPr>
          <w:b/>
          <w:lang w:val="fr-CH"/>
        </w:rPr>
        <w:t>:</w:t>
      </w:r>
      <w:r>
        <w:rPr>
          <w:b/>
          <w:i/>
          <w:lang w:val="fr-CH"/>
        </w:rPr>
        <w:t xml:space="preserve"> </w:t>
      </w:r>
      <w:r w:rsidR="00D95EB7" w:rsidRPr="008F4439">
        <w:rPr>
          <w:b/>
          <w:lang w:val="fr-CH"/>
        </w:rPr>
        <w:t>Un véhicule représentatif peut être acceptable pour mesurer le CFM par la méthode</w:t>
      </w:r>
      <w:r>
        <w:rPr>
          <w:b/>
          <w:lang w:val="fr-CH"/>
        </w:rPr>
        <w:t xml:space="preserve"> </w:t>
      </w:r>
      <w:r w:rsidR="00D95EB7" w:rsidRPr="008F4439">
        <w:rPr>
          <w:b/>
          <w:lang w:val="fr-CH"/>
        </w:rPr>
        <w:t>b) si son CFM nominal, déterminé préalablement par la méthode</w:t>
      </w:r>
      <w:r>
        <w:rPr>
          <w:b/>
          <w:lang w:val="fr-CH"/>
        </w:rPr>
        <w:t xml:space="preserve"> </w:t>
      </w:r>
      <w:r w:rsidR="00D95EB7" w:rsidRPr="008F4439">
        <w:rPr>
          <w:b/>
          <w:lang w:val="fr-CH"/>
        </w:rPr>
        <w:t>a), est le même sur un revêtement à grande valeur de μ et sur un revêtement à petite valeur de μ.</w:t>
      </w:r>
    </w:p>
    <w:p w:rsidR="00D95EB7" w:rsidRPr="008F4439" w:rsidRDefault="0005066A" w:rsidP="0005066A">
      <w:pPr>
        <w:pStyle w:val="SingleTxt"/>
        <w:ind w:left="2218" w:hanging="951"/>
        <w:rPr>
          <w:b/>
          <w:lang w:val="fr-CH"/>
        </w:rPr>
      </w:pPr>
      <w:r>
        <w:rPr>
          <w:b/>
          <w:lang w:val="fr-CH"/>
        </w:rPr>
        <w:tab/>
      </w:r>
      <w:r>
        <w:rPr>
          <w:b/>
          <w:lang w:val="fr-CH"/>
        </w:rPr>
        <w:tab/>
      </w:r>
      <w:r w:rsidR="00D95EB7" w:rsidRPr="008F4439">
        <w:rPr>
          <w:b/>
          <w:lang w:val="fr-CH"/>
        </w:rPr>
        <w:t>Il faut procéder au moins une fois par an à la mesure du CFM du revêtement. Cette mesure doit être effectuée avant l’essai si des modifications ou des travaux d’entretien importants sont intervenus depuis la dernière mesure.</w:t>
      </w:r>
    </w:p>
    <w:p w:rsidR="00D95EB7" w:rsidRPr="008F4439" w:rsidRDefault="00D95EB7" w:rsidP="008F4439">
      <w:pPr>
        <w:pStyle w:val="SingleTxt"/>
        <w:rPr>
          <w:lang w:val="fr-CH"/>
        </w:rPr>
      </w:pPr>
      <w:r w:rsidRPr="008F4439">
        <w:rPr>
          <w:lang w:val="fr-CH"/>
        </w:rPr>
        <w:t>4.1.1.4</w:t>
      </w:r>
      <w:r w:rsidRPr="008F4439">
        <w:rPr>
          <w:lang w:val="fr-CH"/>
        </w:rPr>
        <w:tab/>
        <w:t>Essais du système de frein de stationnement</w:t>
      </w:r>
    </w:p>
    <w:p w:rsidR="00D95EB7" w:rsidRPr="008F4439" w:rsidRDefault="0005066A" w:rsidP="0005066A">
      <w:pPr>
        <w:pStyle w:val="SingleTxt"/>
        <w:ind w:left="2218" w:hanging="951"/>
        <w:rPr>
          <w:lang w:val="fr-CH"/>
        </w:rPr>
      </w:pPr>
      <w:r>
        <w:rPr>
          <w:lang w:val="fr-CH"/>
        </w:rPr>
        <w:tab/>
      </w:r>
      <w:r>
        <w:rPr>
          <w:lang w:val="fr-CH"/>
        </w:rPr>
        <w:tab/>
      </w:r>
      <w:r w:rsidR="00D95EB7" w:rsidRPr="008F4439">
        <w:rPr>
          <w:lang w:val="fr-CH"/>
        </w:rPr>
        <w:t xml:space="preserve">La pente d’essai prescrite doit </w:t>
      </w:r>
      <w:r w:rsidR="00D95EB7" w:rsidRPr="008F4439">
        <w:rPr>
          <w:b/>
          <w:lang w:val="fr-CH"/>
        </w:rPr>
        <w:t>être de 18 % et</w:t>
      </w:r>
      <w:r w:rsidR="00D95EB7" w:rsidRPr="008F4439">
        <w:rPr>
          <w:lang w:val="fr-CH"/>
        </w:rPr>
        <w:t xml:space="preserve"> avoir une surface propre et sèche qui ne se déforme pas sous le poids du véhicule.</w:t>
      </w:r>
      <w:r w:rsidR="003C2C8D">
        <w:rPr>
          <w:lang w:val="fr-CH"/>
        </w:rPr>
        <w:t> </w:t>
      </w:r>
      <w:r w:rsidR="00D95EB7" w:rsidRPr="008F4439">
        <w:rPr>
          <w:lang w:val="fr-CH"/>
        </w:rPr>
        <w:t>».</w:t>
      </w:r>
    </w:p>
    <w:p w:rsidR="00D95EB7" w:rsidRPr="008F4439" w:rsidRDefault="00D95EB7" w:rsidP="008F4439">
      <w:pPr>
        <w:pStyle w:val="SingleTxt"/>
        <w:rPr>
          <w:lang w:val="fr-CH"/>
        </w:rPr>
      </w:pPr>
      <w:r w:rsidRPr="008F4439">
        <w:rPr>
          <w:i/>
          <w:lang w:val="fr-CH"/>
        </w:rPr>
        <w:t>Paragraphe 4.9.1</w:t>
      </w:r>
      <w:r w:rsidRPr="008F4439">
        <w:rPr>
          <w:lang w:val="fr-CH"/>
        </w:rPr>
        <w:t>, modifier comme suit</w:t>
      </w:r>
      <w:r w:rsidR="003C2C8D">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05066A">
        <w:rPr>
          <w:lang w:val="fr-CH"/>
        </w:rPr>
        <w:t> </w:t>
      </w:r>
      <w:r w:rsidRPr="008F4439">
        <w:rPr>
          <w:lang w:val="fr-CH"/>
        </w:rPr>
        <w:t>4.9.1</w:t>
      </w:r>
      <w:r w:rsidRPr="008F4439">
        <w:rPr>
          <w:lang w:val="fr-CH"/>
        </w:rPr>
        <w:tab/>
        <w:t>Dispositions générales</w:t>
      </w:r>
    </w:p>
    <w:p w:rsidR="00D95EB7" w:rsidRPr="008F4439" w:rsidRDefault="0005066A" w:rsidP="0005066A">
      <w:pPr>
        <w:pStyle w:val="SingleTxt"/>
        <w:ind w:left="2693" w:hanging="1426"/>
        <w:rPr>
          <w:lang w:val="fr-CH"/>
        </w:rPr>
      </w:pPr>
      <w:r>
        <w:rPr>
          <w:lang w:val="fr-CH"/>
        </w:rPr>
        <w:tab/>
      </w:r>
      <w:r>
        <w:rPr>
          <w:lang w:val="fr-CH"/>
        </w:rPr>
        <w:tab/>
      </w:r>
      <w:r w:rsidR="00D95EB7" w:rsidRPr="008F4439">
        <w:rPr>
          <w:lang w:val="fr-CH"/>
        </w:rPr>
        <w:t>a)</w:t>
      </w:r>
      <w:r w:rsidR="00D95EB7" w:rsidRPr="008F4439">
        <w:rPr>
          <w:lang w:val="fr-CH"/>
        </w:rPr>
        <w:tab/>
        <w:t>Ces essais s’appliquent seulement aux systèmes ABS montés sur les catégories de véhicules 3-1 et 3-3;</w:t>
      </w:r>
    </w:p>
    <w:p w:rsidR="00D95EB7" w:rsidRPr="008F4439" w:rsidRDefault="0005066A" w:rsidP="0005066A">
      <w:pPr>
        <w:pStyle w:val="SingleTxt"/>
        <w:ind w:left="2693" w:hanging="1426"/>
        <w:rPr>
          <w:lang w:val="fr-CH"/>
        </w:rPr>
      </w:pPr>
      <w:r>
        <w:rPr>
          <w:lang w:val="fr-CH"/>
        </w:rPr>
        <w:tab/>
      </w:r>
      <w:r>
        <w:rPr>
          <w:lang w:val="fr-CH"/>
        </w:rPr>
        <w:tab/>
      </w:r>
      <w:r w:rsidR="00D95EB7" w:rsidRPr="008F4439">
        <w:rPr>
          <w:lang w:val="fr-CH"/>
        </w:rPr>
        <w:t>b)</w:t>
      </w:r>
      <w:r w:rsidR="00D95EB7" w:rsidRPr="008F4439">
        <w:rPr>
          <w:lang w:val="fr-CH"/>
        </w:rPr>
        <w:tab/>
        <w:t>Ils ont pour objet de confirmer l’efficacité des systèmes de freinage équipés de l’ABS en conditions normales et en cas de défaillance électrique de l’ABS;</w:t>
      </w:r>
    </w:p>
    <w:p w:rsidR="00D95EB7" w:rsidRPr="008F4439" w:rsidRDefault="0005066A" w:rsidP="0005066A">
      <w:pPr>
        <w:pStyle w:val="SingleTxt"/>
        <w:ind w:left="2693" w:hanging="1426"/>
        <w:rPr>
          <w:lang w:val="fr-CH"/>
        </w:rPr>
      </w:pPr>
      <w:r>
        <w:rPr>
          <w:lang w:val="fr-CH"/>
        </w:rPr>
        <w:tab/>
      </w:r>
      <w:r>
        <w:rPr>
          <w:lang w:val="fr-CH"/>
        </w:rPr>
        <w:tab/>
      </w:r>
      <w:r w:rsidR="00D95EB7" w:rsidRPr="008F4439">
        <w:rPr>
          <w:lang w:val="fr-CH"/>
        </w:rPr>
        <w:t>c)</w:t>
      </w:r>
      <w:r w:rsidR="00D95EB7" w:rsidRPr="008F4439">
        <w:rPr>
          <w:lang w:val="fr-CH"/>
        </w:rPr>
        <w:tab/>
      </w:r>
      <w:r w:rsidR="007C582D">
        <w:rPr>
          <w:lang w:val="fr-CH"/>
        </w:rPr>
        <w:t>« </w:t>
      </w:r>
      <w:r w:rsidR="00D95EB7" w:rsidRPr="008F4439">
        <w:rPr>
          <w:lang w:val="fr-CH"/>
        </w:rPr>
        <w:t>Mode régulation</w:t>
      </w:r>
      <w:r w:rsidR="007C582D">
        <w:rPr>
          <w:lang w:val="fr-CH"/>
        </w:rPr>
        <w:t> </w:t>
      </w:r>
      <w:r w:rsidR="00D95EB7" w:rsidRPr="008F4439">
        <w:rPr>
          <w:lang w:val="fr-CH"/>
        </w:rPr>
        <w:t xml:space="preserve">» désigne le cas où le système antiblocage effectue </w:t>
      </w:r>
      <w:r w:rsidR="00D95EB7" w:rsidRPr="008F4439">
        <w:rPr>
          <w:b/>
          <w:lang w:val="fr-CH"/>
        </w:rPr>
        <w:t xml:space="preserve">de manière répétée ou continue </w:t>
      </w:r>
      <w:r w:rsidR="00D95EB7" w:rsidRPr="008F4439">
        <w:rPr>
          <w:lang w:val="fr-CH"/>
        </w:rPr>
        <w:t xml:space="preserve">des cycles </w:t>
      </w:r>
      <w:r w:rsidR="00D95EB7" w:rsidRPr="008F4439">
        <w:rPr>
          <w:strike/>
          <w:lang w:val="fr-CH"/>
        </w:rPr>
        <w:t>successifs</w:t>
      </w:r>
      <w:r w:rsidR="00D95EB7" w:rsidRPr="006F79F9">
        <w:rPr>
          <w:lang w:val="fr-CH"/>
        </w:rPr>
        <w:t xml:space="preserve"> </w:t>
      </w:r>
      <w:r w:rsidR="00D95EB7" w:rsidRPr="008F4439">
        <w:rPr>
          <w:lang w:val="fr-CH"/>
        </w:rPr>
        <w:t>complets de modulation de la force de freinage pour empêcher les roues directement commandées de se bloquer.</w:t>
      </w:r>
      <w:r w:rsidR="003C2C8D">
        <w:rPr>
          <w:lang w:val="fr-CH"/>
        </w:rPr>
        <w:t> </w:t>
      </w:r>
      <w:r w:rsidR="00D95EB7" w:rsidRPr="008F4439">
        <w:rPr>
          <w:lang w:val="fr-CH"/>
        </w:rPr>
        <w:t>».</w:t>
      </w:r>
    </w:p>
    <w:p w:rsidR="00D95EB7" w:rsidRPr="008F4439" w:rsidRDefault="00D95EB7" w:rsidP="008F4439">
      <w:pPr>
        <w:pStyle w:val="SingleTxt"/>
        <w:rPr>
          <w:lang w:val="fr-CH"/>
        </w:rPr>
      </w:pPr>
      <w:r w:rsidRPr="008F4439">
        <w:rPr>
          <w:i/>
          <w:lang w:val="fr-CH"/>
        </w:rPr>
        <w:t>Paragraphe 4.9.3.1</w:t>
      </w:r>
      <w:r w:rsidRPr="008F4439">
        <w:rPr>
          <w:lang w:val="fr-CH"/>
        </w:rPr>
        <w:t>, modifier comme suit</w:t>
      </w:r>
      <w:r w:rsidR="003C2C8D">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3C2C8D">
        <w:rPr>
          <w:lang w:val="fr-CH"/>
        </w:rPr>
        <w:t> </w:t>
      </w:r>
      <w:r w:rsidRPr="008F4439">
        <w:rPr>
          <w:lang w:val="fr-CH"/>
        </w:rPr>
        <w:t>4.9.3.1</w:t>
      </w:r>
      <w:r w:rsidRPr="008F4439">
        <w:rPr>
          <w:lang w:val="fr-CH"/>
        </w:rPr>
        <w:tab/>
        <w:t>Conditions et procédure d’essai</w:t>
      </w:r>
    </w:p>
    <w:p w:rsidR="00D95EB7" w:rsidRPr="008F4439" w:rsidRDefault="0005066A" w:rsidP="0005066A">
      <w:pPr>
        <w:pStyle w:val="SingleTxt"/>
        <w:ind w:left="2218" w:hanging="951"/>
        <w:rPr>
          <w:lang w:val="fr-CH"/>
        </w:rPr>
      </w:pPr>
      <w:r>
        <w:rPr>
          <w:lang w:val="fr-CH"/>
        </w:rPr>
        <w:tab/>
      </w:r>
      <w:r>
        <w:rPr>
          <w:lang w:val="fr-CH"/>
        </w:rPr>
        <w:tab/>
      </w:r>
      <w:r w:rsidR="00D95EB7" w:rsidRPr="008F4439">
        <w:rPr>
          <w:lang w:val="fr-CH"/>
        </w:rPr>
        <w:t>…</w:t>
      </w:r>
    </w:p>
    <w:p w:rsidR="00D95EB7" w:rsidRPr="008F4439" w:rsidRDefault="0005066A" w:rsidP="0005066A">
      <w:pPr>
        <w:pStyle w:val="SingleTxt"/>
        <w:ind w:left="2693" w:hanging="1426"/>
        <w:rPr>
          <w:lang w:val="fr-CH"/>
        </w:rPr>
      </w:pPr>
      <w:r>
        <w:rPr>
          <w:lang w:val="fr-CH"/>
        </w:rPr>
        <w:tab/>
      </w:r>
      <w:r>
        <w:rPr>
          <w:lang w:val="fr-CH"/>
        </w:rPr>
        <w:tab/>
      </w:r>
      <w:r w:rsidR="00D95EB7" w:rsidRPr="008F4439">
        <w:rPr>
          <w:lang w:val="fr-CH"/>
        </w:rPr>
        <w:t>d)</w:t>
      </w:r>
      <w:r w:rsidR="00D95EB7" w:rsidRPr="008F4439">
        <w:rPr>
          <w:lang w:val="fr-CH"/>
        </w:rPr>
        <w:tab/>
        <w:t>Force d’actionnement</w:t>
      </w:r>
      <w:r>
        <w:rPr>
          <w:lang w:val="fr-CH"/>
        </w:rPr>
        <w:t> </w:t>
      </w:r>
      <w:r w:rsidR="00D95EB7" w:rsidRPr="008F4439">
        <w:rPr>
          <w:lang w:val="fr-CH"/>
        </w:rPr>
        <w:t>:</w:t>
      </w:r>
    </w:p>
    <w:p w:rsidR="00D95EB7" w:rsidRPr="008F4439" w:rsidRDefault="0005066A" w:rsidP="007C582D">
      <w:pPr>
        <w:pStyle w:val="SingleTxt"/>
        <w:ind w:left="2693" w:hanging="1426"/>
        <w:rPr>
          <w:lang w:val="fr-CH"/>
        </w:rPr>
      </w:pPr>
      <w:r>
        <w:rPr>
          <w:lang w:val="fr-CH"/>
        </w:rPr>
        <w:tab/>
      </w:r>
      <w:r>
        <w:rPr>
          <w:lang w:val="fr-CH"/>
        </w:rPr>
        <w:tab/>
      </w:r>
      <w:r w:rsidR="007C582D">
        <w:rPr>
          <w:lang w:val="fr-CH"/>
        </w:rPr>
        <w:tab/>
      </w:r>
      <w:r w:rsidR="00D95EB7" w:rsidRPr="008F4439">
        <w:rPr>
          <w:lang w:val="fr-CH"/>
        </w:rPr>
        <w:t xml:space="preserve">La force appliquée est celle qui est nécessaire pour que l’ABS </w:t>
      </w:r>
      <w:r w:rsidR="00D95EB7" w:rsidRPr="008F4439">
        <w:rPr>
          <w:strike/>
          <w:lang w:val="fr-CH"/>
        </w:rPr>
        <w:t xml:space="preserve">fasse </w:t>
      </w:r>
      <w:r w:rsidR="00D95EB7" w:rsidRPr="006F79F9">
        <w:rPr>
          <w:strike/>
          <w:lang w:val="fr-CH"/>
        </w:rPr>
        <w:t>un cycle complet</w:t>
      </w:r>
      <w:r w:rsidR="00D95EB7" w:rsidRPr="006F79F9">
        <w:rPr>
          <w:lang w:val="fr-CH"/>
        </w:rPr>
        <w:t xml:space="preserve"> </w:t>
      </w:r>
      <w:r w:rsidR="00D95EB7" w:rsidRPr="008F4439">
        <w:rPr>
          <w:b/>
          <w:lang w:val="fr-CH"/>
        </w:rPr>
        <w:t>soit en mode régulation</w:t>
      </w:r>
      <w:r w:rsidR="00D95EB7" w:rsidRPr="008F4439">
        <w:rPr>
          <w:lang w:val="fr-CH"/>
        </w:rPr>
        <w:t xml:space="preserve"> à chaque freinage, jusqu’à ce que la vitesse du véhicule atteigne 10 km/h.</w:t>
      </w:r>
      <w:r w:rsidR="003C2C8D">
        <w:rPr>
          <w:lang w:val="fr-CH"/>
        </w:rPr>
        <w:t> </w:t>
      </w:r>
      <w:r w:rsidR="00D95EB7" w:rsidRPr="008F4439">
        <w:rPr>
          <w:lang w:val="fr-CH"/>
        </w:rPr>
        <w:t>».</w:t>
      </w:r>
    </w:p>
    <w:p w:rsidR="00D95EB7" w:rsidRPr="008F4439" w:rsidRDefault="00D95EB7" w:rsidP="008F4439">
      <w:pPr>
        <w:pStyle w:val="SingleTxt"/>
        <w:rPr>
          <w:lang w:val="fr-CH"/>
        </w:rPr>
      </w:pPr>
      <w:r w:rsidRPr="008F4439">
        <w:rPr>
          <w:i/>
          <w:lang w:val="fr-CH"/>
        </w:rPr>
        <w:t>Paragraphe 4.9.5.1</w:t>
      </w:r>
      <w:r w:rsidRPr="008F4439">
        <w:rPr>
          <w:lang w:val="fr-CH"/>
        </w:rPr>
        <w:t>, modifier comme suit</w:t>
      </w:r>
      <w:r w:rsidR="003C2C8D">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05066A">
        <w:rPr>
          <w:lang w:val="fr-CH"/>
        </w:rPr>
        <w:t> </w:t>
      </w:r>
      <w:r w:rsidRPr="008F4439">
        <w:rPr>
          <w:lang w:val="fr-CH"/>
        </w:rPr>
        <w:t>4.9.5.1</w:t>
      </w:r>
      <w:r w:rsidRPr="008F4439">
        <w:rPr>
          <w:lang w:val="fr-CH"/>
        </w:rPr>
        <w:tab/>
        <w:t>Conditions et procédure d’essai</w:t>
      </w:r>
    </w:p>
    <w:p w:rsidR="00D95EB7" w:rsidRPr="008F4439" w:rsidRDefault="0005066A" w:rsidP="0005066A">
      <w:pPr>
        <w:pStyle w:val="SingleTxt"/>
        <w:ind w:left="2218" w:hanging="951"/>
        <w:rPr>
          <w:lang w:val="fr-CH"/>
        </w:rPr>
      </w:pPr>
      <w:r>
        <w:rPr>
          <w:lang w:val="fr-CH"/>
        </w:rPr>
        <w:tab/>
      </w:r>
      <w:r>
        <w:rPr>
          <w:lang w:val="fr-CH"/>
        </w:rPr>
        <w:tab/>
      </w:r>
      <w:r w:rsidR="00D95EB7" w:rsidRPr="008F4439">
        <w:rPr>
          <w:lang w:val="fr-CH"/>
        </w:rPr>
        <w:t>…</w:t>
      </w:r>
    </w:p>
    <w:p w:rsidR="00D95EB7" w:rsidRPr="008F4439" w:rsidRDefault="0005066A" w:rsidP="008F4439">
      <w:pPr>
        <w:pStyle w:val="SingleTxt"/>
        <w:rPr>
          <w:lang w:val="fr-CH"/>
        </w:rPr>
      </w:pPr>
      <w:r>
        <w:rPr>
          <w:lang w:val="fr-CH"/>
        </w:rPr>
        <w:tab/>
      </w:r>
      <w:r>
        <w:rPr>
          <w:lang w:val="fr-CH"/>
        </w:rPr>
        <w:tab/>
      </w:r>
      <w:r w:rsidR="00D95EB7" w:rsidRPr="008F4439">
        <w:rPr>
          <w:lang w:val="fr-CH"/>
        </w:rPr>
        <w:t>e)</w:t>
      </w:r>
      <w:r w:rsidR="00D95EB7" w:rsidRPr="008F4439">
        <w:rPr>
          <w:lang w:val="fr-CH"/>
        </w:rPr>
        <w:tab/>
        <w:t>Force d’actionnement</w:t>
      </w:r>
      <w:r>
        <w:rPr>
          <w:lang w:val="fr-CH"/>
        </w:rPr>
        <w:t> </w:t>
      </w:r>
      <w:r w:rsidR="00D95EB7" w:rsidRPr="008F4439">
        <w:rPr>
          <w:lang w:val="fr-CH"/>
        </w:rPr>
        <w:t>:</w:t>
      </w:r>
    </w:p>
    <w:p w:rsidR="00D95EB7" w:rsidRPr="008F4439" w:rsidRDefault="0005066A" w:rsidP="007C582D">
      <w:pPr>
        <w:pStyle w:val="SingleTxt"/>
        <w:ind w:left="2693" w:hanging="1426"/>
        <w:rPr>
          <w:lang w:val="fr-CH"/>
        </w:rPr>
      </w:pPr>
      <w:r>
        <w:rPr>
          <w:lang w:val="fr-CH"/>
        </w:rPr>
        <w:tab/>
      </w:r>
      <w:r>
        <w:rPr>
          <w:lang w:val="fr-CH"/>
        </w:rPr>
        <w:tab/>
      </w:r>
      <w:r w:rsidR="007C582D">
        <w:rPr>
          <w:lang w:val="fr-CH"/>
        </w:rPr>
        <w:tab/>
      </w:r>
      <w:r w:rsidR="00D95EB7" w:rsidRPr="008F4439">
        <w:rPr>
          <w:lang w:val="fr-CH"/>
        </w:rPr>
        <w:t xml:space="preserve">La force appliquée est celle qui est nécessaire pour que l’ABS </w:t>
      </w:r>
      <w:r w:rsidR="00D95EB7" w:rsidRPr="008F4439">
        <w:rPr>
          <w:strike/>
          <w:lang w:val="fr-CH"/>
        </w:rPr>
        <w:t>fasse un cycle complet</w:t>
      </w:r>
      <w:r w:rsidR="00D95EB7" w:rsidRPr="006F79F9">
        <w:rPr>
          <w:lang w:val="fr-CH"/>
        </w:rPr>
        <w:t xml:space="preserve"> </w:t>
      </w:r>
      <w:r w:rsidR="00D95EB7" w:rsidRPr="008F4439">
        <w:rPr>
          <w:b/>
          <w:lang w:val="fr-CH"/>
        </w:rPr>
        <w:t>soit en mode régulation</w:t>
      </w:r>
      <w:r w:rsidR="00D95EB7" w:rsidRPr="008F4439">
        <w:rPr>
          <w:lang w:val="fr-CH"/>
        </w:rPr>
        <w:t xml:space="preserve"> à chaque freinage, jusqu’à ce que la vitesse du véhicule atteigne 10 km/h;</w:t>
      </w:r>
    </w:p>
    <w:p w:rsidR="00D95EB7" w:rsidRPr="008F4439" w:rsidRDefault="0005066A" w:rsidP="008F4439">
      <w:pPr>
        <w:pStyle w:val="SingleTxt"/>
        <w:rPr>
          <w:lang w:val="fr-CH"/>
        </w:rPr>
      </w:pPr>
      <w:r>
        <w:rPr>
          <w:lang w:val="fr-CH"/>
        </w:rPr>
        <w:tab/>
      </w:r>
      <w:r>
        <w:rPr>
          <w:lang w:val="fr-CH"/>
        </w:rPr>
        <w:tab/>
      </w:r>
      <w:r w:rsidR="00D95EB7" w:rsidRPr="008F4439">
        <w:rPr>
          <w:lang w:val="fr-CH"/>
        </w:rPr>
        <w:t>f)</w:t>
      </w:r>
      <w:r w:rsidR="00D95EB7" w:rsidRPr="008F4439">
        <w:rPr>
          <w:lang w:val="fr-CH"/>
        </w:rPr>
        <w:tab/>
        <w:t>Vitesse d’application de la force d’actionnement</w:t>
      </w:r>
      <w:r>
        <w:rPr>
          <w:lang w:val="fr-CH"/>
        </w:rPr>
        <w:t> </w:t>
      </w:r>
      <w:r w:rsidR="00D95EB7" w:rsidRPr="008F4439">
        <w:rPr>
          <w:lang w:val="fr-CH"/>
        </w:rPr>
        <w:t>:</w:t>
      </w:r>
    </w:p>
    <w:p w:rsidR="00D95EB7" w:rsidRPr="008F4439" w:rsidRDefault="0005066A" w:rsidP="007C582D">
      <w:pPr>
        <w:pStyle w:val="SingleTxt"/>
        <w:ind w:left="2693" w:hanging="1426"/>
        <w:rPr>
          <w:spacing w:val="-4"/>
          <w:lang w:val="fr-CH"/>
        </w:rPr>
      </w:pPr>
      <w:r>
        <w:rPr>
          <w:spacing w:val="-4"/>
          <w:lang w:val="fr-CH"/>
        </w:rPr>
        <w:tab/>
      </w:r>
      <w:r>
        <w:rPr>
          <w:spacing w:val="-4"/>
          <w:lang w:val="fr-CH"/>
        </w:rPr>
        <w:tab/>
      </w:r>
      <w:r w:rsidR="007C582D">
        <w:rPr>
          <w:spacing w:val="-4"/>
          <w:lang w:val="fr-CH"/>
        </w:rPr>
        <w:tab/>
      </w:r>
      <w:r w:rsidR="00D95EB7" w:rsidRPr="008F4439">
        <w:rPr>
          <w:spacing w:val="-4"/>
          <w:lang w:val="fr-CH"/>
        </w:rPr>
        <w:t xml:space="preserve">La force d’actionnement des freins doit être appliquée en </w:t>
      </w:r>
      <w:r w:rsidR="00D95EB7" w:rsidRPr="008F4439">
        <w:rPr>
          <w:strike/>
          <w:spacing w:val="-4"/>
          <w:lang w:val="fr-CH"/>
        </w:rPr>
        <w:t>0,2</w:t>
      </w:r>
      <w:r w:rsidR="00D95EB7" w:rsidRPr="006F79F9">
        <w:rPr>
          <w:spacing w:val="-4"/>
          <w:lang w:val="fr-CH"/>
        </w:rPr>
        <w:t xml:space="preserve"> </w:t>
      </w:r>
      <w:r w:rsidR="00D95EB7" w:rsidRPr="008F4439">
        <w:rPr>
          <w:b/>
          <w:spacing w:val="-4"/>
          <w:lang w:val="fr-CH"/>
        </w:rPr>
        <w:t xml:space="preserve">0,1 </w:t>
      </w:r>
      <w:r w:rsidR="00D95EB7" w:rsidRPr="008F4439">
        <w:rPr>
          <w:spacing w:val="-4"/>
          <w:lang w:val="fr-CH"/>
        </w:rPr>
        <w:t>à 0,5 s.</w:t>
      </w:r>
      <w:r>
        <w:rPr>
          <w:spacing w:val="-4"/>
          <w:lang w:val="fr-CH"/>
        </w:rPr>
        <w:t> </w:t>
      </w:r>
      <w:r w:rsidR="00D95EB7" w:rsidRPr="008F4439">
        <w:rPr>
          <w:spacing w:val="-4"/>
          <w:lang w:val="fr-CH"/>
        </w:rPr>
        <w:t>».</w:t>
      </w:r>
    </w:p>
    <w:p w:rsidR="00D95EB7" w:rsidRPr="008F4439" w:rsidRDefault="00D95EB7" w:rsidP="008F4439">
      <w:pPr>
        <w:pStyle w:val="SingleTxt"/>
        <w:rPr>
          <w:lang w:val="fr-CH"/>
        </w:rPr>
      </w:pPr>
      <w:r w:rsidRPr="008F4439">
        <w:rPr>
          <w:i/>
          <w:lang w:val="fr-CH"/>
        </w:rPr>
        <w:t>Paragraphe 4.9.6.1</w:t>
      </w:r>
      <w:r w:rsidRPr="008F4439">
        <w:rPr>
          <w:lang w:val="fr-CH"/>
        </w:rPr>
        <w:t>, modifier comme suit</w:t>
      </w:r>
      <w:r w:rsidR="0005066A">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05066A">
        <w:rPr>
          <w:lang w:val="fr-CH"/>
        </w:rPr>
        <w:t> </w:t>
      </w:r>
      <w:r w:rsidRPr="008F4439">
        <w:rPr>
          <w:lang w:val="fr-CH"/>
        </w:rPr>
        <w:t>4.9.6.1</w:t>
      </w:r>
      <w:r w:rsidRPr="008F4439">
        <w:rPr>
          <w:lang w:val="fr-CH"/>
        </w:rPr>
        <w:tab/>
        <w:t>Conditions et procédure d’essai</w:t>
      </w:r>
    </w:p>
    <w:p w:rsidR="00D95EB7" w:rsidRPr="008F4439" w:rsidRDefault="0005066A" w:rsidP="0005066A">
      <w:pPr>
        <w:pStyle w:val="SingleTxt"/>
        <w:ind w:left="2218" w:hanging="951"/>
        <w:rPr>
          <w:lang w:val="fr-CH"/>
        </w:rPr>
      </w:pPr>
      <w:r>
        <w:rPr>
          <w:lang w:val="fr-CH"/>
        </w:rPr>
        <w:tab/>
      </w:r>
      <w:r>
        <w:rPr>
          <w:lang w:val="fr-CH"/>
        </w:rPr>
        <w:tab/>
      </w:r>
      <w:r w:rsidR="00D95EB7" w:rsidRPr="008F4439">
        <w:rPr>
          <w:lang w:val="fr-CH"/>
        </w:rPr>
        <w:t>…</w:t>
      </w:r>
    </w:p>
    <w:p w:rsidR="00D95EB7" w:rsidRPr="008F4439" w:rsidRDefault="0005066A" w:rsidP="008F4439">
      <w:pPr>
        <w:pStyle w:val="SingleTxt"/>
        <w:rPr>
          <w:lang w:val="fr-CH"/>
        </w:rPr>
      </w:pPr>
      <w:r>
        <w:rPr>
          <w:lang w:val="fr-CH"/>
        </w:rPr>
        <w:tab/>
      </w:r>
      <w:r>
        <w:rPr>
          <w:lang w:val="fr-CH"/>
        </w:rPr>
        <w:tab/>
      </w:r>
      <w:r w:rsidR="00D95EB7" w:rsidRPr="008F4439">
        <w:rPr>
          <w:lang w:val="fr-CH"/>
        </w:rPr>
        <w:t>e)</w:t>
      </w:r>
      <w:r w:rsidR="00D95EB7" w:rsidRPr="008F4439">
        <w:rPr>
          <w:lang w:val="fr-CH"/>
        </w:rPr>
        <w:tab/>
        <w:t>Force d’actionnement</w:t>
      </w:r>
      <w:r w:rsidR="003C2C8D">
        <w:rPr>
          <w:lang w:val="fr-CH"/>
        </w:rPr>
        <w:t> </w:t>
      </w:r>
      <w:r w:rsidR="00D95EB7" w:rsidRPr="008F4439">
        <w:rPr>
          <w:lang w:val="fr-CH"/>
        </w:rPr>
        <w:t>:</w:t>
      </w:r>
    </w:p>
    <w:p w:rsidR="00D95EB7" w:rsidRPr="008F4439" w:rsidRDefault="0005066A" w:rsidP="007C582D">
      <w:pPr>
        <w:pStyle w:val="SingleTxt"/>
        <w:ind w:left="2693" w:hanging="1426"/>
        <w:rPr>
          <w:lang w:val="fr-CH"/>
        </w:rPr>
      </w:pPr>
      <w:r>
        <w:rPr>
          <w:lang w:val="fr-CH"/>
        </w:rPr>
        <w:tab/>
      </w:r>
      <w:r>
        <w:rPr>
          <w:lang w:val="fr-CH"/>
        </w:rPr>
        <w:tab/>
      </w:r>
      <w:r w:rsidR="007C582D">
        <w:rPr>
          <w:lang w:val="fr-CH"/>
        </w:rPr>
        <w:tab/>
      </w:r>
      <w:r w:rsidR="00D95EB7" w:rsidRPr="008F4439">
        <w:rPr>
          <w:lang w:val="fr-CH"/>
        </w:rPr>
        <w:t xml:space="preserve">La force appliquée est celle qui est nécessaire pour que l’ABS </w:t>
      </w:r>
      <w:r w:rsidR="00D95EB7" w:rsidRPr="008F4439">
        <w:rPr>
          <w:strike/>
          <w:lang w:val="fr-CH"/>
        </w:rPr>
        <w:t xml:space="preserve">fasse un cycle complet </w:t>
      </w:r>
      <w:r w:rsidR="00D95EB7" w:rsidRPr="008F4439">
        <w:rPr>
          <w:b/>
          <w:lang w:val="fr-CH"/>
        </w:rPr>
        <w:t>soit en mode régulation</w:t>
      </w:r>
      <w:r w:rsidR="00D95EB7" w:rsidRPr="008F4439">
        <w:rPr>
          <w:lang w:val="fr-CH"/>
        </w:rPr>
        <w:t xml:space="preserve"> à chaque freinage, jusqu’à ce que la vitesse du véhicule atteigne 10 km/h.</w:t>
      </w:r>
      <w:r>
        <w:rPr>
          <w:lang w:val="fr-CH"/>
        </w:rPr>
        <w:t> </w:t>
      </w:r>
      <w:r w:rsidR="00D95EB7" w:rsidRPr="008F4439">
        <w:rPr>
          <w:lang w:val="fr-CH"/>
        </w:rPr>
        <w:t>».</w:t>
      </w:r>
    </w:p>
    <w:p w:rsidR="00D95EB7" w:rsidRPr="008F4439" w:rsidRDefault="00D95EB7" w:rsidP="007C582D">
      <w:pPr>
        <w:pStyle w:val="SingleTxt"/>
        <w:rPr>
          <w:lang w:val="fr-CH"/>
        </w:rPr>
      </w:pPr>
      <w:r w:rsidRPr="008F4439">
        <w:rPr>
          <w:i/>
          <w:lang w:val="fr-CH"/>
        </w:rPr>
        <w:t>Paragraphe 4.9.7.1</w:t>
      </w:r>
      <w:r w:rsidRPr="008F4439">
        <w:rPr>
          <w:lang w:val="fr-CH"/>
        </w:rPr>
        <w:t>, modifier comme suit</w:t>
      </w:r>
      <w:r w:rsidR="0005066A">
        <w:rPr>
          <w:lang w:val="fr-CH"/>
        </w:rPr>
        <w:t> </w:t>
      </w:r>
      <w:r w:rsidRPr="008F4439">
        <w:rPr>
          <w:lang w:val="fr-CH"/>
        </w:rPr>
        <w:t>:</w:t>
      </w:r>
    </w:p>
    <w:p w:rsidR="00D95EB7" w:rsidRPr="008F4439" w:rsidRDefault="00D95EB7" w:rsidP="008F4439">
      <w:pPr>
        <w:pStyle w:val="SingleTxt"/>
        <w:rPr>
          <w:lang w:val="fr-CH"/>
        </w:rPr>
      </w:pPr>
      <w:r w:rsidRPr="008F4439">
        <w:rPr>
          <w:lang w:val="fr-CH"/>
        </w:rPr>
        <w:t>«</w:t>
      </w:r>
      <w:r w:rsidR="0005066A">
        <w:rPr>
          <w:lang w:val="fr-CH"/>
        </w:rPr>
        <w:t> </w:t>
      </w:r>
      <w:r w:rsidRPr="008F4439">
        <w:rPr>
          <w:lang w:val="fr-CH"/>
        </w:rPr>
        <w:t>4.9.7.1</w:t>
      </w:r>
      <w:r w:rsidRPr="008F4439">
        <w:rPr>
          <w:lang w:val="fr-CH"/>
        </w:rPr>
        <w:tab/>
        <w:t>Conditions et procédure d’essai</w:t>
      </w:r>
    </w:p>
    <w:p w:rsidR="00D95EB7" w:rsidRPr="008F4439" w:rsidRDefault="0005066A" w:rsidP="008F4439">
      <w:pPr>
        <w:pStyle w:val="SingleTxt"/>
        <w:rPr>
          <w:lang w:val="fr-CH"/>
        </w:rPr>
      </w:pPr>
      <w:r>
        <w:rPr>
          <w:lang w:val="fr-CH"/>
        </w:rPr>
        <w:tab/>
      </w:r>
      <w:r>
        <w:rPr>
          <w:lang w:val="fr-CH"/>
        </w:rPr>
        <w:tab/>
      </w:r>
      <w:r w:rsidR="00D95EB7" w:rsidRPr="008F4439">
        <w:rPr>
          <w:lang w:val="fr-CH"/>
        </w:rPr>
        <w:t>…</w:t>
      </w:r>
    </w:p>
    <w:p w:rsidR="00D95EB7" w:rsidRPr="008F4439" w:rsidRDefault="0005066A" w:rsidP="008F4439">
      <w:pPr>
        <w:pStyle w:val="SingleTxt"/>
        <w:rPr>
          <w:lang w:val="fr-CH"/>
        </w:rPr>
      </w:pPr>
      <w:r>
        <w:rPr>
          <w:lang w:val="fr-CH"/>
        </w:rPr>
        <w:tab/>
      </w:r>
      <w:r>
        <w:rPr>
          <w:lang w:val="fr-CH"/>
        </w:rPr>
        <w:tab/>
      </w:r>
      <w:r w:rsidR="00D95EB7" w:rsidRPr="008F4439">
        <w:rPr>
          <w:lang w:val="fr-CH"/>
        </w:rPr>
        <w:t>e)</w:t>
      </w:r>
      <w:r w:rsidR="00D95EB7" w:rsidRPr="008F4439">
        <w:rPr>
          <w:lang w:val="fr-CH"/>
        </w:rPr>
        <w:tab/>
        <w:t>Force d’actionnement</w:t>
      </w:r>
      <w:r>
        <w:rPr>
          <w:lang w:val="fr-CH"/>
        </w:rPr>
        <w:t> </w:t>
      </w:r>
      <w:r w:rsidR="00D95EB7" w:rsidRPr="008F4439">
        <w:rPr>
          <w:lang w:val="fr-CH"/>
        </w:rPr>
        <w:t>:</w:t>
      </w:r>
    </w:p>
    <w:p w:rsidR="00D95EB7" w:rsidRPr="008F4439" w:rsidRDefault="0005066A" w:rsidP="0005066A">
      <w:pPr>
        <w:pStyle w:val="SingleTxt"/>
        <w:ind w:left="2218" w:hanging="951"/>
        <w:rPr>
          <w:lang w:val="fr-CH"/>
        </w:rPr>
      </w:pPr>
      <w:r>
        <w:rPr>
          <w:lang w:val="fr-CH"/>
        </w:rPr>
        <w:tab/>
      </w:r>
      <w:r>
        <w:rPr>
          <w:lang w:val="fr-CH"/>
        </w:rPr>
        <w:tab/>
      </w:r>
      <w:r w:rsidR="00D95EB7" w:rsidRPr="008F4439">
        <w:rPr>
          <w:lang w:val="fr-CH"/>
        </w:rPr>
        <w:t xml:space="preserve">La force appliquée est celle qui est nécessaire pour que l’ABS </w:t>
      </w:r>
      <w:r w:rsidR="00D95EB7" w:rsidRPr="008F4439">
        <w:rPr>
          <w:strike/>
          <w:lang w:val="fr-CH"/>
        </w:rPr>
        <w:t xml:space="preserve">fasse un cycle complet </w:t>
      </w:r>
      <w:r w:rsidR="00D95EB7" w:rsidRPr="008F4439">
        <w:rPr>
          <w:b/>
          <w:lang w:val="fr-CH"/>
        </w:rPr>
        <w:t>soit en mode régulation</w:t>
      </w:r>
      <w:r w:rsidR="00D95EB7" w:rsidRPr="008F4439">
        <w:rPr>
          <w:lang w:val="fr-CH"/>
        </w:rPr>
        <w:t xml:space="preserve"> à chaque freinage, jusqu’à ce que la vitesse du véhicule atteigne 10 km/h.</w:t>
      </w:r>
      <w:r>
        <w:rPr>
          <w:lang w:val="fr-CH"/>
        </w:rPr>
        <w:t> </w:t>
      </w:r>
      <w:r w:rsidR="00D95EB7" w:rsidRPr="008F4439">
        <w:rPr>
          <w:lang w:val="fr-CH"/>
        </w:rPr>
        <w:t>».</w:t>
      </w:r>
    </w:p>
    <w:p w:rsidR="00D95EB7" w:rsidRPr="008F4439" w:rsidRDefault="00D95EB7" w:rsidP="008F4439">
      <w:pPr>
        <w:pStyle w:val="SingleTxt"/>
        <w:rPr>
          <w:lang w:val="fr-CH"/>
        </w:rPr>
      </w:pPr>
      <w:r w:rsidRPr="008F4439">
        <w:rPr>
          <w:i/>
          <w:lang w:val="fr-CH"/>
        </w:rPr>
        <w:t>Ajouter un nouveau paragraphe</w:t>
      </w:r>
      <w:r w:rsidRPr="008F4439">
        <w:rPr>
          <w:lang w:val="fr-CH"/>
        </w:rPr>
        <w:t>, ainsi conçu</w:t>
      </w:r>
      <w:r w:rsidR="0005066A">
        <w:rPr>
          <w:lang w:val="fr-CH"/>
        </w:rPr>
        <w:t> </w:t>
      </w:r>
      <w:r w:rsidRPr="008F4439">
        <w:rPr>
          <w:lang w:val="fr-CH"/>
        </w:rPr>
        <w:t>:</w:t>
      </w:r>
    </w:p>
    <w:p w:rsidR="00D95EB7" w:rsidRPr="008F4439" w:rsidRDefault="00D95EB7" w:rsidP="008F4439">
      <w:pPr>
        <w:pStyle w:val="SingleTxt"/>
        <w:rPr>
          <w:b/>
          <w:lang w:val="fr-CH"/>
        </w:rPr>
      </w:pPr>
      <w:r w:rsidRPr="008F4439">
        <w:rPr>
          <w:lang w:val="fr-CH"/>
        </w:rPr>
        <w:t>«</w:t>
      </w:r>
      <w:r w:rsidR="0005066A">
        <w:rPr>
          <w:lang w:val="fr-CH"/>
        </w:rPr>
        <w:t> </w:t>
      </w:r>
      <w:r w:rsidRPr="008F4439">
        <w:rPr>
          <w:b/>
          <w:lang w:val="fr-CH"/>
        </w:rPr>
        <w:t>4.12</w:t>
      </w:r>
      <w:r w:rsidRPr="008F4439">
        <w:rPr>
          <w:b/>
          <w:lang w:val="fr-CH"/>
        </w:rPr>
        <w:tab/>
        <w:t>Essai de défaillance du système de freinage intégral</w:t>
      </w:r>
    </w:p>
    <w:p w:rsidR="00D95EB7" w:rsidRPr="008F4439" w:rsidRDefault="00D95EB7" w:rsidP="008F4439">
      <w:pPr>
        <w:pStyle w:val="SingleTxt"/>
        <w:rPr>
          <w:b/>
          <w:lang w:val="fr-CH"/>
        </w:rPr>
      </w:pPr>
      <w:r w:rsidRPr="008F4439">
        <w:rPr>
          <w:b/>
          <w:lang w:val="fr-CH"/>
        </w:rPr>
        <w:t>4.12.1</w:t>
      </w:r>
      <w:r w:rsidRPr="008F4439">
        <w:rPr>
          <w:b/>
          <w:lang w:val="fr-CH"/>
        </w:rPr>
        <w:tab/>
        <w:t>Dispositions générales</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a)</w:t>
      </w:r>
      <w:r w:rsidR="00D95EB7" w:rsidRPr="008F4439">
        <w:rPr>
          <w:b/>
          <w:lang w:val="fr-CH"/>
        </w:rPr>
        <w:tab/>
        <w:t>Cet essai s’applique seulement aux véhicules équipés d’un système de freinage intégral dont les deux systèmes de frein de service distincts partagent des composants;</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b)</w:t>
      </w:r>
      <w:r w:rsidR="00D95EB7" w:rsidRPr="008F4439">
        <w:rPr>
          <w:b/>
          <w:lang w:val="fr-CH"/>
        </w:rPr>
        <w:tab/>
        <w:t>L’essai vise à confirmer l’efficacité des systèmes de frein de service en cas de défaillance de l’un des composants communs. Certaines pièces, telles que les freins eux-mêmes, les cylindres de freins et leurs pistons (à l’exception des joints), les tiges de poussée, les ensembles leviers-cames des freins et les maîtres</w:t>
      </w:r>
      <w:r w:rsidR="003C2C8D">
        <w:rPr>
          <w:b/>
          <w:lang w:val="fr-CH"/>
        </w:rPr>
        <w:t>-</w:t>
      </w:r>
      <w:r w:rsidR="00D95EB7" w:rsidRPr="008F4439">
        <w:rPr>
          <w:b/>
          <w:lang w:val="fr-CH"/>
        </w:rPr>
        <w:t>cylindres (à l’exception des joints), ne sont pas considérées comme pièces sujettes à rupture si elles sont largement dimensionnées, si elles sont facilement accessibles pour l’entretien et si elles présentent des caractéristiques de sécurité suffisantes; elles sont en conséquence exemptées de l’essai de défaillance.</w:t>
      </w:r>
    </w:p>
    <w:p w:rsidR="00D95EB7" w:rsidRPr="008F4439" w:rsidRDefault="00D95EB7" w:rsidP="008F4439">
      <w:pPr>
        <w:pStyle w:val="SingleTxt"/>
        <w:rPr>
          <w:b/>
          <w:lang w:val="fr-CH"/>
        </w:rPr>
      </w:pPr>
      <w:r w:rsidRPr="008F4439">
        <w:rPr>
          <w:b/>
          <w:lang w:val="fr-CH"/>
        </w:rPr>
        <w:t>4.12.2</w:t>
      </w:r>
      <w:r w:rsidRPr="008F4439">
        <w:rPr>
          <w:b/>
          <w:lang w:val="fr-CH"/>
        </w:rPr>
        <w:tab/>
        <w:t>Conditions et procédure d’essai</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a)</w:t>
      </w:r>
      <w:r w:rsidR="00D95EB7" w:rsidRPr="008F4439">
        <w:rPr>
          <w:b/>
          <w:lang w:val="fr-CH"/>
        </w:rPr>
        <w:tab/>
        <w:t>Dans le cas d’un véhicule équipé d’un système de freinage intégral dont les deux systèmes de frein de service distincts partagent des composants, l’essai décrit au paragraphe 3</w:t>
      </w:r>
      <w:r w:rsidR="007C582D" w:rsidRPr="007C582D">
        <w:rPr>
          <w:rStyle w:val="FootnoteReference"/>
          <w:vertAlign w:val="baseline"/>
          <w:lang w:val="fr-CH"/>
        </w:rPr>
        <w:footnoteReference w:customMarkFollows="1" w:id="1"/>
        <w:t>*</w:t>
      </w:r>
      <w:r w:rsidR="00D95EB7" w:rsidRPr="008F4439">
        <w:rPr>
          <w:b/>
          <w:lang w:val="fr-CH"/>
        </w:rPr>
        <w:t xml:space="preserve"> de la présente annexe (essai de freinage sur sol sec avec actionnement d’une seule commande de frein), avec défaillance simulée du composant commun en cause, doit être effectué;</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b)</w:t>
      </w:r>
      <w:r w:rsidR="00D95EB7" w:rsidRPr="008F4439">
        <w:rPr>
          <w:b/>
          <w:lang w:val="fr-CH"/>
        </w:rPr>
        <w:tab/>
        <w:t>Véhicule en charge.</w:t>
      </w:r>
    </w:p>
    <w:p w:rsidR="00D95EB7" w:rsidRPr="008F4439" w:rsidRDefault="0005066A" w:rsidP="008F4439">
      <w:pPr>
        <w:pStyle w:val="SingleTxt"/>
        <w:rPr>
          <w:b/>
          <w:bCs/>
          <w:lang w:val="fr-CH"/>
        </w:rPr>
      </w:pPr>
      <w:r>
        <w:rPr>
          <w:b/>
          <w:lang w:val="fr-CH"/>
        </w:rPr>
        <w:t>4.12.3</w:t>
      </w:r>
      <w:r>
        <w:rPr>
          <w:b/>
          <w:lang w:val="fr-CH"/>
        </w:rPr>
        <w:tab/>
      </w:r>
      <w:r w:rsidR="00D95EB7" w:rsidRPr="008F4439">
        <w:rPr>
          <w:b/>
          <w:bCs/>
          <w:lang w:val="fr-CH"/>
        </w:rPr>
        <w:t>P</w:t>
      </w:r>
      <w:r w:rsidR="00D95EB7" w:rsidRPr="008F4439">
        <w:rPr>
          <w:b/>
          <w:lang w:val="fr-CH"/>
        </w:rPr>
        <w:t>rescriptions d’efficacité</w:t>
      </w:r>
    </w:p>
    <w:p w:rsidR="00D95EB7" w:rsidRDefault="0005066A" w:rsidP="0005066A">
      <w:pPr>
        <w:pStyle w:val="SingleTxt"/>
        <w:ind w:left="2218" w:hanging="951"/>
        <w:rPr>
          <w:b/>
          <w:bCs/>
          <w:lang w:val="fr-CH"/>
        </w:rPr>
      </w:pPr>
      <w:r>
        <w:rPr>
          <w:b/>
          <w:bCs/>
          <w:lang w:val="fr-CH"/>
        </w:rPr>
        <w:tab/>
      </w:r>
      <w:r>
        <w:rPr>
          <w:b/>
          <w:bCs/>
          <w:lang w:val="fr-CH"/>
        </w:rPr>
        <w:tab/>
      </w:r>
      <w:r w:rsidR="00D95EB7" w:rsidRPr="008F4439">
        <w:rPr>
          <w:b/>
          <w:bCs/>
          <w:lang w:val="fr-CH"/>
        </w:rPr>
        <w:t>Lorsque les freins sont soumis à un essai conformément à la procédure décrite au paragraphe 4.12.2, la distance d’arrêt mesurée doit satisfaire aux valeurs indiquées dans la colonne 2 ou la DMR aux valeurs indiquées dans la colonne 3 du tableau ci-dessous.</w:t>
      </w:r>
    </w:p>
    <w:p w:rsidR="00DD4EF6" w:rsidRPr="00DD4EF6" w:rsidRDefault="00DD4EF6" w:rsidP="00DD4EF6">
      <w:pPr>
        <w:pStyle w:val="SingleTxt"/>
        <w:spacing w:after="0" w:line="120" w:lineRule="exact"/>
        <w:ind w:left="2218" w:hanging="951"/>
        <w:rPr>
          <w:b/>
          <w:bCs/>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0"/>
        <w:gridCol w:w="2440"/>
        <w:gridCol w:w="2649"/>
      </w:tblGrid>
      <w:tr w:rsidR="00DD4EF6" w:rsidRPr="00DD4CCD" w:rsidTr="00DD4EF6">
        <w:trPr>
          <w:tblHeader/>
        </w:trPr>
        <w:tc>
          <w:tcPr>
            <w:tcW w:w="2440" w:type="dxa"/>
            <w:shd w:val="clear" w:color="auto" w:fill="auto"/>
            <w:vAlign w:val="bottom"/>
          </w:tcPr>
          <w:p w:rsidR="00DD4EF6" w:rsidRPr="00DD4CCD"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rPr>
            </w:pPr>
            <w:r w:rsidRPr="00DD4CCD">
              <w:rPr>
                <w:b/>
                <w:bCs/>
                <w:i/>
                <w:sz w:val="14"/>
                <w:lang w:val="fr-CH"/>
              </w:rPr>
              <w:t>Colonne 1</w:t>
            </w:r>
          </w:p>
        </w:tc>
        <w:tc>
          <w:tcPr>
            <w:tcW w:w="2440" w:type="dxa"/>
            <w:shd w:val="clear" w:color="auto" w:fill="auto"/>
            <w:vAlign w:val="bottom"/>
          </w:tcPr>
          <w:p w:rsidR="00DD4EF6" w:rsidRPr="00DD4CCD"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rPr>
            </w:pPr>
            <w:r w:rsidRPr="00CB6623">
              <w:rPr>
                <w:b/>
                <w:bCs/>
                <w:i/>
                <w:sz w:val="14"/>
                <w:lang w:val="fr-CH"/>
              </w:rPr>
              <w:t>Colonne 2</w:t>
            </w:r>
          </w:p>
        </w:tc>
        <w:tc>
          <w:tcPr>
            <w:tcW w:w="2649" w:type="dxa"/>
            <w:shd w:val="clear" w:color="auto" w:fill="auto"/>
            <w:vAlign w:val="bottom"/>
          </w:tcPr>
          <w:p w:rsidR="00DD4EF6" w:rsidRPr="00DD4CCD"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rPr>
            </w:pPr>
            <w:r w:rsidRPr="00CB6623">
              <w:rPr>
                <w:b/>
                <w:bCs/>
                <w:i/>
                <w:sz w:val="14"/>
                <w:lang w:val="fr-CH"/>
              </w:rPr>
              <w:t>Colonne 3</w:t>
            </w:r>
          </w:p>
        </w:tc>
      </w:tr>
      <w:tr w:rsidR="00DD4EF6" w:rsidRPr="00DD4CCD" w:rsidTr="00DD4EF6">
        <w:trPr>
          <w:tblHeader/>
        </w:trPr>
        <w:tc>
          <w:tcPr>
            <w:tcW w:w="2440" w:type="dxa"/>
            <w:shd w:val="clear" w:color="auto" w:fill="auto"/>
          </w:tcPr>
          <w:p w:rsidR="00DD4EF6" w:rsidRPr="00964851"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lang w:val="fr-CH"/>
              </w:rPr>
            </w:pPr>
            <w:r w:rsidRPr="00CB6623">
              <w:rPr>
                <w:b/>
                <w:bCs/>
                <w:i/>
                <w:sz w:val="14"/>
                <w:lang w:val="fr-CH"/>
              </w:rPr>
              <w:t>Catégorie de</w:t>
            </w:r>
            <w:r>
              <w:rPr>
                <w:b/>
                <w:bCs/>
                <w:i/>
                <w:sz w:val="14"/>
                <w:lang w:val="fr-CH"/>
              </w:rPr>
              <w:t xml:space="preserve"> </w:t>
            </w:r>
            <w:r w:rsidRPr="00CB6623">
              <w:rPr>
                <w:b/>
                <w:bCs/>
                <w:i/>
                <w:sz w:val="14"/>
                <w:lang w:val="fr-CH"/>
              </w:rPr>
              <w:t>véhicule</w:t>
            </w:r>
          </w:p>
        </w:tc>
        <w:tc>
          <w:tcPr>
            <w:tcW w:w="2440" w:type="dxa"/>
            <w:shd w:val="clear" w:color="auto" w:fill="auto"/>
          </w:tcPr>
          <w:p w:rsidR="00DD4EF6" w:rsidRPr="00964851"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lang w:val="fr-CH"/>
              </w:rPr>
            </w:pPr>
            <w:r w:rsidRPr="00CB6623">
              <w:rPr>
                <w:b/>
                <w:bCs/>
                <w:i/>
                <w:sz w:val="14"/>
                <w:lang w:val="fr-CH"/>
              </w:rPr>
              <w:t>DISTANCE D’ARRÊT (S)</w:t>
            </w:r>
            <w:r>
              <w:rPr>
                <w:b/>
                <w:bCs/>
                <w:i/>
                <w:sz w:val="14"/>
                <w:lang w:val="fr-CH"/>
              </w:rPr>
              <w:t xml:space="preserve"> </w:t>
            </w:r>
            <w:r w:rsidRPr="00CB6623">
              <w:rPr>
                <w:b/>
                <w:bCs/>
                <w:i/>
                <w:sz w:val="14"/>
                <w:lang w:val="fr-CH"/>
              </w:rPr>
              <w:br/>
              <w:t xml:space="preserve">(où V est la vitesse d’essai </w:t>
            </w:r>
            <w:r>
              <w:rPr>
                <w:b/>
                <w:bCs/>
                <w:i/>
                <w:sz w:val="14"/>
                <w:lang w:val="fr-CH"/>
              </w:rPr>
              <w:br/>
            </w:r>
            <w:r w:rsidRPr="00CB6623">
              <w:rPr>
                <w:b/>
                <w:bCs/>
                <w:i/>
                <w:sz w:val="14"/>
                <w:lang w:val="fr-CH"/>
              </w:rPr>
              <w:t xml:space="preserve">prescrite </w:t>
            </w:r>
            <w:r>
              <w:rPr>
                <w:b/>
                <w:bCs/>
                <w:i/>
                <w:sz w:val="14"/>
                <w:lang w:val="fr-CH"/>
              </w:rPr>
              <w:t xml:space="preserve"> </w:t>
            </w:r>
            <w:r w:rsidRPr="00CB6623">
              <w:rPr>
                <w:b/>
                <w:bCs/>
                <w:i/>
                <w:sz w:val="14"/>
                <w:lang w:val="fr-CH"/>
              </w:rPr>
              <w:t>en km/h</w:t>
            </w:r>
            <w:r>
              <w:rPr>
                <w:b/>
                <w:bCs/>
                <w:i/>
                <w:sz w:val="14"/>
                <w:lang w:val="fr-CH"/>
              </w:rPr>
              <w:t xml:space="preserve"> </w:t>
            </w:r>
            <w:r w:rsidRPr="00CB6623">
              <w:rPr>
                <w:b/>
                <w:bCs/>
                <w:i/>
                <w:sz w:val="14"/>
                <w:lang w:val="fr-CH"/>
              </w:rPr>
              <w:t xml:space="preserve">et S la distance </w:t>
            </w:r>
            <w:r>
              <w:rPr>
                <w:b/>
                <w:bCs/>
                <w:i/>
                <w:sz w:val="14"/>
                <w:lang w:val="fr-CH"/>
              </w:rPr>
              <w:br/>
            </w:r>
            <w:r w:rsidRPr="00CB6623">
              <w:rPr>
                <w:b/>
                <w:bCs/>
                <w:i/>
                <w:sz w:val="14"/>
                <w:lang w:val="fr-CH"/>
              </w:rPr>
              <w:t>d’arrêt prescrite en m)</w:t>
            </w:r>
          </w:p>
        </w:tc>
        <w:tc>
          <w:tcPr>
            <w:tcW w:w="2649" w:type="dxa"/>
            <w:shd w:val="clear" w:color="auto" w:fill="auto"/>
          </w:tcPr>
          <w:p w:rsidR="00DD4EF6" w:rsidRPr="00964851" w:rsidRDefault="00DD4EF6" w:rsidP="00DD4EF6">
            <w:pPr>
              <w:keepNext/>
              <w:keepLines/>
              <w:tabs>
                <w:tab w:val="left" w:pos="288"/>
                <w:tab w:val="left" w:pos="576"/>
                <w:tab w:val="left" w:pos="864"/>
                <w:tab w:val="left" w:pos="1152"/>
              </w:tabs>
              <w:suppressAutoHyphens/>
              <w:spacing w:before="80" w:after="80" w:line="160" w:lineRule="exact"/>
              <w:ind w:left="115" w:right="115"/>
              <w:rPr>
                <w:i/>
                <w:sz w:val="14"/>
                <w:lang w:val="fr-CH"/>
              </w:rPr>
            </w:pPr>
            <w:r w:rsidRPr="008F4439">
              <w:rPr>
                <w:b/>
                <w:bCs/>
                <w:i/>
                <w:sz w:val="16"/>
                <w:szCs w:val="16"/>
                <w:lang w:val="fr-CH"/>
              </w:rPr>
              <w:t>DMR</w:t>
            </w:r>
          </w:p>
        </w:tc>
      </w:tr>
      <w:tr w:rsidR="00DD4EF6" w:rsidRPr="00DD4CCD" w:rsidTr="00DD4EF6">
        <w:tc>
          <w:tcPr>
            <w:tcW w:w="7529" w:type="dxa"/>
            <w:gridSpan w:val="3"/>
            <w:shd w:val="clear" w:color="auto" w:fill="auto"/>
          </w:tcPr>
          <w:p w:rsidR="00DD4EF6" w:rsidRPr="00DD4CCD" w:rsidRDefault="00DD4EF6" w:rsidP="007112DF">
            <w:pPr>
              <w:keepNext/>
              <w:keepLines/>
              <w:tabs>
                <w:tab w:val="left" w:pos="288"/>
                <w:tab w:val="left" w:pos="576"/>
                <w:tab w:val="left" w:pos="864"/>
                <w:tab w:val="left" w:pos="1152"/>
              </w:tabs>
              <w:suppressAutoHyphens/>
              <w:spacing w:before="40" w:after="80"/>
              <w:ind w:right="115"/>
            </w:pPr>
            <w:r w:rsidRPr="008F4439">
              <w:rPr>
                <w:b/>
                <w:sz w:val="18"/>
                <w:szCs w:val="18"/>
                <w:lang w:val="fr-CH"/>
              </w:rPr>
              <w:t>Freinage sur la (les) roue(s) avant seulement</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3-1</w:t>
            </w:r>
          </w:p>
        </w:tc>
        <w:tc>
          <w:tcPr>
            <w:tcW w:w="2440"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S ≤ 0,1 V + 0,0111 V</w:t>
            </w:r>
            <w:r w:rsidRPr="00F9713E">
              <w:rPr>
                <w:b/>
                <w:szCs w:val="20"/>
                <w:vertAlign w:val="superscript"/>
                <w:lang w:val="fr-CH"/>
              </w:rPr>
              <w:t>2</w:t>
            </w:r>
          </w:p>
        </w:tc>
        <w:tc>
          <w:tcPr>
            <w:tcW w:w="2649"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≥3,4 m/s</w:t>
            </w:r>
            <w:r w:rsidRPr="00F9713E">
              <w:rPr>
                <w:b/>
                <w:szCs w:val="20"/>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3-2</w:t>
            </w:r>
          </w:p>
        </w:tc>
        <w:tc>
          <w:tcPr>
            <w:tcW w:w="2440"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S ≤ 0,1 V + 0,0143 V</w:t>
            </w:r>
            <w:r w:rsidRPr="00F9713E">
              <w:rPr>
                <w:b/>
                <w:szCs w:val="20"/>
                <w:vertAlign w:val="superscript"/>
                <w:lang w:val="fr-CH"/>
              </w:rPr>
              <w:t>2</w:t>
            </w:r>
          </w:p>
        </w:tc>
        <w:tc>
          <w:tcPr>
            <w:tcW w:w="2649"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≥2,7 m/s</w:t>
            </w:r>
            <w:r w:rsidRPr="00F9713E">
              <w:rPr>
                <w:b/>
                <w:szCs w:val="20"/>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3-3</w:t>
            </w:r>
          </w:p>
        </w:tc>
        <w:tc>
          <w:tcPr>
            <w:tcW w:w="2440"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S ≤ 0,1 V + 0,0087 V</w:t>
            </w:r>
            <w:r w:rsidRPr="00F9713E">
              <w:rPr>
                <w:b/>
                <w:szCs w:val="20"/>
                <w:vertAlign w:val="superscript"/>
                <w:lang w:val="fr-CH"/>
              </w:rPr>
              <w:t>2</w:t>
            </w:r>
          </w:p>
        </w:tc>
        <w:tc>
          <w:tcPr>
            <w:tcW w:w="2649"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b/>
                <w:szCs w:val="20"/>
                <w:lang w:val="fr-CH"/>
              </w:rPr>
            </w:pPr>
            <w:r w:rsidRPr="00F9713E">
              <w:rPr>
                <w:b/>
                <w:szCs w:val="20"/>
                <w:lang w:val="fr-CH"/>
              </w:rPr>
              <w:t>≥4,4 m/s</w:t>
            </w:r>
            <w:r w:rsidRPr="00F9713E">
              <w:rPr>
                <w:b/>
                <w:szCs w:val="20"/>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3-4</w:t>
            </w:r>
          </w:p>
        </w:tc>
        <w:tc>
          <w:tcPr>
            <w:tcW w:w="2440"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S ≤ 0,1 V + 0,0105 V</w:t>
            </w:r>
            <w:r w:rsidRPr="00F9713E">
              <w:rPr>
                <w:b/>
                <w:szCs w:val="20"/>
                <w:vertAlign w:val="superscript"/>
                <w:lang w:val="fr-CH"/>
              </w:rPr>
              <w:t>2</w:t>
            </w:r>
          </w:p>
        </w:tc>
        <w:tc>
          <w:tcPr>
            <w:tcW w:w="2649"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≥3,6 m/s</w:t>
            </w:r>
            <w:r w:rsidRPr="00F9713E">
              <w:rPr>
                <w:b/>
                <w:szCs w:val="20"/>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3-5</w:t>
            </w:r>
          </w:p>
        </w:tc>
        <w:tc>
          <w:tcPr>
            <w:tcW w:w="2440"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S ≤ 0,1 V + 0,0117 V</w:t>
            </w:r>
            <w:r w:rsidRPr="00F9713E">
              <w:rPr>
                <w:b/>
                <w:szCs w:val="20"/>
                <w:vertAlign w:val="superscript"/>
                <w:lang w:val="fr-CH"/>
              </w:rPr>
              <w:t>2</w:t>
            </w:r>
          </w:p>
        </w:tc>
        <w:tc>
          <w:tcPr>
            <w:tcW w:w="2649" w:type="dxa"/>
            <w:shd w:val="clear" w:color="auto" w:fill="auto"/>
          </w:tcPr>
          <w:p w:rsidR="00DD4EF6" w:rsidRPr="00F9713E" w:rsidRDefault="00DD4EF6" w:rsidP="007112DF">
            <w:pPr>
              <w:keepNext/>
              <w:keepLines/>
              <w:tabs>
                <w:tab w:val="left" w:pos="288"/>
                <w:tab w:val="left" w:pos="576"/>
                <w:tab w:val="left" w:pos="864"/>
                <w:tab w:val="left" w:pos="1152"/>
              </w:tabs>
              <w:suppressAutoHyphens/>
              <w:spacing w:before="40" w:after="80"/>
              <w:ind w:right="115"/>
              <w:rPr>
                <w:szCs w:val="20"/>
                <w:lang w:val="fr-CH"/>
              </w:rPr>
            </w:pPr>
            <w:r w:rsidRPr="00F9713E">
              <w:rPr>
                <w:b/>
                <w:szCs w:val="20"/>
                <w:lang w:val="fr-CH"/>
              </w:rPr>
              <w:t>≥3,3 m/s</w:t>
            </w:r>
            <w:r w:rsidRPr="00F9713E">
              <w:rPr>
                <w:b/>
                <w:szCs w:val="20"/>
                <w:vertAlign w:val="superscript"/>
                <w:lang w:val="fr-CH"/>
              </w:rPr>
              <w:t>2</w:t>
            </w:r>
          </w:p>
        </w:tc>
      </w:tr>
      <w:tr w:rsidR="00DD4EF6" w:rsidRPr="00DD4CCD" w:rsidTr="00DD4EF6">
        <w:tc>
          <w:tcPr>
            <w:tcW w:w="7529" w:type="dxa"/>
            <w:gridSpan w:val="3"/>
            <w:shd w:val="clear" w:color="auto" w:fill="auto"/>
          </w:tcPr>
          <w:p w:rsidR="00DD4EF6" w:rsidRPr="00DD4CCD" w:rsidRDefault="00DD4EF6" w:rsidP="007112DF">
            <w:pPr>
              <w:keepNext/>
              <w:keepLines/>
              <w:tabs>
                <w:tab w:val="left" w:pos="288"/>
                <w:tab w:val="left" w:pos="576"/>
                <w:tab w:val="left" w:pos="864"/>
                <w:tab w:val="left" w:pos="1152"/>
              </w:tabs>
              <w:suppressAutoHyphens/>
              <w:spacing w:before="40" w:after="80"/>
              <w:ind w:right="115"/>
            </w:pPr>
            <w:r w:rsidRPr="008F4439">
              <w:rPr>
                <w:b/>
                <w:sz w:val="18"/>
                <w:szCs w:val="18"/>
                <w:lang w:val="fr-CH"/>
              </w:rPr>
              <w:t>Freinage sur la (les) roue(s) arrière seulement</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3-1</w:t>
            </w:r>
          </w:p>
        </w:tc>
        <w:tc>
          <w:tcPr>
            <w:tcW w:w="2440"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S ≤ 0,1 V + 0,0143 V</w:t>
            </w:r>
            <w:r w:rsidRPr="00F9713E">
              <w:rPr>
                <w:b/>
                <w:vertAlign w:val="superscript"/>
                <w:lang w:val="fr-CH"/>
              </w:rPr>
              <w:t>2</w:t>
            </w:r>
          </w:p>
        </w:tc>
        <w:tc>
          <w:tcPr>
            <w:tcW w:w="2649"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≥2,7 m/s</w:t>
            </w:r>
            <w:r w:rsidRPr="00F9713E">
              <w:rPr>
                <w:b/>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3-2</w:t>
            </w:r>
          </w:p>
        </w:tc>
        <w:tc>
          <w:tcPr>
            <w:tcW w:w="2440"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S ≤ 0,1 V + 0,0143 V</w:t>
            </w:r>
            <w:r w:rsidRPr="00F9713E">
              <w:rPr>
                <w:b/>
                <w:vertAlign w:val="superscript"/>
                <w:lang w:val="fr-CH"/>
              </w:rPr>
              <w:t>2</w:t>
            </w:r>
          </w:p>
        </w:tc>
        <w:tc>
          <w:tcPr>
            <w:tcW w:w="2649"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≥2,7 m/s</w:t>
            </w:r>
            <w:r w:rsidRPr="00F9713E">
              <w:rPr>
                <w:b/>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3-3</w:t>
            </w:r>
          </w:p>
        </w:tc>
        <w:tc>
          <w:tcPr>
            <w:tcW w:w="2440"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S ≤ 0,1 V + 0,0133 V</w:t>
            </w:r>
            <w:r w:rsidRPr="00F9713E">
              <w:rPr>
                <w:b/>
                <w:vertAlign w:val="superscript"/>
                <w:lang w:val="fr-CH"/>
              </w:rPr>
              <w:t>2</w:t>
            </w:r>
          </w:p>
        </w:tc>
        <w:tc>
          <w:tcPr>
            <w:tcW w:w="2649"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≥2,9 m/s</w:t>
            </w:r>
            <w:r w:rsidRPr="00F9713E">
              <w:rPr>
                <w:b/>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3-4</w:t>
            </w:r>
          </w:p>
        </w:tc>
        <w:tc>
          <w:tcPr>
            <w:tcW w:w="2440"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S ≤ 0,1 V + 0,0105 V</w:t>
            </w:r>
            <w:r w:rsidRPr="00F9713E">
              <w:rPr>
                <w:b/>
                <w:vertAlign w:val="superscript"/>
                <w:lang w:val="fr-CH"/>
              </w:rPr>
              <w:t>2</w:t>
            </w:r>
          </w:p>
        </w:tc>
        <w:tc>
          <w:tcPr>
            <w:tcW w:w="2649"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≥3,6 m/s</w:t>
            </w:r>
            <w:r w:rsidRPr="00F9713E">
              <w:rPr>
                <w:b/>
                <w:vertAlign w:val="superscript"/>
                <w:lang w:val="fr-CH"/>
              </w:rPr>
              <w:t>2</w:t>
            </w:r>
          </w:p>
        </w:tc>
      </w:tr>
      <w:tr w:rsidR="00DD4EF6" w:rsidRPr="00DD4CCD" w:rsidTr="00DD4EF6">
        <w:tc>
          <w:tcPr>
            <w:tcW w:w="2440" w:type="dxa"/>
            <w:shd w:val="clear" w:color="auto" w:fill="auto"/>
          </w:tcPr>
          <w:p w:rsidR="00DD4EF6" w:rsidRPr="00F9713E" w:rsidRDefault="00DD4EF6" w:rsidP="007112DF">
            <w:pPr>
              <w:keepNext/>
              <w:keepLines/>
              <w:tabs>
                <w:tab w:val="left" w:pos="288"/>
                <w:tab w:val="left" w:pos="576"/>
                <w:tab w:val="left" w:pos="864"/>
                <w:tab w:val="left" w:pos="1134"/>
              </w:tabs>
              <w:suppressAutoHyphens/>
              <w:spacing w:before="40" w:after="80"/>
              <w:ind w:right="115"/>
              <w:rPr>
                <w:b/>
                <w:szCs w:val="20"/>
                <w:lang w:val="fr-CH"/>
              </w:rPr>
            </w:pPr>
            <w:r w:rsidRPr="00F9713E">
              <w:rPr>
                <w:b/>
                <w:szCs w:val="20"/>
                <w:lang w:val="fr-CH"/>
              </w:rPr>
              <w:t>3-5</w:t>
            </w:r>
          </w:p>
        </w:tc>
        <w:tc>
          <w:tcPr>
            <w:tcW w:w="2440" w:type="dxa"/>
            <w:shd w:val="clear" w:color="auto" w:fill="auto"/>
          </w:tcPr>
          <w:p w:rsidR="00DD4EF6" w:rsidRPr="00B81171"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S ≤ 0,1 V + 0,0117 V</w:t>
            </w:r>
            <w:r w:rsidRPr="00F9713E">
              <w:rPr>
                <w:b/>
                <w:vertAlign w:val="superscript"/>
                <w:lang w:val="fr-CH"/>
              </w:rPr>
              <w:t>2</w:t>
            </w:r>
          </w:p>
        </w:tc>
        <w:tc>
          <w:tcPr>
            <w:tcW w:w="2649" w:type="dxa"/>
            <w:shd w:val="clear" w:color="auto" w:fill="auto"/>
          </w:tcPr>
          <w:p w:rsidR="00DD4EF6" w:rsidRDefault="00DD4EF6" w:rsidP="007112DF">
            <w:pPr>
              <w:keepNext/>
              <w:keepLines/>
              <w:tabs>
                <w:tab w:val="left" w:pos="288"/>
                <w:tab w:val="left" w:pos="576"/>
                <w:tab w:val="left" w:pos="864"/>
                <w:tab w:val="left" w:pos="1152"/>
              </w:tabs>
              <w:suppressAutoHyphens/>
              <w:spacing w:before="40" w:after="80"/>
              <w:ind w:right="115"/>
            </w:pPr>
            <w:r w:rsidRPr="00F9713E">
              <w:rPr>
                <w:b/>
                <w:lang w:val="fr-CH"/>
              </w:rPr>
              <w:t>≥3,3 m/s</w:t>
            </w:r>
            <w:r w:rsidRPr="00F9713E">
              <w:rPr>
                <w:b/>
                <w:vertAlign w:val="superscript"/>
                <w:lang w:val="fr-CH"/>
              </w:rPr>
              <w:t>2</w:t>
            </w:r>
          </w:p>
        </w:tc>
      </w:tr>
    </w:tbl>
    <w:p w:rsidR="00A86749" w:rsidRPr="00A86749" w:rsidRDefault="00A86749" w:rsidP="006F79F9">
      <w:pPr>
        <w:pStyle w:val="SingleTxt"/>
        <w:keepLines/>
        <w:spacing w:after="0" w:line="120" w:lineRule="exact"/>
        <w:ind w:left="2217" w:hanging="950"/>
        <w:rPr>
          <w:b/>
          <w:bCs/>
          <w:sz w:val="10"/>
          <w:lang w:val="fr-CH"/>
        </w:rPr>
      </w:pPr>
    </w:p>
    <w:p w:rsidR="00F818C8" w:rsidRPr="00F818C8" w:rsidRDefault="00F818C8" w:rsidP="00F818C8">
      <w:pPr>
        <w:pStyle w:val="SingleTxt"/>
        <w:spacing w:after="0" w:line="120" w:lineRule="exact"/>
        <w:jc w:val="right"/>
        <w:rPr>
          <w:sz w:val="10"/>
        </w:rPr>
      </w:pPr>
    </w:p>
    <w:p w:rsidR="00F818C8" w:rsidRPr="00F818C8" w:rsidRDefault="00F818C8" w:rsidP="00F818C8">
      <w:pPr>
        <w:pStyle w:val="SingleTxt"/>
        <w:spacing w:after="0" w:line="120" w:lineRule="exact"/>
        <w:jc w:val="right"/>
        <w:rPr>
          <w:sz w:val="10"/>
        </w:rPr>
      </w:pPr>
    </w:p>
    <w:p w:rsidR="00D95EB7" w:rsidRPr="008F4439" w:rsidRDefault="00A86749" w:rsidP="00F818C8">
      <w:pPr>
        <w:pStyle w:val="SingleTxt"/>
        <w:jc w:val="right"/>
      </w:pPr>
      <w:r>
        <w:t>. </w:t>
      </w:r>
      <w:r w:rsidR="00D95EB7" w:rsidRPr="008F4439">
        <w:t>».</w:t>
      </w:r>
    </w:p>
    <w:p w:rsidR="00D95EB7" w:rsidRPr="008F4439" w:rsidRDefault="00D95EB7" w:rsidP="008F4439">
      <w:pPr>
        <w:pStyle w:val="SingleTxt"/>
        <w:rPr>
          <w:lang w:val="fr-CH"/>
        </w:rPr>
      </w:pPr>
      <w:r w:rsidRPr="008F4439">
        <w:rPr>
          <w:i/>
          <w:lang w:val="fr-CH"/>
        </w:rPr>
        <w:t>Ajouter de nouveaux paragraphes</w:t>
      </w:r>
      <w:r w:rsidRPr="008F4439">
        <w:rPr>
          <w:lang w:val="fr-CH"/>
        </w:rPr>
        <w:t>, ainsi conçus</w:t>
      </w:r>
      <w:r w:rsidR="0005066A">
        <w:rPr>
          <w:lang w:val="fr-CH"/>
        </w:rPr>
        <w:t> </w:t>
      </w:r>
      <w:r w:rsidRPr="008F4439">
        <w:rPr>
          <w:lang w:val="fr-CH"/>
        </w:rPr>
        <w:t>:</w:t>
      </w:r>
    </w:p>
    <w:p w:rsidR="00D95EB7" w:rsidRPr="00522A87" w:rsidRDefault="00D95EB7" w:rsidP="00522A87">
      <w:pPr>
        <w:pStyle w:val="SingleTxt"/>
        <w:ind w:left="2218" w:hanging="951"/>
        <w:rPr>
          <w:b/>
          <w:bCs/>
          <w:lang w:val="fr-CH"/>
        </w:rPr>
      </w:pPr>
      <w:r w:rsidRPr="00522A87">
        <w:rPr>
          <w:b/>
          <w:lang w:val="fr-CH"/>
        </w:rPr>
        <w:t>«</w:t>
      </w:r>
      <w:r w:rsidR="00563AA5" w:rsidRPr="00522A87">
        <w:rPr>
          <w:b/>
          <w:lang w:val="fr-CH"/>
        </w:rPr>
        <w:t> </w:t>
      </w:r>
      <w:r w:rsidRPr="00522A87">
        <w:rPr>
          <w:b/>
          <w:lang w:val="fr-CH"/>
        </w:rPr>
        <w:t>5.</w:t>
      </w:r>
      <w:r w:rsidRPr="00522A87">
        <w:rPr>
          <w:b/>
          <w:lang w:val="fr-CH"/>
        </w:rPr>
        <w:tab/>
      </w:r>
      <w:r w:rsidR="0005066A" w:rsidRPr="00522A87">
        <w:rPr>
          <w:b/>
          <w:lang w:val="fr-CH"/>
        </w:rPr>
        <w:tab/>
      </w:r>
      <w:r w:rsidRPr="00522A87">
        <w:rPr>
          <w:b/>
          <w:lang w:val="fr-CH"/>
        </w:rPr>
        <w:t>Autre méthode permettant de déterminer le coefficient de freinage maximal</w:t>
      </w:r>
    </w:p>
    <w:p w:rsidR="00D95EB7" w:rsidRPr="008F4439" w:rsidRDefault="00D95EB7" w:rsidP="008F4439">
      <w:pPr>
        <w:pStyle w:val="SingleTxt"/>
        <w:rPr>
          <w:b/>
          <w:lang w:val="fr-CH"/>
        </w:rPr>
      </w:pPr>
      <w:r w:rsidRPr="008F4439">
        <w:rPr>
          <w:b/>
          <w:lang w:val="fr-CH"/>
        </w:rPr>
        <w:t>5.1</w:t>
      </w:r>
      <w:r w:rsidRPr="008F4439">
        <w:rPr>
          <w:b/>
          <w:lang w:val="fr-CH"/>
        </w:rPr>
        <w:tab/>
      </w:r>
      <w:r w:rsidR="0005066A">
        <w:rPr>
          <w:b/>
          <w:lang w:val="fr-CH"/>
        </w:rPr>
        <w:tab/>
      </w:r>
      <w:r w:rsidRPr="008F4439">
        <w:rPr>
          <w:b/>
          <w:lang w:val="fr-CH"/>
        </w:rPr>
        <w:t>Dispositions générales</w:t>
      </w:r>
    </w:p>
    <w:p w:rsidR="00D95EB7" w:rsidRPr="008F4439" w:rsidRDefault="0005066A" w:rsidP="0005066A">
      <w:pPr>
        <w:pStyle w:val="SingleTxt"/>
        <w:ind w:left="2693" w:hanging="1426"/>
        <w:rPr>
          <w:b/>
          <w:lang w:val="fr-CH"/>
        </w:rPr>
      </w:pPr>
      <w:r>
        <w:rPr>
          <w:b/>
          <w:bCs/>
          <w:lang w:val="fr-CH"/>
        </w:rPr>
        <w:tab/>
      </w:r>
      <w:r>
        <w:rPr>
          <w:b/>
          <w:bCs/>
          <w:lang w:val="fr-CH"/>
        </w:rPr>
        <w:tab/>
      </w:r>
      <w:r w:rsidR="00D95EB7" w:rsidRPr="008F4439">
        <w:rPr>
          <w:b/>
          <w:bCs/>
          <w:lang w:val="fr-CH"/>
        </w:rPr>
        <w:t>a)</w:t>
      </w:r>
      <w:r w:rsidR="00D95EB7" w:rsidRPr="008F4439">
        <w:rPr>
          <w:b/>
          <w:bCs/>
          <w:lang w:val="fr-CH"/>
        </w:rPr>
        <w:tab/>
      </w:r>
      <w:r w:rsidR="00D95EB7" w:rsidRPr="008F4439">
        <w:rPr>
          <w:b/>
          <w:lang w:val="fr-CH"/>
        </w:rPr>
        <w:t>L’essai a pour objet de déterminer le coefficient de freinage maximal (CFM) pour le type de véhicule concerné lors d’un freinage exécuté sur les revêtements d’essai définis aux paragraphes 4.1.1.1 et 4.1.1.2</w:t>
      </w:r>
      <w:r w:rsidR="00D95EB7" w:rsidRPr="008F4439">
        <w:rPr>
          <w:b/>
          <w:bCs/>
          <w:lang w:val="fr-CH"/>
        </w:rPr>
        <w:t>;</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b)</w:t>
      </w:r>
      <w:r w:rsidR="00D95EB7" w:rsidRPr="008F4439">
        <w:rPr>
          <w:b/>
          <w:lang w:val="fr-CH"/>
        </w:rPr>
        <w:tab/>
        <w:t>L’essai comprend un certain nombre de freinages jusqu’à l’arrêt avec des forces variables à la commande de frein. Les deux roues sont freinées simultanément jusqu’au point précédant le blocage des roues, de manière à obtenir le taux de décélération maximal du véhicule sur le revêtement d’essai utilisé;</w:t>
      </w:r>
    </w:p>
    <w:p w:rsidR="00D95EB7" w:rsidRPr="008F4439" w:rsidRDefault="0005066A" w:rsidP="0005066A">
      <w:pPr>
        <w:pStyle w:val="SingleTxt"/>
        <w:ind w:left="2693" w:hanging="1426"/>
        <w:rPr>
          <w:b/>
          <w:lang w:val="fr-CH"/>
        </w:rPr>
      </w:pPr>
      <w:r>
        <w:rPr>
          <w:b/>
          <w:lang w:val="fr-CH"/>
        </w:rPr>
        <w:tab/>
      </w:r>
      <w:r>
        <w:rPr>
          <w:b/>
          <w:lang w:val="fr-CH"/>
        </w:rPr>
        <w:tab/>
      </w:r>
      <w:r w:rsidR="00D95EB7" w:rsidRPr="008F4439">
        <w:rPr>
          <w:b/>
          <w:lang w:val="fr-CH"/>
        </w:rPr>
        <w:t>c)</w:t>
      </w:r>
      <w:r w:rsidR="00D95EB7" w:rsidRPr="008F4439">
        <w:rPr>
          <w:b/>
          <w:lang w:val="fr-CH"/>
        </w:rPr>
        <w:tab/>
        <w:t>Le taux de décélération maximal du véhicule est la valeur la plus élevée enregistrée au cours de tous les freinages;</w:t>
      </w:r>
    </w:p>
    <w:p w:rsidR="00D95EB7" w:rsidRDefault="0005066A" w:rsidP="0005066A">
      <w:pPr>
        <w:pStyle w:val="SingleTxt"/>
        <w:ind w:left="2693" w:hanging="1426"/>
        <w:rPr>
          <w:b/>
          <w:lang w:val="fr-CH"/>
        </w:rPr>
      </w:pPr>
      <w:r>
        <w:rPr>
          <w:b/>
          <w:lang w:val="fr-CH"/>
        </w:rPr>
        <w:tab/>
      </w:r>
      <w:r>
        <w:rPr>
          <w:b/>
          <w:lang w:val="fr-CH"/>
        </w:rPr>
        <w:tab/>
      </w:r>
      <w:r w:rsidR="00D95EB7" w:rsidRPr="008F4439">
        <w:rPr>
          <w:b/>
          <w:lang w:val="fr-CH"/>
        </w:rPr>
        <w:t>d)</w:t>
      </w:r>
      <w:r w:rsidR="00D95EB7" w:rsidRPr="008F4439">
        <w:rPr>
          <w:b/>
          <w:lang w:val="fr-CH"/>
        </w:rPr>
        <w:tab/>
        <w:t>Le CFM est calculé sur la base du freinage qui produit le taux de décélération maximal du véhicule, selon la formule</w:t>
      </w:r>
      <w:r w:rsidR="00A72352">
        <w:rPr>
          <w:b/>
          <w:lang w:val="fr-CH"/>
        </w:rPr>
        <w:t> </w:t>
      </w:r>
      <w:r w:rsidR="00D95EB7" w:rsidRPr="008F4439">
        <w:rPr>
          <w:b/>
          <w:lang w:val="fr-CH"/>
        </w:rPr>
        <w:t>:</w:t>
      </w:r>
    </w:p>
    <w:p w:rsidR="00E14CBC" w:rsidRDefault="008A52F5" w:rsidP="00A86749">
      <w:pPr>
        <w:pStyle w:val="SingleTxt"/>
        <w:spacing w:line="240" w:lineRule="auto"/>
        <w:rPr>
          <w:b/>
          <w:lang w:val="fr-CH"/>
        </w:rPr>
      </w:pPr>
      <w:r>
        <w:rPr>
          <w:b/>
          <w:lang w:val="fr-CH"/>
        </w:rPr>
        <w:tab/>
      </w:r>
      <w:r>
        <w:rPr>
          <w:b/>
          <w:lang w:val="fr-CH"/>
        </w:rPr>
        <w:tab/>
      </w:r>
      <w:r>
        <w:rPr>
          <w:b/>
          <w:lang w:val="fr-CH"/>
        </w:rPr>
        <w:tab/>
      </w:r>
      <w:r w:rsidR="005A0361" w:rsidRPr="00E14CBC">
        <w:rPr>
          <w:b/>
          <w:position w:val="-20"/>
          <w:lang w:val="fr-CH"/>
        </w:rPr>
        <w:object w:dxaOrig="12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26.4pt" o:ole="">
            <v:imagedata r:id="rId21" o:title=""/>
          </v:shape>
          <o:OLEObject Type="Embed" ProgID="Equation.3" ShapeID="_x0000_i1025" DrawAspect="Content" ObjectID="_1516626619" r:id="rId22"/>
        </w:object>
      </w:r>
    </w:p>
    <w:p w:rsidR="00D95EB7" w:rsidRPr="008F4439" w:rsidRDefault="00CB6623" w:rsidP="008F4439">
      <w:pPr>
        <w:pStyle w:val="SingleTxt"/>
        <w:rPr>
          <w:b/>
          <w:lang w:val="fr-CH"/>
        </w:rPr>
      </w:pPr>
      <w:r>
        <w:rPr>
          <w:b/>
          <w:lang w:val="fr-CH"/>
        </w:rPr>
        <w:tab/>
      </w:r>
      <w:r>
        <w:rPr>
          <w:b/>
          <w:lang w:val="fr-CH"/>
        </w:rPr>
        <w:tab/>
      </w:r>
      <w:r>
        <w:rPr>
          <w:b/>
          <w:lang w:val="fr-CH"/>
        </w:rPr>
        <w:tab/>
      </w:r>
      <w:r w:rsidR="00D95EB7" w:rsidRPr="008F4439">
        <w:rPr>
          <w:b/>
          <w:lang w:val="fr-CH"/>
        </w:rPr>
        <w:t>où</w:t>
      </w:r>
      <w:r>
        <w:rPr>
          <w:b/>
          <w:lang w:val="fr-CH"/>
        </w:rPr>
        <w:t> </w:t>
      </w:r>
      <w:r w:rsidR="00D95EB7" w:rsidRPr="008F4439">
        <w:rPr>
          <w:b/>
          <w:lang w:val="fr-CH"/>
        </w:rPr>
        <w:t>:</w:t>
      </w:r>
    </w:p>
    <w:p w:rsidR="00D95EB7" w:rsidRPr="008F4439" w:rsidRDefault="00CB6623" w:rsidP="00A86749">
      <w:pPr>
        <w:pStyle w:val="SingleTxt"/>
        <w:ind w:left="3182" w:hanging="1915"/>
        <w:rPr>
          <w:b/>
          <w:lang w:val="fr-CH"/>
        </w:rPr>
      </w:pPr>
      <w:r>
        <w:rPr>
          <w:b/>
          <w:lang w:val="fr-CH"/>
        </w:rPr>
        <w:tab/>
      </w:r>
      <w:r>
        <w:rPr>
          <w:b/>
          <w:lang w:val="fr-CH"/>
        </w:rPr>
        <w:tab/>
      </w:r>
      <w:r>
        <w:rPr>
          <w:b/>
          <w:lang w:val="fr-CH"/>
        </w:rPr>
        <w:tab/>
      </w:r>
      <w:r w:rsidR="00D95EB7" w:rsidRPr="008F4439">
        <w:rPr>
          <w:b/>
          <w:lang w:val="fr-CH"/>
        </w:rPr>
        <w:t>t =</w:t>
      </w:r>
      <w:r w:rsidR="00A86749">
        <w:rPr>
          <w:b/>
          <w:lang w:val="fr-CH"/>
        </w:rPr>
        <w:tab/>
      </w:r>
      <w:r w:rsidR="00D95EB7" w:rsidRPr="008F4439">
        <w:rPr>
          <w:b/>
          <w:lang w:val="fr-CH"/>
        </w:rPr>
        <w:t>temps nécessaire pour réduire la vitesse du véhicule de 40 km/h à 20 km/h, en</w:t>
      </w:r>
      <w:r w:rsidR="00A72352">
        <w:rPr>
          <w:b/>
          <w:lang w:val="fr-CH"/>
        </w:rPr>
        <w:t xml:space="preserve"> </w:t>
      </w:r>
      <w:r w:rsidR="00D95EB7" w:rsidRPr="008F4439">
        <w:rPr>
          <w:b/>
          <w:lang w:val="fr-CH"/>
        </w:rPr>
        <w:t>s.</w:t>
      </w:r>
    </w:p>
    <w:p w:rsidR="00D95EB7" w:rsidRPr="008F4439" w:rsidRDefault="00CB6623" w:rsidP="00CB6623">
      <w:pPr>
        <w:pStyle w:val="SingleTxt"/>
        <w:ind w:left="2693" w:hanging="1426"/>
        <w:rPr>
          <w:lang w:val="fr-CH"/>
        </w:rPr>
      </w:pPr>
      <w:r>
        <w:rPr>
          <w:b/>
          <w:i/>
          <w:lang w:val="fr-CH"/>
        </w:rPr>
        <w:tab/>
      </w:r>
      <w:r>
        <w:rPr>
          <w:b/>
          <w:i/>
          <w:lang w:val="fr-CH"/>
        </w:rPr>
        <w:tab/>
      </w:r>
      <w:r>
        <w:rPr>
          <w:b/>
          <w:i/>
          <w:lang w:val="fr-CH"/>
        </w:rPr>
        <w:tab/>
      </w:r>
      <w:r w:rsidR="00D95EB7" w:rsidRPr="008F4439">
        <w:rPr>
          <w:b/>
          <w:i/>
          <w:lang w:val="fr-CH"/>
        </w:rPr>
        <w:t>Note</w:t>
      </w:r>
      <w:r w:rsidR="00A72352">
        <w:rPr>
          <w:b/>
          <w:i/>
          <w:lang w:val="fr-CH"/>
        </w:rPr>
        <w:t> </w:t>
      </w:r>
      <w:r w:rsidR="00D95EB7" w:rsidRPr="008F4439">
        <w:rPr>
          <w:b/>
          <w:lang w:val="fr-CH"/>
        </w:rPr>
        <w:t>: Pour les véhicules ne pouvant pas atteindre la vitesse d’essai de 50 km/h, le CFM doit être mesuré comme suit</w:t>
      </w:r>
      <w:r w:rsidR="00A72352">
        <w:rPr>
          <w:b/>
          <w:lang w:val="fr-CH"/>
        </w:rPr>
        <w:t> </w:t>
      </w:r>
      <w:r w:rsidR="00D95EB7" w:rsidRPr="008F4439">
        <w:rPr>
          <w:b/>
          <w:lang w:val="fr-CH"/>
        </w:rPr>
        <w:t>:</w:t>
      </w:r>
    </w:p>
    <w:p w:rsidR="00A86749" w:rsidRDefault="00A86749" w:rsidP="00A86749">
      <w:pPr>
        <w:pStyle w:val="SingleTxt"/>
        <w:spacing w:line="240" w:lineRule="auto"/>
        <w:rPr>
          <w:b/>
          <w:lang w:val="fr-CH"/>
        </w:rPr>
      </w:pPr>
      <w:r>
        <w:rPr>
          <w:b/>
          <w:lang w:val="fr-CH"/>
        </w:rPr>
        <w:tab/>
      </w:r>
      <w:r>
        <w:rPr>
          <w:b/>
          <w:lang w:val="fr-CH"/>
        </w:rPr>
        <w:tab/>
      </w:r>
      <w:r>
        <w:rPr>
          <w:b/>
          <w:lang w:val="fr-CH"/>
        </w:rPr>
        <w:tab/>
      </w:r>
      <w:r w:rsidRPr="00E14CBC">
        <w:rPr>
          <w:b/>
          <w:position w:val="-20"/>
          <w:lang w:val="fr-CH"/>
        </w:rPr>
        <w:object w:dxaOrig="1200" w:dyaOrig="520">
          <v:shape id="_x0000_i1026" type="#_x0000_t75" style="width:60.1pt;height:26.4pt" o:ole="">
            <v:imagedata r:id="rId21" o:title=""/>
          </v:shape>
          <o:OLEObject Type="Embed" ProgID="Equation.3" ShapeID="_x0000_i1026" DrawAspect="Content" ObjectID="_1516626620" r:id="rId23"/>
        </w:object>
      </w:r>
    </w:p>
    <w:p w:rsidR="00D95EB7" w:rsidRPr="008F4439" w:rsidRDefault="00CB6623" w:rsidP="00CB6623">
      <w:pPr>
        <w:pStyle w:val="SingleTxt"/>
        <w:ind w:left="2693" w:hanging="1426"/>
        <w:rPr>
          <w:b/>
          <w:lang w:val="fr-CH"/>
        </w:rPr>
      </w:pPr>
      <w:r>
        <w:rPr>
          <w:b/>
          <w:lang w:val="fr-CH"/>
        </w:rPr>
        <w:tab/>
      </w:r>
      <w:r>
        <w:rPr>
          <w:b/>
          <w:lang w:val="fr-CH"/>
        </w:rPr>
        <w:tab/>
      </w:r>
      <w:r>
        <w:rPr>
          <w:b/>
          <w:lang w:val="fr-CH"/>
        </w:rPr>
        <w:tab/>
        <w:t>o</w:t>
      </w:r>
      <w:r w:rsidR="00D95EB7" w:rsidRPr="008F4439">
        <w:rPr>
          <w:b/>
          <w:lang w:val="fr-CH"/>
        </w:rPr>
        <w:t>ù</w:t>
      </w:r>
      <w:r>
        <w:rPr>
          <w:b/>
          <w:lang w:val="fr-CH"/>
        </w:rPr>
        <w:t> </w:t>
      </w:r>
      <w:r w:rsidR="00D95EB7" w:rsidRPr="008F4439">
        <w:rPr>
          <w:b/>
          <w:lang w:val="fr-CH"/>
        </w:rPr>
        <w:t>:</w:t>
      </w:r>
    </w:p>
    <w:p w:rsidR="00D95EB7" w:rsidRPr="008F4439" w:rsidRDefault="00CB6623" w:rsidP="00A86749">
      <w:pPr>
        <w:pStyle w:val="SingleTxt"/>
        <w:ind w:left="3182" w:hanging="1915"/>
        <w:rPr>
          <w:b/>
          <w:lang w:val="fr-CH"/>
        </w:rPr>
      </w:pPr>
      <w:r>
        <w:rPr>
          <w:b/>
          <w:lang w:val="fr-CH"/>
        </w:rPr>
        <w:tab/>
      </w:r>
      <w:r>
        <w:rPr>
          <w:b/>
          <w:lang w:val="fr-CH"/>
        </w:rPr>
        <w:tab/>
      </w:r>
      <w:r>
        <w:rPr>
          <w:b/>
          <w:lang w:val="fr-CH"/>
        </w:rPr>
        <w:tab/>
      </w:r>
      <w:r w:rsidR="00D95EB7" w:rsidRPr="008F4439">
        <w:rPr>
          <w:b/>
          <w:lang w:val="fr-CH"/>
        </w:rPr>
        <w:t>t =</w:t>
      </w:r>
      <w:r w:rsidR="00A86749">
        <w:rPr>
          <w:b/>
          <w:lang w:val="fr-CH"/>
        </w:rPr>
        <w:tab/>
      </w:r>
      <w:r w:rsidR="00D95EB7" w:rsidRPr="008F4439">
        <w:rPr>
          <w:b/>
          <w:lang w:val="fr-CH"/>
        </w:rPr>
        <w:t>temps, en s, nécessaire pour réduire la vitesse du véhicule de 0,8 V</w:t>
      </w:r>
      <w:r w:rsidR="00D95EB7" w:rsidRPr="008F4439">
        <w:rPr>
          <w:b/>
          <w:vertAlign w:val="subscript"/>
          <w:lang w:val="fr-CH"/>
        </w:rPr>
        <w:t>max</w:t>
      </w:r>
      <w:r w:rsidR="00D95EB7" w:rsidRPr="008F4439">
        <w:rPr>
          <w:b/>
          <w:lang w:val="fr-CH"/>
        </w:rPr>
        <w:t xml:space="preserve"> à (0,8 V</w:t>
      </w:r>
      <w:r w:rsidR="00D95EB7" w:rsidRPr="008F4439">
        <w:rPr>
          <w:b/>
          <w:vertAlign w:val="subscript"/>
          <w:lang w:val="fr-CH"/>
        </w:rPr>
        <w:t>max</w:t>
      </w:r>
      <w:r w:rsidR="00D95EB7" w:rsidRPr="008F4439">
        <w:rPr>
          <w:b/>
          <w:lang w:val="fr-CH"/>
        </w:rPr>
        <w:t xml:space="preserve"> – 20), V</w:t>
      </w:r>
      <w:r w:rsidR="00D95EB7" w:rsidRPr="008F4439">
        <w:rPr>
          <w:b/>
          <w:vertAlign w:val="subscript"/>
          <w:lang w:val="fr-CH"/>
        </w:rPr>
        <w:t>max</w:t>
      </w:r>
      <w:r w:rsidR="00D95EB7" w:rsidRPr="008F4439">
        <w:rPr>
          <w:b/>
          <w:lang w:val="fr-CH"/>
        </w:rPr>
        <w:t xml:space="preserve"> étant mesuré en km/h;</w:t>
      </w:r>
    </w:p>
    <w:p w:rsidR="00D95EB7" w:rsidRPr="008F4439" w:rsidRDefault="00CB6623" w:rsidP="00CB6623">
      <w:pPr>
        <w:pStyle w:val="SingleTxt"/>
        <w:ind w:left="2693" w:hanging="1426"/>
        <w:rPr>
          <w:b/>
          <w:lang w:val="fr-CH"/>
        </w:rPr>
      </w:pPr>
      <w:r>
        <w:rPr>
          <w:b/>
          <w:lang w:val="fr-CH"/>
        </w:rPr>
        <w:tab/>
      </w:r>
      <w:r>
        <w:rPr>
          <w:b/>
          <w:lang w:val="fr-CH"/>
        </w:rPr>
        <w:tab/>
      </w:r>
      <w:r w:rsidR="00D95EB7" w:rsidRPr="008F4439">
        <w:rPr>
          <w:b/>
          <w:lang w:val="fr-CH"/>
        </w:rPr>
        <w:t>e)</w:t>
      </w:r>
      <w:r w:rsidR="00D95EB7" w:rsidRPr="008F4439">
        <w:rPr>
          <w:b/>
          <w:lang w:val="fr-CH"/>
        </w:rPr>
        <w:tab/>
        <w:t>La valeur du CFM est arrondie à la deuxième décimale.</w:t>
      </w:r>
    </w:p>
    <w:p w:rsidR="00D95EB7" w:rsidRPr="008F4439" w:rsidRDefault="00D95EB7" w:rsidP="008F4439">
      <w:pPr>
        <w:pStyle w:val="SingleTxt"/>
        <w:rPr>
          <w:b/>
          <w:lang w:val="fr-CH"/>
        </w:rPr>
      </w:pPr>
      <w:r w:rsidRPr="008F4439">
        <w:rPr>
          <w:b/>
          <w:lang w:val="fr-CH"/>
        </w:rPr>
        <w:t>5.2</w:t>
      </w:r>
      <w:r w:rsidRPr="008F4439">
        <w:rPr>
          <w:b/>
          <w:lang w:val="fr-CH"/>
        </w:rPr>
        <w:tab/>
      </w:r>
      <w:r w:rsidR="00CB6623">
        <w:rPr>
          <w:b/>
          <w:lang w:val="fr-CH"/>
        </w:rPr>
        <w:tab/>
      </w:r>
      <w:r w:rsidRPr="008F4439">
        <w:rPr>
          <w:b/>
          <w:lang w:val="fr-CH"/>
        </w:rPr>
        <w:t>État du véhicule pour l’essai</w:t>
      </w:r>
    </w:p>
    <w:p w:rsidR="00D95EB7" w:rsidRPr="008F4439" w:rsidRDefault="00CB6623" w:rsidP="008F4439">
      <w:pPr>
        <w:pStyle w:val="SingleTxt"/>
        <w:rPr>
          <w:b/>
          <w:lang w:val="fr-CH"/>
        </w:rPr>
      </w:pPr>
      <w:r>
        <w:rPr>
          <w:b/>
          <w:lang w:val="fr-CH"/>
        </w:rPr>
        <w:tab/>
      </w:r>
      <w:r>
        <w:rPr>
          <w:b/>
          <w:lang w:val="fr-CH"/>
        </w:rPr>
        <w:tab/>
      </w:r>
      <w:r w:rsidR="00D95EB7" w:rsidRPr="008F4439">
        <w:rPr>
          <w:b/>
          <w:lang w:val="fr-CH"/>
        </w:rPr>
        <w:t>a)</w:t>
      </w:r>
      <w:r w:rsidR="00D95EB7" w:rsidRPr="008F4439">
        <w:rPr>
          <w:b/>
          <w:lang w:val="fr-CH"/>
        </w:rPr>
        <w:tab/>
        <w:t>L’essai est applicable aux véhicules des catégories</w:t>
      </w:r>
      <w:r w:rsidR="00D95EB7" w:rsidRPr="008F4439">
        <w:rPr>
          <w:lang w:val="fr-CH"/>
        </w:rPr>
        <w:t xml:space="preserve"> </w:t>
      </w:r>
      <w:r w:rsidR="00D95EB7" w:rsidRPr="008F4439">
        <w:rPr>
          <w:b/>
          <w:lang w:val="fr-CH"/>
        </w:rPr>
        <w:t>3-1 et 3-3;</w:t>
      </w:r>
    </w:p>
    <w:p w:rsidR="00D95EB7" w:rsidRPr="008F4439" w:rsidRDefault="00CB6623" w:rsidP="00CB6623">
      <w:pPr>
        <w:pStyle w:val="SingleTxt"/>
        <w:ind w:left="2693" w:hanging="1426"/>
        <w:rPr>
          <w:b/>
          <w:bCs/>
          <w:szCs w:val="24"/>
          <w:lang w:val="fr-CH"/>
        </w:rPr>
      </w:pPr>
      <w:r>
        <w:rPr>
          <w:b/>
          <w:szCs w:val="24"/>
          <w:lang w:val="fr-CH"/>
        </w:rPr>
        <w:tab/>
      </w:r>
      <w:r>
        <w:rPr>
          <w:b/>
          <w:szCs w:val="24"/>
          <w:lang w:val="fr-CH"/>
        </w:rPr>
        <w:tab/>
      </w:r>
      <w:r w:rsidR="00D95EB7" w:rsidRPr="008F4439">
        <w:rPr>
          <w:b/>
          <w:szCs w:val="24"/>
          <w:lang w:val="fr-CH"/>
        </w:rPr>
        <w:t>b)</w:t>
      </w:r>
      <w:r w:rsidR="00D95EB7" w:rsidRPr="008F4439">
        <w:rPr>
          <w:b/>
          <w:szCs w:val="24"/>
          <w:lang w:val="fr-CH"/>
        </w:rPr>
        <w:tab/>
      </w:r>
      <w:r w:rsidR="00D95EB7" w:rsidRPr="008F4439">
        <w:rPr>
          <w:b/>
          <w:bCs/>
          <w:szCs w:val="24"/>
          <w:lang w:val="fr-CH"/>
        </w:rPr>
        <w:t>L</w:t>
      </w:r>
      <w:r w:rsidR="00D95EB7" w:rsidRPr="008F4439">
        <w:rPr>
          <w:b/>
          <w:bCs/>
          <w:lang w:val="fr-CH"/>
        </w:rPr>
        <w:t xml:space="preserve">e système antiblocage </w:t>
      </w:r>
      <w:r w:rsidR="00D95EB7" w:rsidRPr="008F4439">
        <w:rPr>
          <w:b/>
          <w:lang w:val="fr-CH"/>
        </w:rPr>
        <w:t xml:space="preserve">ne doit pas pouvoir fonctionner </w:t>
      </w:r>
      <w:r w:rsidR="00D95EB7" w:rsidRPr="008F4439">
        <w:rPr>
          <w:b/>
          <w:bCs/>
          <w:lang w:val="fr-CH"/>
        </w:rPr>
        <w:t>entre 40 km/h et 20 km/h;</w:t>
      </w:r>
    </w:p>
    <w:p w:rsidR="00D95EB7" w:rsidRPr="008F4439" w:rsidRDefault="00CB6623" w:rsidP="008F4439">
      <w:pPr>
        <w:pStyle w:val="SingleTxt"/>
        <w:rPr>
          <w:b/>
          <w:szCs w:val="24"/>
          <w:lang w:val="fr-CH"/>
        </w:rPr>
      </w:pPr>
      <w:r>
        <w:rPr>
          <w:b/>
          <w:szCs w:val="24"/>
          <w:lang w:val="fr-CH"/>
        </w:rPr>
        <w:tab/>
      </w:r>
      <w:r>
        <w:rPr>
          <w:b/>
          <w:szCs w:val="24"/>
          <w:lang w:val="fr-CH"/>
        </w:rPr>
        <w:tab/>
      </w:r>
      <w:r w:rsidR="00D95EB7" w:rsidRPr="008F4439">
        <w:rPr>
          <w:b/>
          <w:szCs w:val="24"/>
          <w:lang w:val="fr-CH"/>
        </w:rPr>
        <w:t>c)</w:t>
      </w:r>
      <w:r w:rsidR="00D95EB7" w:rsidRPr="008F4439">
        <w:rPr>
          <w:b/>
          <w:szCs w:val="24"/>
          <w:lang w:val="fr-CH"/>
        </w:rPr>
        <w:tab/>
        <w:t>Le véhicule doit être légèrement chargé;</w:t>
      </w:r>
    </w:p>
    <w:p w:rsidR="00D95EB7" w:rsidRPr="008F4439" w:rsidRDefault="00CB6623" w:rsidP="008F4439">
      <w:pPr>
        <w:pStyle w:val="SingleTxt"/>
        <w:rPr>
          <w:b/>
          <w:szCs w:val="24"/>
          <w:lang w:val="fr-CH"/>
        </w:rPr>
      </w:pPr>
      <w:r>
        <w:rPr>
          <w:b/>
          <w:szCs w:val="24"/>
          <w:lang w:val="fr-CH"/>
        </w:rPr>
        <w:tab/>
      </w:r>
      <w:r>
        <w:rPr>
          <w:b/>
          <w:szCs w:val="24"/>
          <w:lang w:val="fr-CH"/>
        </w:rPr>
        <w:tab/>
      </w:r>
      <w:r w:rsidR="00D95EB7" w:rsidRPr="008F4439">
        <w:rPr>
          <w:b/>
          <w:szCs w:val="24"/>
          <w:lang w:val="fr-CH"/>
        </w:rPr>
        <w:t>d)</w:t>
      </w:r>
      <w:r w:rsidR="00D95EB7" w:rsidRPr="008F4439">
        <w:rPr>
          <w:b/>
          <w:szCs w:val="24"/>
          <w:lang w:val="fr-CH"/>
        </w:rPr>
        <w:tab/>
      </w:r>
      <w:r w:rsidR="00D95EB7" w:rsidRPr="008F4439">
        <w:rPr>
          <w:b/>
          <w:lang w:val="fr-CH"/>
        </w:rPr>
        <w:t>Le moteur doit être débrayé</w:t>
      </w:r>
      <w:r w:rsidR="00D95EB7" w:rsidRPr="008F4439">
        <w:rPr>
          <w:b/>
          <w:szCs w:val="24"/>
          <w:lang w:val="fr-CH"/>
        </w:rPr>
        <w:t>.</w:t>
      </w:r>
    </w:p>
    <w:p w:rsidR="00D95EB7" w:rsidRPr="008F4439" w:rsidRDefault="00D95EB7" w:rsidP="008F4439">
      <w:pPr>
        <w:pStyle w:val="SingleTxt"/>
        <w:rPr>
          <w:b/>
          <w:lang w:val="fr-CH"/>
        </w:rPr>
      </w:pPr>
      <w:r w:rsidRPr="008F4439">
        <w:rPr>
          <w:b/>
          <w:lang w:val="fr-CH"/>
        </w:rPr>
        <w:t>5.3</w:t>
      </w:r>
      <w:r w:rsidRPr="008F4439">
        <w:rPr>
          <w:b/>
          <w:lang w:val="fr-CH"/>
        </w:rPr>
        <w:tab/>
      </w:r>
      <w:r w:rsidR="00CB6623">
        <w:rPr>
          <w:b/>
          <w:lang w:val="fr-CH"/>
        </w:rPr>
        <w:tab/>
      </w:r>
      <w:r w:rsidRPr="008F4439">
        <w:rPr>
          <w:b/>
          <w:lang w:val="fr-CH"/>
        </w:rPr>
        <w:t>Conditions et procédure d’essai</w:t>
      </w:r>
    </w:p>
    <w:p w:rsidR="00D95EB7" w:rsidRPr="008F4439" w:rsidRDefault="00D3747C" w:rsidP="008F4439">
      <w:pPr>
        <w:pStyle w:val="SingleTxt"/>
        <w:rPr>
          <w:b/>
          <w:lang w:val="fr-CH"/>
        </w:rPr>
      </w:pPr>
      <w:r>
        <w:rPr>
          <w:b/>
          <w:lang w:val="fr-CH"/>
        </w:rPr>
        <w:tab/>
      </w:r>
      <w:r w:rsidR="00CB6623">
        <w:rPr>
          <w:b/>
          <w:lang w:val="fr-CH"/>
        </w:rPr>
        <w:tab/>
      </w:r>
      <w:r w:rsidR="00D95EB7" w:rsidRPr="008F4439">
        <w:rPr>
          <w:b/>
          <w:lang w:val="fr-CH"/>
        </w:rPr>
        <w:t>a)</w:t>
      </w:r>
      <w:r w:rsidR="00D95EB7" w:rsidRPr="008F4439">
        <w:rPr>
          <w:b/>
          <w:lang w:val="fr-CH"/>
        </w:rPr>
        <w:tab/>
        <w:t>Température initiale des freins</w:t>
      </w:r>
      <w:r w:rsidR="003C2C8D">
        <w:rPr>
          <w:b/>
          <w:lang w:val="fr-CH"/>
        </w:rPr>
        <w:t> </w:t>
      </w:r>
      <w:r w:rsidR="00D95EB7" w:rsidRPr="008F4439">
        <w:rPr>
          <w:b/>
          <w:lang w:val="fr-CH"/>
        </w:rPr>
        <w:t>: ≥55 °C et ≤100 °C;</w:t>
      </w:r>
    </w:p>
    <w:p w:rsidR="00D95EB7" w:rsidRPr="008F4439" w:rsidRDefault="00D3747C" w:rsidP="00CB6623">
      <w:pPr>
        <w:pStyle w:val="SingleTxt"/>
        <w:ind w:left="2693" w:hanging="1426"/>
        <w:rPr>
          <w:lang w:val="fr-CH"/>
        </w:rPr>
      </w:pPr>
      <w:r>
        <w:rPr>
          <w:b/>
          <w:lang w:val="fr-CH"/>
        </w:rPr>
        <w:tab/>
      </w:r>
      <w:r w:rsidR="00CB6623">
        <w:rPr>
          <w:b/>
          <w:lang w:val="fr-CH"/>
        </w:rPr>
        <w:tab/>
      </w:r>
      <w:r w:rsidR="00D95EB7" w:rsidRPr="008F4439">
        <w:rPr>
          <w:b/>
          <w:lang w:val="fr-CH"/>
        </w:rPr>
        <w:t>b)</w:t>
      </w:r>
      <w:r w:rsidR="00D95EB7" w:rsidRPr="008F4439">
        <w:rPr>
          <w:b/>
          <w:lang w:val="fr-CH"/>
        </w:rPr>
        <w:tab/>
        <w:t>Vitesse d’essai</w:t>
      </w:r>
      <w:r w:rsidR="003C2C8D">
        <w:rPr>
          <w:b/>
          <w:lang w:val="fr-CH"/>
        </w:rPr>
        <w:t> </w:t>
      </w:r>
      <w:r w:rsidR="00D95EB7" w:rsidRPr="008F4439">
        <w:rPr>
          <w:b/>
          <w:lang w:val="fr-CH"/>
        </w:rPr>
        <w:t>: 60 km/h ou 0,9 V</w:t>
      </w:r>
      <w:r w:rsidR="00D95EB7" w:rsidRPr="008F4439">
        <w:rPr>
          <w:b/>
          <w:vertAlign w:val="subscript"/>
          <w:lang w:val="fr-CH"/>
        </w:rPr>
        <w:t>max</w:t>
      </w:r>
      <w:r w:rsidR="00D95EB7" w:rsidRPr="008F4439">
        <w:rPr>
          <w:b/>
          <w:lang w:val="fr-CH"/>
        </w:rPr>
        <w:t>, la plus basse des deux valeurs étant retenue;</w:t>
      </w:r>
    </w:p>
    <w:p w:rsidR="00D95EB7" w:rsidRPr="008F4439" w:rsidRDefault="00D3747C" w:rsidP="008F4439">
      <w:pPr>
        <w:pStyle w:val="SingleTxt"/>
        <w:rPr>
          <w:b/>
          <w:lang w:val="fr-CH"/>
        </w:rPr>
      </w:pPr>
      <w:r>
        <w:rPr>
          <w:b/>
          <w:lang w:val="fr-CH"/>
        </w:rPr>
        <w:tab/>
      </w:r>
      <w:r w:rsidR="00CB6623">
        <w:rPr>
          <w:b/>
          <w:lang w:val="fr-CH"/>
        </w:rPr>
        <w:tab/>
      </w:r>
      <w:r w:rsidR="00D95EB7" w:rsidRPr="008F4439">
        <w:rPr>
          <w:b/>
          <w:lang w:val="fr-CH"/>
        </w:rPr>
        <w:t>c)</w:t>
      </w:r>
      <w:r w:rsidR="00D95EB7" w:rsidRPr="008F4439">
        <w:rPr>
          <w:b/>
          <w:lang w:val="fr-CH"/>
        </w:rPr>
        <w:tab/>
        <w:t>Application des freins</w:t>
      </w:r>
      <w:r w:rsidR="00CB6623">
        <w:rPr>
          <w:b/>
          <w:lang w:val="fr-CH"/>
        </w:rPr>
        <w:t> </w:t>
      </w:r>
      <w:r w:rsidR="00D95EB7" w:rsidRPr="008F4439">
        <w:rPr>
          <w:b/>
          <w:lang w:val="fr-CH"/>
        </w:rPr>
        <w:t>:</w:t>
      </w:r>
    </w:p>
    <w:p w:rsidR="00D95EB7" w:rsidRPr="008F4439" w:rsidRDefault="00CB6623" w:rsidP="00CB6623">
      <w:pPr>
        <w:pStyle w:val="SingleTxt"/>
        <w:ind w:left="2693" w:hanging="1426"/>
        <w:rPr>
          <w:b/>
          <w:szCs w:val="24"/>
          <w:lang w:val="fr-CH"/>
        </w:rPr>
      </w:pPr>
      <w:r>
        <w:rPr>
          <w:b/>
          <w:lang w:val="fr-CH"/>
        </w:rPr>
        <w:tab/>
      </w:r>
      <w:r>
        <w:rPr>
          <w:b/>
          <w:lang w:val="fr-CH"/>
        </w:rPr>
        <w:tab/>
      </w:r>
      <w:r>
        <w:rPr>
          <w:b/>
          <w:lang w:val="fr-CH"/>
        </w:rPr>
        <w:tab/>
      </w:r>
      <w:r w:rsidR="00D95EB7" w:rsidRPr="008F4439">
        <w:rPr>
          <w:b/>
          <w:lang w:val="fr-CH"/>
        </w:rPr>
        <w:t>Actionnement simultané des deux commandes du frein de service, si le véhicule en est équipé, ou de la commande unique du frein de service dans le cas d’un système de freinage de service qui agit sur toutes les roues.</w:t>
      </w:r>
    </w:p>
    <w:p w:rsidR="00D95EB7" w:rsidRPr="008F4439" w:rsidRDefault="00CB6623" w:rsidP="00CB6623">
      <w:pPr>
        <w:pStyle w:val="SingleTxt"/>
        <w:ind w:left="2693" w:hanging="1426"/>
        <w:rPr>
          <w:b/>
          <w:lang w:val="fr-CH"/>
        </w:rPr>
      </w:pPr>
      <w:r>
        <w:rPr>
          <w:b/>
          <w:lang w:val="fr-CH"/>
        </w:rPr>
        <w:tab/>
      </w:r>
      <w:r>
        <w:rPr>
          <w:b/>
          <w:lang w:val="fr-CH"/>
        </w:rPr>
        <w:tab/>
      </w:r>
      <w:r>
        <w:rPr>
          <w:b/>
          <w:lang w:val="fr-CH"/>
        </w:rPr>
        <w:tab/>
      </w:r>
      <w:r w:rsidR="00D95EB7" w:rsidRPr="008F4439">
        <w:rPr>
          <w:b/>
          <w:lang w:val="fr-CH"/>
        </w:rPr>
        <w:t>Pour les véhicules équipés d’une commande unique du frein de service, il peut être nécessaire de modifier le système de freinage si l’une des roues n’approche pas la décélération maximale;</w:t>
      </w:r>
    </w:p>
    <w:p w:rsidR="00D95EB7" w:rsidRPr="008F4439" w:rsidRDefault="00CB6623" w:rsidP="008F4439">
      <w:pPr>
        <w:pStyle w:val="SingleTxt"/>
        <w:rPr>
          <w:b/>
          <w:lang w:val="fr-CH"/>
        </w:rPr>
      </w:pPr>
      <w:r>
        <w:rPr>
          <w:b/>
          <w:lang w:val="fr-CH"/>
        </w:rPr>
        <w:tab/>
      </w:r>
      <w:r>
        <w:rPr>
          <w:b/>
          <w:lang w:val="fr-CH"/>
        </w:rPr>
        <w:tab/>
      </w:r>
      <w:r w:rsidR="00D95EB7" w:rsidRPr="008F4439">
        <w:rPr>
          <w:b/>
          <w:lang w:val="fr-CH"/>
        </w:rPr>
        <w:t>d)</w:t>
      </w:r>
      <w:r w:rsidR="00D95EB7" w:rsidRPr="008F4439">
        <w:rPr>
          <w:b/>
          <w:lang w:val="fr-CH"/>
        </w:rPr>
        <w:tab/>
        <w:t>Force d’actionnement</w:t>
      </w:r>
      <w:r>
        <w:rPr>
          <w:b/>
          <w:lang w:val="fr-CH"/>
        </w:rPr>
        <w:t> </w:t>
      </w:r>
      <w:r w:rsidR="00D95EB7" w:rsidRPr="008F4439">
        <w:rPr>
          <w:b/>
          <w:lang w:val="fr-CH"/>
        </w:rPr>
        <w:t>:</w:t>
      </w:r>
    </w:p>
    <w:p w:rsidR="00D95EB7" w:rsidRPr="008F4439" w:rsidRDefault="00CB6623" w:rsidP="00CB6623">
      <w:pPr>
        <w:pStyle w:val="SingleTxt"/>
        <w:ind w:left="2693" w:hanging="1426"/>
        <w:rPr>
          <w:b/>
          <w:lang w:val="fr-CH"/>
        </w:rPr>
      </w:pPr>
      <w:r>
        <w:rPr>
          <w:b/>
          <w:lang w:val="fr-CH"/>
        </w:rPr>
        <w:tab/>
      </w:r>
      <w:r>
        <w:rPr>
          <w:b/>
          <w:lang w:val="fr-CH"/>
        </w:rPr>
        <w:tab/>
      </w:r>
      <w:r>
        <w:rPr>
          <w:b/>
          <w:lang w:val="fr-CH"/>
        </w:rPr>
        <w:tab/>
      </w:r>
      <w:r w:rsidR="00D95EB7" w:rsidRPr="008F4439">
        <w:rPr>
          <w:b/>
          <w:lang w:val="fr-CH"/>
        </w:rPr>
        <w:t>La force d’actionnement doit être celle qui permet d’obtenir le taux de décélération maximal du véhicule, comme défini au paragraphe 6.1 c).</w:t>
      </w:r>
    </w:p>
    <w:p w:rsidR="00D95EB7" w:rsidRPr="008F4439" w:rsidRDefault="00CB6623" w:rsidP="00CB6623">
      <w:pPr>
        <w:pStyle w:val="SingleTxt"/>
        <w:ind w:left="2693" w:hanging="1426"/>
        <w:rPr>
          <w:b/>
          <w:lang w:val="fr-CH"/>
        </w:rPr>
      </w:pPr>
      <w:r>
        <w:rPr>
          <w:b/>
          <w:lang w:val="fr-CH"/>
        </w:rPr>
        <w:tab/>
      </w:r>
      <w:r>
        <w:rPr>
          <w:b/>
          <w:lang w:val="fr-CH"/>
        </w:rPr>
        <w:tab/>
      </w:r>
      <w:r>
        <w:rPr>
          <w:b/>
          <w:lang w:val="fr-CH"/>
        </w:rPr>
        <w:tab/>
      </w:r>
      <w:r w:rsidR="00D95EB7" w:rsidRPr="008F4439">
        <w:rPr>
          <w:b/>
          <w:lang w:val="fr-CH"/>
        </w:rPr>
        <w:t>La valeur de la force à la commande doit être constante au cours du freinage;</w:t>
      </w:r>
    </w:p>
    <w:p w:rsidR="00D95EB7" w:rsidRPr="008F4439" w:rsidRDefault="00CB6623" w:rsidP="00CB6623">
      <w:pPr>
        <w:pStyle w:val="SingleTxt"/>
        <w:ind w:left="2693" w:hanging="1426"/>
        <w:rPr>
          <w:b/>
          <w:lang w:val="fr-CH"/>
        </w:rPr>
      </w:pPr>
      <w:r>
        <w:rPr>
          <w:b/>
          <w:lang w:val="fr-CH"/>
        </w:rPr>
        <w:tab/>
      </w:r>
      <w:r>
        <w:rPr>
          <w:b/>
          <w:lang w:val="fr-CH"/>
        </w:rPr>
        <w:tab/>
      </w:r>
      <w:r w:rsidR="00D95EB7" w:rsidRPr="008F4439">
        <w:rPr>
          <w:b/>
          <w:lang w:val="fr-CH"/>
        </w:rPr>
        <w:t>e)</w:t>
      </w:r>
      <w:r w:rsidR="00D95EB7" w:rsidRPr="008F4439">
        <w:rPr>
          <w:b/>
          <w:lang w:val="fr-CH"/>
        </w:rPr>
        <w:tab/>
        <w:t>Nombre de freinages</w:t>
      </w:r>
      <w:r>
        <w:rPr>
          <w:b/>
          <w:lang w:val="fr-CH"/>
        </w:rPr>
        <w:t> </w:t>
      </w:r>
      <w:r w:rsidR="00D95EB7" w:rsidRPr="008F4439">
        <w:rPr>
          <w:b/>
          <w:lang w:val="fr-CH"/>
        </w:rPr>
        <w:t>: jusqu’à ce que le taux de décélération maximal du véhicule soit obtenu;</w:t>
      </w:r>
    </w:p>
    <w:p w:rsidR="00D95EB7" w:rsidRDefault="00CB6623" w:rsidP="00CB6623">
      <w:pPr>
        <w:pStyle w:val="SingleTxt"/>
        <w:ind w:left="2693" w:hanging="1426"/>
        <w:rPr>
          <w:lang w:val="fr-CH"/>
        </w:rPr>
      </w:pPr>
      <w:r>
        <w:rPr>
          <w:b/>
          <w:lang w:val="fr-CH"/>
        </w:rPr>
        <w:tab/>
      </w:r>
      <w:r>
        <w:rPr>
          <w:b/>
          <w:lang w:val="fr-CH"/>
        </w:rPr>
        <w:tab/>
      </w:r>
      <w:r w:rsidR="00D95EB7" w:rsidRPr="008F4439">
        <w:rPr>
          <w:b/>
          <w:lang w:val="fr-CH"/>
        </w:rPr>
        <w:t>f)</w:t>
      </w:r>
      <w:r w:rsidR="00D95EB7" w:rsidRPr="008F4439">
        <w:rPr>
          <w:b/>
          <w:lang w:val="fr-CH"/>
        </w:rPr>
        <w:tab/>
        <w:t>Pour chaque freinage, le véhicule doit être accéléré jusqu’à la</w:t>
      </w:r>
      <w:r w:rsidR="00D3747C">
        <w:rPr>
          <w:b/>
          <w:lang w:val="fr-CH"/>
        </w:rPr>
        <w:t xml:space="preserve"> v</w:t>
      </w:r>
      <w:r w:rsidR="00D95EB7" w:rsidRPr="008F4439">
        <w:rPr>
          <w:b/>
          <w:lang w:val="fr-CH"/>
        </w:rPr>
        <w:t>itesse d’essai, puis la ou les comm</w:t>
      </w:r>
      <w:r w:rsidR="00D3747C">
        <w:rPr>
          <w:b/>
          <w:lang w:val="fr-CH"/>
        </w:rPr>
        <w:t xml:space="preserve">andes de frein actionnées dans </w:t>
      </w:r>
      <w:r w:rsidR="00D95EB7" w:rsidRPr="008F4439">
        <w:rPr>
          <w:b/>
          <w:lang w:val="fr-CH"/>
        </w:rPr>
        <w:t>les conditions prescrites dans le présent paragraphe.</w:t>
      </w:r>
      <w:r>
        <w:rPr>
          <w:b/>
          <w:lang w:val="fr-CH"/>
        </w:rPr>
        <w:t> </w:t>
      </w:r>
      <w:r w:rsidR="00D95EB7" w:rsidRPr="008F4439">
        <w:rPr>
          <w:lang w:val="fr-CH"/>
        </w:rPr>
        <w:t>».</w:t>
      </w:r>
    </w:p>
    <w:p w:rsidR="00A86749" w:rsidRPr="00A86749" w:rsidRDefault="00A86749" w:rsidP="00A86749">
      <w:pPr>
        <w:pStyle w:val="SingleTxt"/>
        <w:spacing w:after="0" w:line="120" w:lineRule="exact"/>
        <w:ind w:left="2693" w:hanging="1426"/>
        <w:rPr>
          <w:sz w:val="10"/>
          <w:lang w:val="fr-CH"/>
        </w:rPr>
      </w:pPr>
    </w:p>
    <w:p w:rsidR="00A86749" w:rsidRPr="00A86749" w:rsidRDefault="00A86749" w:rsidP="00A86749">
      <w:pPr>
        <w:pStyle w:val="SingleTxt"/>
        <w:spacing w:after="0" w:line="120" w:lineRule="exact"/>
        <w:ind w:left="2693" w:hanging="1426"/>
        <w:rPr>
          <w:sz w:val="10"/>
          <w:lang w:val="fr-CH"/>
        </w:rPr>
      </w:pPr>
    </w:p>
    <w:p w:rsidR="00F818C8" w:rsidRDefault="00D95EB7" w:rsidP="00F818C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bookmarkStart w:id="3" w:name="_Toc283124934"/>
      <w:bookmarkStart w:id="4" w:name="_Toc329088793"/>
      <w:r w:rsidRPr="008F4439">
        <w:rPr>
          <w:lang w:val="fr-CH"/>
        </w:rPr>
        <w:tab/>
      </w:r>
      <w:bookmarkEnd w:id="3"/>
      <w:bookmarkEnd w:id="4"/>
      <w:r w:rsidRPr="008F4439">
        <w:rPr>
          <w:lang w:val="fr-CH"/>
        </w:rPr>
        <w:tab/>
      </w:r>
      <w:r w:rsidR="00F818C8">
        <w:rPr>
          <w:lang w:val="fr-CH"/>
        </w:rPr>
        <w:br w:type="page"/>
      </w:r>
    </w:p>
    <w:p w:rsidR="00D95EB7" w:rsidRPr="008F4439" w:rsidRDefault="00F818C8" w:rsidP="008F443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r w:rsidR="00D95EB7" w:rsidRPr="008F4439">
        <w:rPr>
          <w:lang w:val="fr-CH"/>
        </w:rPr>
        <w:t xml:space="preserve">Rapport final sur l’élaboration d’un amendement au RTM </w:t>
      </w:r>
      <w:r w:rsidR="008F4439" w:rsidRPr="008F4439">
        <w:rPr>
          <w:lang w:val="fr-CH"/>
        </w:rPr>
        <w:t>n</w:t>
      </w:r>
      <w:r w:rsidR="008F4439" w:rsidRPr="008F4439">
        <w:rPr>
          <w:vertAlign w:val="superscript"/>
          <w:lang w:val="fr-CH"/>
        </w:rPr>
        <w:t>o</w:t>
      </w:r>
      <w:r w:rsidR="00D95EB7" w:rsidRPr="008F4439">
        <w:rPr>
          <w:lang w:val="fr-CH"/>
        </w:rPr>
        <w:t> 3</w:t>
      </w:r>
    </w:p>
    <w:p w:rsidR="008F4439" w:rsidRPr="008F4439" w:rsidRDefault="008F4439" w:rsidP="008F4439">
      <w:pPr>
        <w:spacing w:line="120" w:lineRule="exact"/>
        <w:ind w:left="1134" w:right="1134"/>
        <w:jc w:val="both"/>
        <w:rPr>
          <w:sz w:val="10"/>
          <w:szCs w:val="24"/>
          <w:lang w:val="fr-CH"/>
        </w:rPr>
      </w:pPr>
    </w:p>
    <w:p w:rsidR="008F4439" w:rsidRPr="008F4439" w:rsidRDefault="008F4439" w:rsidP="008F4439">
      <w:pPr>
        <w:spacing w:line="120" w:lineRule="exact"/>
        <w:ind w:left="1134" w:right="1134"/>
        <w:jc w:val="both"/>
        <w:rPr>
          <w:sz w:val="10"/>
          <w:szCs w:val="24"/>
          <w:lang w:val="fr-CH"/>
        </w:rPr>
      </w:pPr>
    </w:p>
    <w:p w:rsidR="00D95EB7" w:rsidRPr="008F4439" w:rsidRDefault="00D95EB7" w:rsidP="008F4439">
      <w:pPr>
        <w:pStyle w:val="SingleTxt"/>
        <w:rPr>
          <w:lang w:val="fr-CH"/>
        </w:rPr>
      </w:pPr>
      <w:r w:rsidRPr="008F4439">
        <w:rPr>
          <w:lang w:val="fr-CH"/>
        </w:rPr>
        <w:t>1.</w:t>
      </w:r>
      <w:r w:rsidRPr="008F4439">
        <w:rPr>
          <w:lang w:val="fr-CH"/>
        </w:rPr>
        <w:tab/>
        <w:t xml:space="preserve">Le Comité exécutif de l’Accord de 1998 (AC.3) a examiné une proposition de l’Italie tendant à amender le règlement technique mondial </w:t>
      </w:r>
      <w:r w:rsidR="00CB6623">
        <w:rPr>
          <w:lang w:val="fr-CH"/>
        </w:rPr>
        <w:t>n</w:t>
      </w:r>
      <w:r w:rsidR="00CB6623" w:rsidRPr="00CB6623">
        <w:rPr>
          <w:vertAlign w:val="superscript"/>
          <w:lang w:val="fr-CH"/>
        </w:rPr>
        <w:t>o</w:t>
      </w:r>
      <w:r w:rsidRPr="008F4439">
        <w:rPr>
          <w:lang w:val="fr-CH"/>
        </w:rPr>
        <w:t xml:space="preserve"> 3 sur le freinage des motocycles présentée à sa trente-neuvième session en novembre 2013 (document </w:t>
      </w:r>
      <w:hyperlink r:id="rId24" w:history="1">
        <w:r w:rsidRPr="00CB6623">
          <w:rPr>
            <w:rStyle w:val="Hyperlink"/>
            <w:u w:val="none"/>
            <w:lang w:val="fr-CH"/>
          </w:rPr>
          <w:t>ECE/TRANS/WP.29/AC.3/37</w:t>
        </w:r>
      </w:hyperlink>
      <w:r w:rsidRPr="008F4439">
        <w:rPr>
          <w:lang w:val="fr-CH"/>
        </w:rPr>
        <w:t xml:space="preserve">). L’amendement proposé est un amendement incident résultant d’une simplification du Règlement </w:t>
      </w:r>
      <w:r w:rsidR="008F4439">
        <w:rPr>
          <w:lang w:val="fr-CH"/>
        </w:rPr>
        <w:t>n</w:t>
      </w:r>
      <w:r w:rsidR="008F4439" w:rsidRPr="008F4439">
        <w:rPr>
          <w:vertAlign w:val="superscript"/>
          <w:lang w:val="fr-CH"/>
        </w:rPr>
        <w:t>o</w:t>
      </w:r>
      <w:r w:rsidR="008F4439">
        <w:rPr>
          <w:lang w:val="fr-CH"/>
        </w:rPr>
        <w:t> </w:t>
      </w:r>
      <w:r w:rsidRPr="008F4439">
        <w:rPr>
          <w:lang w:val="fr-CH"/>
        </w:rPr>
        <w:t>78.</w:t>
      </w:r>
    </w:p>
    <w:p w:rsidR="00D95EB7" w:rsidRPr="008F4439" w:rsidRDefault="003C2C8D" w:rsidP="008F4439">
      <w:pPr>
        <w:pStyle w:val="SingleTxt"/>
        <w:rPr>
          <w:lang w:val="fr-CH"/>
        </w:rPr>
      </w:pPr>
      <w:r>
        <w:rPr>
          <w:lang w:val="fr-CH"/>
        </w:rPr>
        <w:t>2.</w:t>
      </w:r>
      <w:r>
        <w:rPr>
          <w:lang w:val="fr-CH"/>
        </w:rPr>
        <w:tab/>
      </w:r>
      <w:r w:rsidR="00D95EB7" w:rsidRPr="008F4439">
        <w:rPr>
          <w:lang w:val="fr-CH"/>
        </w:rPr>
        <w:t>La proposition d’amendement au RTM a été transmise au Groupe de travail en matière de roulement et de freinage (GRRF) afin qu’il élabore cet amendement.</w:t>
      </w:r>
    </w:p>
    <w:p w:rsidR="00D95EB7" w:rsidRPr="008F4439" w:rsidRDefault="00D95EB7" w:rsidP="008F4439">
      <w:pPr>
        <w:pStyle w:val="SingleTxt"/>
        <w:rPr>
          <w:lang w:val="fr-CH"/>
        </w:rPr>
      </w:pPr>
      <w:r w:rsidRPr="008F4439">
        <w:rPr>
          <w:lang w:val="fr-CH"/>
        </w:rPr>
        <w:t>3.</w:t>
      </w:r>
      <w:r w:rsidRPr="008F4439">
        <w:rPr>
          <w:lang w:val="fr-CH"/>
        </w:rPr>
        <w:tab/>
        <w:t xml:space="preserve">Lors de sa soixante-dix-huitième session, le GRRF a recommandé un projet d’amendement 2 au RTM </w:t>
      </w:r>
      <w:r w:rsidR="00563AA5">
        <w:rPr>
          <w:lang w:val="fr-CH"/>
        </w:rPr>
        <w:t>n</w:t>
      </w:r>
      <w:r w:rsidR="00563AA5" w:rsidRPr="00563AA5">
        <w:rPr>
          <w:vertAlign w:val="superscript"/>
          <w:lang w:val="fr-CH"/>
        </w:rPr>
        <w:t>o</w:t>
      </w:r>
      <w:r w:rsidR="00563AA5">
        <w:rPr>
          <w:lang w:val="fr-CH"/>
        </w:rPr>
        <w:t> </w:t>
      </w:r>
      <w:r w:rsidRPr="008F4439">
        <w:rPr>
          <w:lang w:val="fr-CH"/>
        </w:rPr>
        <w:t xml:space="preserve">3 en vue de son inscription dans le Registre mondial à sa session de mars 2015 (document </w:t>
      </w:r>
      <w:hyperlink r:id="rId25" w:history="1">
        <w:r w:rsidRPr="00CB6623">
          <w:rPr>
            <w:rStyle w:val="Hyperlink"/>
            <w:u w:val="none"/>
            <w:lang w:val="fr-CH"/>
          </w:rPr>
          <w:t>ECE/TRANS/WP.29/GRRF/78</w:t>
        </w:r>
      </w:hyperlink>
      <w:r w:rsidRPr="008F4439">
        <w:rPr>
          <w:lang w:val="fr-CH"/>
        </w:rPr>
        <w:t>, par.</w:t>
      </w:r>
      <w:r w:rsidR="008F4439">
        <w:rPr>
          <w:lang w:val="fr-CH"/>
        </w:rPr>
        <w:t> </w:t>
      </w:r>
      <w:r w:rsidRPr="008F4439">
        <w:rPr>
          <w:lang w:val="fr-CH"/>
        </w:rPr>
        <w:t xml:space="preserve">21). Cet amendement clarifie le texte du RTM </w:t>
      </w:r>
      <w:r w:rsidR="008F4439">
        <w:rPr>
          <w:lang w:val="fr-CH"/>
        </w:rPr>
        <w:t>n</w:t>
      </w:r>
      <w:r w:rsidR="008F4439" w:rsidRPr="008F4439">
        <w:rPr>
          <w:vertAlign w:val="superscript"/>
          <w:lang w:val="fr-CH"/>
        </w:rPr>
        <w:t>o</w:t>
      </w:r>
      <w:r w:rsidR="008F4439">
        <w:rPr>
          <w:lang w:val="fr-CH"/>
        </w:rPr>
        <w:t> </w:t>
      </w:r>
      <w:r w:rsidRPr="008F4439">
        <w:rPr>
          <w:lang w:val="fr-CH"/>
        </w:rPr>
        <w:t xml:space="preserve">3 relatif aux systèmes de freinage des motocycles en ce qui concerne une possible confusion dans l’interprétation des termes désactivé et </w:t>
      </w:r>
      <w:r w:rsidR="008F4439">
        <w:rPr>
          <w:lang w:val="fr-CH"/>
        </w:rPr>
        <w:t>« </w:t>
      </w:r>
      <w:r w:rsidRPr="008F4439">
        <w:rPr>
          <w:lang w:val="fr-CH"/>
        </w:rPr>
        <w:t>déconnecté</w:t>
      </w:r>
      <w:r w:rsidR="008F4439">
        <w:rPr>
          <w:lang w:val="fr-CH"/>
        </w:rPr>
        <w:t> »</w:t>
      </w:r>
      <w:r w:rsidRPr="008F4439">
        <w:rPr>
          <w:lang w:val="fr-CH"/>
        </w:rPr>
        <w:t xml:space="preserve"> qui y sont utilisés. Il corrige également quelques références ainsi que des titres et il introduit des prescriptions relatives à un essai de défaillance applicable aux systèmes de freinage intégral (SFI) afin de tenir compte des développements récents en matière de systèmes de freinage.</w:t>
      </w:r>
    </w:p>
    <w:p w:rsidR="00A5606B" w:rsidRPr="008F4439" w:rsidRDefault="00D95EB7" w:rsidP="00D95EB7">
      <w:pPr>
        <w:pStyle w:val="SingleTxt"/>
        <w:spacing w:after="0" w:line="240" w:lineRule="auto"/>
        <w:rPr>
          <w:lang w:val="fr-CH"/>
        </w:rPr>
      </w:pPr>
      <w:r w:rsidRPr="008F4439">
        <w:rPr>
          <w:noProof/>
          <w:w w:val="100"/>
          <w:lang w:val="en-GB" w:eastAsia="en-GB"/>
        </w:rPr>
        <mc:AlternateContent>
          <mc:Choice Requires="wps">
            <w:drawing>
              <wp:anchor distT="0" distB="0" distL="114300" distR="114300" simplePos="0" relativeHeight="251660288" behindDoc="0" locked="0" layoutInCell="1" allowOverlap="1" wp14:anchorId="5701B58C" wp14:editId="779EA069">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A5606B" w:rsidRPr="008F4439" w:rsidSect="00A5606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02T13:43:00Z" w:initials="Start">
    <w:p w:rsidR="0070396F" w:rsidRDefault="007039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NO&gt;&gt;N1512421F&lt;&lt;ODS JOB NO&gt;&gt;</w:t>
      </w:r>
    </w:p>
    <w:p w:rsidR="0070396F" w:rsidRDefault="0070396F">
      <w:pPr>
        <w:pStyle w:val="CommentText"/>
      </w:pPr>
      <w:r>
        <w:t>&lt;&lt;ODS DOC SYMBOL1&gt;&gt;ECE/TRANS/180/Add.3/Amend.2/Appendix1&lt;&lt;ODS DOC SYMBOL1&gt;&gt;</w:t>
      </w:r>
    </w:p>
    <w:p w:rsidR="0070396F" w:rsidRDefault="0070396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7C" w:rsidRDefault="00D3747C" w:rsidP="00F3330B">
      <w:pPr>
        <w:spacing w:line="240" w:lineRule="auto"/>
      </w:pPr>
      <w:r>
        <w:separator/>
      </w:r>
    </w:p>
  </w:endnote>
  <w:endnote w:type="continuationSeparator" w:id="0">
    <w:p w:rsidR="00D3747C" w:rsidRDefault="00D3747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747C" w:rsidTr="00A5606B">
      <w:trPr>
        <w:jc w:val="center"/>
      </w:trPr>
      <w:tc>
        <w:tcPr>
          <w:tcW w:w="5126" w:type="dxa"/>
          <w:shd w:val="clear" w:color="auto" w:fill="auto"/>
        </w:tcPr>
        <w:p w:rsidR="00D3747C" w:rsidRPr="00A5606B" w:rsidRDefault="00D3747C" w:rsidP="00A560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143A">
            <w:rPr>
              <w:b w:val="0"/>
              <w:w w:val="103"/>
              <w:sz w:val="14"/>
            </w:rPr>
            <w:t>GE. 15-09637</w:t>
          </w:r>
          <w:r>
            <w:rPr>
              <w:b w:val="0"/>
              <w:w w:val="103"/>
              <w:sz w:val="14"/>
            </w:rPr>
            <w:fldChar w:fldCharType="end"/>
          </w:r>
        </w:p>
      </w:tc>
      <w:tc>
        <w:tcPr>
          <w:tcW w:w="5127" w:type="dxa"/>
          <w:shd w:val="clear" w:color="auto" w:fill="auto"/>
        </w:tcPr>
        <w:p w:rsidR="00D3747C" w:rsidRPr="00A5606B" w:rsidRDefault="00D3747C" w:rsidP="00A5606B">
          <w:pPr>
            <w:pStyle w:val="Footer"/>
            <w:rPr>
              <w:w w:val="103"/>
            </w:rPr>
          </w:pPr>
          <w:r>
            <w:rPr>
              <w:w w:val="103"/>
            </w:rPr>
            <w:fldChar w:fldCharType="begin"/>
          </w:r>
          <w:r>
            <w:rPr>
              <w:w w:val="103"/>
            </w:rPr>
            <w:instrText xml:space="preserve"> PAGE  \* Arabic  \* MERGEFORMAT </w:instrText>
          </w:r>
          <w:r>
            <w:rPr>
              <w:w w:val="103"/>
            </w:rPr>
            <w:fldChar w:fldCharType="separate"/>
          </w:r>
          <w:r w:rsidR="004A385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3851">
            <w:rPr>
              <w:noProof/>
              <w:w w:val="103"/>
            </w:rPr>
            <w:t>2</w:t>
          </w:r>
          <w:r>
            <w:rPr>
              <w:w w:val="103"/>
            </w:rPr>
            <w:fldChar w:fldCharType="end"/>
          </w:r>
        </w:p>
      </w:tc>
    </w:tr>
  </w:tbl>
  <w:p w:rsidR="00D3747C" w:rsidRPr="00A5606B" w:rsidRDefault="00D3747C" w:rsidP="00A56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3747C" w:rsidTr="00A5606B">
      <w:trPr>
        <w:jc w:val="center"/>
      </w:trPr>
      <w:tc>
        <w:tcPr>
          <w:tcW w:w="5126" w:type="dxa"/>
          <w:shd w:val="clear" w:color="auto" w:fill="auto"/>
        </w:tcPr>
        <w:p w:rsidR="00D3747C" w:rsidRPr="00A5606B" w:rsidRDefault="00D3747C" w:rsidP="00A560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D143A">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143A">
            <w:rPr>
              <w:noProof/>
              <w:w w:val="103"/>
            </w:rPr>
            <w:t>9</w:t>
          </w:r>
          <w:r>
            <w:rPr>
              <w:w w:val="103"/>
            </w:rPr>
            <w:fldChar w:fldCharType="end"/>
          </w:r>
        </w:p>
      </w:tc>
      <w:tc>
        <w:tcPr>
          <w:tcW w:w="5127" w:type="dxa"/>
          <w:shd w:val="clear" w:color="auto" w:fill="auto"/>
        </w:tcPr>
        <w:p w:rsidR="00D3747C" w:rsidRPr="00A5606B" w:rsidRDefault="00D3747C" w:rsidP="00A560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143A">
            <w:rPr>
              <w:b w:val="0"/>
              <w:w w:val="103"/>
              <w:sz w:val="14"/>
            </w:rPr>
            <w:t>GE. 15-09637</w:t>
          </w:r>
          <w:r>
            <w:rPr>
              <w:b w:val="0"/>
              <w:w w:val="103"/>
              <w:sz w:val="14"/>
            </w:rPr>
            <w:fldChar w:fldCharType="end"/>
          </w:r>
        </w:p>
      </w:tc>
    </w:tr>
  </w:tbl>
  <w:p w:rsidR="00D3747C" w:rsidRPr="00A5606B" w:rsidRDefault="00D3747C" w:rsidP="00A56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7C" w:rsidRDefault="00D3747C">
    <w:pPr>
      <w:pStyle w:val="Footer"/>
    </w:pPr>
    <w:r>
      <w:rPr>
        <w:noProof/>
        <w:lang w:val="en-GB" w:eastAsia="en-GB"/>
      </w:rPr>
      <w:drawing>
        <wp:anchor distT="0" distB="0" distL="114300" distR="114300" simplePos="0" relativeHeight="251658240" behindDoc="0" locked="0" layoutInCell="1" allowOverlap="1" wp14:anchorId="6CE8A104" wp14:editId="337601C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180/Add.3/Amend.2/Appendix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180/Add.3/Amend.2/Appendix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3747C" w:rsidTr="00A5606B">
      <w:tc>
        <w:tcPr>
          <w:tcW w:w="3859" w:type="dxa"/>
        </w:tcPr>
        <w:p w:rsidR="00D3747C" w:rsidRDefault="00D3747C" w:rsidP="00A5606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D143A">
            <w:rPr>
              <w:b w:val="0"/>
              <w:sz w:val="20"/>
            </w:rPr>
            <w:t>GE. 15-09637 (F)</w:t>
          </w:r>
          <w:r>
            <w:rPr>
              <w:b w:val="0"/>
              <w:sz w:val="20"/>
            </w:rPr>
            <w:fldChar w:fldCharType="end"/>
          </w:r>
          <w:r>
            <w:rPr>
              <w:b w:val="0"/>
              <w:sz w:val="20"/>
            </w:rPr>
            <w:t xml:space="preserve">    010715    0</w:t>
          </w:r>
          <w:r w:rsidR="00F818C8">
            <w:rPr>
              <w:b w:val="0"/>
              <w:sz w:val="20"/>
            </w:rPr>
            <w:t>2</w:t>
          </w:r>
          <w:r>
            <w:rPr>
              <w:b w:val="0"/>
              <w:sz w:val="20"/>
            </w:rPr>
            <w:t>0715</w:t>
          </w:r>
        </w:p>
        <w:p w:rsidR="00D3747C" w:rsidRPr="00A5606B" w:rsidRDefault="00D3747C" w:rsidP="00A5606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D143A">
            <w:rPr>
              <w:rFonts w:ascii="Barcode 3 of 9 by request" w:hAnsi="Barcode 3 of 9 by request"/>
              <w:b w:val="0"/>
              <w:spacing w:val="0"/>
              <w:w w:val="100"/>
              <w:sz w:val="24"/>
            </w:rPr>
            <w:t>*1509637*</w:t>
          </w:r>
          <w:r>
            <w:rPr>
              <w:rFonts w:ascii="Barcode 3 of 9 by request" w:hAnsi="Barcode 3 of 9 by request"/>
              <w:b w:val="0"/>
              <w:spacing w:val="0"/>
              <w:w w:val="100"/>
              <w:sz w:val="24"/>
            </w:rPr>
            <w:fldChar w:fldCharType="end"/>
          </w:r>
        </w:p>
      </w:tc>
      <w:tc>
        <w:tcPr>
          <w:tcW w:w="5127" w:type="dxa"/>
        </w:tcPr>
        <w:p w:rsidR="00D3747C" w:rsidRDefault="00D3747C" w:rsidP="00A5606B">
          <w:pPr>
            <w:pStyle w:val="Footer"/>
            <w:spacing w:line="240" w:lineRule="atLeast"/>
            <w:jc w:val="right"/>
            <w:rPr>
              <w:b w:val="0"/>
              <w:sz w:val="20"/>
            </w:rPr>
          </w:pPr>
          <w:r>
            <w:rPr>
              <w:b w:val="0"/>
              <w:noProof/>
              <w:sz w:val="20"/>
              <w:lang w:val="en-GB" w:eastAsia="en-GB"/>
            </w:rPr>
            <w:drawing>
              <wp:inline distT="0" distB="0" distL="0" distR="0" wp14:anchorId="512E00C9" wp14:editId="6CE0F74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3747C" w:rsidRPr="00A5606B" w:rsidRDefault="00D3747C" w:rsidP="00A5606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7C" w:rsidRPr="007C582D" w:rsidRDefault="007C582D" w:rsidP="007C582D">
      <w:pPr>
        <w:pStyle w:val="Footer"/>
        <w:spacing w:after="80"/>
        <w:ind w:left="792"/>
        <w:rPr>
          <w:sz w:val="16"/>
        </w:rPr>
      </w:pPr>
      <w:r w:rsidRPr="007C582D">
        <w:rPr>
          <w:sz w:val="16"/>
        </w:rPr>
        <w:t>__________________</w:t>
      </w:r>
    </w:p>
  </w:footnote>
  <w:footnote w:type="continuationSeparator" w:id="0">
    <w:p w:rsidR="00D3747C" w:rsidRPr="007C582D" w:rsidRDefault="007C582D" w:rsidP="007C582D">
      <w:pPr>
        <w:pStyle w:val="Footer"/>
        <w:spacing w:after="80"/>
        <w:ind w:left="792"/>
        <w:rPr>
          <w:sz w:val="16"/>
        </w:rPr>
      </w:pPr>
      <w:r w:rsidRPr="007C582D">
        <w:rPr>
          <w:sz w:val="16"/>
        </w:rPr>
        <w:t>__________________</w:t>
      </w:r>
    </w:p>
  </w:footnote>
  <w:footnote w:id="1">
    <w:p w:rsidR="007C582D" w:rsidRPr="007C582D" w:rsidRDefault="007C582D" w:rsidP="007C582D">
      <w:pPr>
        <w:pStyle w:val="FootnoteText"/>
        <w:tabs>
          <w:tab w:val="right" w:pos="1195"/>
          <w:tab w:val="left" w:pos="1267"/>
          <w:tab w:val="left" w:pos="1742"/>
          <w:tab w:val="left" w:pos="2218"/>
          <w:tab w:val="left" w:pos="2693"/>
        </w:tabs>
        <w:ind w:left="1267" w:right="1260" w:hanging="432"/>
        <w:rPr>
          <w:lang w:val="fr-CH"/>
        </w:rPr>
      </w:pPr>
      <w:r>
        <w:tab/>
      </w:r>
      <w:r w:rsidRPr="007C582D">
        <w:rPr>
          <w:rStyle w:val="FootnoteReference"/>
          <w:vertAlign w:val="baseline"/>
        </w:rPr>
        <w:t>*</w:t>
      </w:r>
      <w:r>
        <w:tab/>
      </w:r>
      <w:r w:rsidRPr="00A07C09">
        <w:rPr>
          <w:i/>
          <w:lang w:val="fr-FR"/>
        </w:rPr>
        <w:t>Note du secrétariat</w:t>
      </w:r>
      <w:r>
        <w:rPr>
          <w:i/>
          <w:lang w:val="fr-FR"/>
        </w:rPr>
        <w:t> </w:t>
      </w:r>
      <w:r>
        <w:rPr>
          <w:lang w:val="fr-FR"/>
        </w:rPr>
        <w:t>: Le renvoi est erroné et a été rectifié dans l'amendement adopté. Il faut lire « paragraphe 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D3747C" w:rsidTr="00A5606B">
      <w:trPr>
        <w:trHeight w:hRule="exact" w:val="864"/>
        <w:jc w:val="center"/>
      </w:trPr>
      <w:tc>
        <w:tcPr>
          <w:tcW w:w="4882" w:type="dxa"/>
          <w:shd w:val="clear" w:color="auto" w:fill="auto"/>
          <w:vAlign w:val="bottom"/>
        </w:tcPr>
        <w:p w:rsidR="00D3747C" w:rsidRPr="00A5606B" w:rsidRDefault="00D3747C" w:rsidP="00A5606B">
          <w:pPr>
            <w:pStyle w:val="Header"/>
            <w:spacing w:after="80"/>
            <w:rPr>
              <w:b/>
            </w:rPr>
          </w:pPr>
          <w:r>
            <w:rPr>
              <w:b/>
            </w:rPr>
            <w:fldChar w:fldCharType="begin"/>
          </w:r>
          <w:r>
            <w:rPr>
              <w:b/>
            </w:rPr>
            <w:instrText xml:space="preserve"> DOCVARIABLE "sss1" \* MERGEFORMAT </w:instrText>
          </w:r>
          <w:r>
            <w:rPr>
              <w:b/>
            </w:rPr>
            <w:fldChar w:fldCharType="separate"/>
          </w:r>
          <w:r w:rsidR="005D143A">
            <w:rPr>
              <w:b/>
            </w:rPr>
            <w:t>ECE/TRANS/180/Add.3/Amend.2/Appendix1</w:t>
          </w:r>
          <w:r>
            <w:rPr>
              <w:b/>
            </w:rPr>
            <w:fldChar w:fldCharType="end"/>
          </w:r>
        </w:p>
      </w:tc>
      <w:tc>
        <w:tcPr>
          <w:tcW w:w="5127" w:type="dxa"/>
          <w:shd w:val="clear" w:color="auto" w:fill="auto"/>
          <w:vAlign w:val="bottom"/>
        </w:tcPr>
        <w:p w:rsidR="00D3747C" w:rsidRDefault="00D3747C" w:rsidP="00A5606B">
          <w:pPr>
            <w:pStyle w:val="Header"/>
          </w:pPr>
        </w:p>
      </w:tc>
    </w:tr>
  </w:tbl>
  <w:p w:rsidR="00D3747C" w:rsidRPr="00A5606B" w:rsidRDefault="00D3747C" w:rsidP="00A56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D3747C" w:rsidTr="00A5606B">
      <w:trPr>
        <w:trHeight w:hRule="exact" w:val="864"/>
        <w:jc w:val="center"/>
      </w:trPr>
      <w:tc>
        <w:tcPr>
          <w:tcW w:w="4882" w:type="dxa"/>
          <w:shd w:val="clear" w:color="auto" w:fill="auto"/>
          <w:vAlign w:val="bottom"/>
        </w:tcPr>
        <w:p w:rsidR="00D3747C" w:rsidRDefault="00D3747C" w:rsidP="00A5606B">
          <w:pPr>
            <w:pStyle w:val="Header"/>
          </w:pPr>
        </w:p>
      </w:tc>
      <w:tc>
        <w:tcPr>
          <w:tcW w:w="5127" w:type="dxa"/>
          <w:shd w:val="clear" w:color="auto" w:fill="auto"/>
          <w:vAlign w:val="bottom"/>
        </w:tcPr>
        <w:p w:rsidR="00D3747C" w:rsidRPr="00A5606B" w:rsidRDefault="00D3747C" w:rsidP="00A5606B">
          <w:pPr>
            <w:pStyle w:val="Header"/>
            <w:spacing w:after="80"/>
            <w:jc w:val="right"/>
            <w:rPr>
              <w:b/>
            </w:rPr>
          </w:pPr>
          <w:r>
            <w:rPr>
              <w:b/>
            </w:rPr>
            <w:fldChar w:fldCharType="begin"/>
          </w:r>
          <w:r>
            <w:rPr>
              <w:b/>
            </w:rPr>
            <w:instrText xml:space="preserve"> DOCVARIABLE "sss1" \* MERGEFORMAT </w:instrText>
          </w:r>
          <w:r>
            <w:rPr>
              <w:b/>
            </w:rPr>
            <w:fldChar w:fldCharType="separate"/>
          </w:r>
          <w:r w:rsidR="005D143A">
            <w:rPr>
              <w:b/>
            </w:rPr>
            <w:t>ECE/TRANS/180/Add.3/Amend.2/Appendix1</w:t>
          </w:r>
          <w:r>
            <w:rPr>
              <w:b/>
            </w:rPr>
            <w:fldChar w:fldCharType="end"/>
          </w:r>
        </w:p>
      </w:tc>
    </w:tr>
  </w:tbl>
  <w:p w:rsidR="00D3747C" w:rsidRPr="00A5606B" w:rsidRDefault="00D3747C" w:rsidP="00A560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3747C" w:rsidTr="00A5606B">
      <w:trPr>
        <w:trHeight w:hRule="exact" w:val="864"/>
      </w:trPr>
      <w:tc>
        <w:tcPr>
          <w:tcW w:w="1267" w:type="dxa"/>
          <w:tcBorders>
            <w:bottom w:val="single" w:sz="4" w:space="0" w:color="auto"/>
          </w:tcBorders>
          <w:shd w:val="clear" w:color="auto" w:fill="auto"/>
          <w:vAlign w:val="bottom"/>
        </w:tcPr>
        <w:p w:rsidR="00D3747C" w:rsidRDefault="00D3747C" w:rsidP="00A5606B">
          <w:pPr>
            <w:pStyle w:val="Header"/>
            <w:spacing w:after="120"/>
          </w:pPr>
        </w:p>
      </w:tc>
      <w:tc>
        <w:tcPr>
          <w:tcW w:w="2059" w:type="dxa"/>
          <w:tcBorders>
            <w:bottom w:val="single" w:sz="4" w:space="0" w:color="auto"/>
          </w:tcBorders>
          <w:shd w:val="clear" w:color="auto" w:fill="auto"/>
          <w:vAlign w:val="bottom"/>
        </w:tcPr>
        <w:p w:rsidR="00D3747C" w:rsidRPr="00A5606B" w:rsidRDefault="00D3747C" w:rsidP="00A5606B">
          <w:pPr>
            <w:pStyle w:val="HCH"/>
            <w:spacing w:after="80"/>
            <w:rPr>
              <w:b w:val="0"/>
              <w:color w:val="010000"/>
              <w:spacing w:val="2"/>
              <w:w w:val="96"/>
            </w:rPr>
          </w:pPr>
        </w:p>
      </w:tc>
      <w:tc>
        <w:tcPr>
          <w:tcW w:w="58" w:type="dxa"/>
          <w:tcBorders>
            <w:bottom w:val="single" w:sz="4" w:space="0" w:color="auto"/>
          </w:tcBorders>
          <w:shd w:val="clear" w:color="auto" w:fill="auto"/>
          <w:vAlign w:val="bottom"/>
        </w:tcPr>
        <w:p w:rsidR="00D3747C" w:rsidRDefault="00D3747C" w:rsidP="00A5606B">
          <w:pPr>
            <w:pStyle w:val="Header"/>
            <w:spacing w:after="120"/>
          </w:pPr>
        </w:p>
      </w:tc>
      <w:tc>
        <w:tcPr>
          <w:tcW w:w="6653" w:type="dxa"/>
          <w:gridSpan w:val="4"/>
          <w:tcBorders>
            <w:bottom w:val="single" w:sz="4" w:space="0" w:color="auto"/>
          </w:tcBorders>
          <w:shd w:val="clear" w:color="auto" w:fill="auto"/>
          <w:vAlign w:val="bottom"/>
        </w:tcPr>
        <w:p w:rsidR="00D3747C" w:rsidRPr="00A5606B" w:rsidRDefault="00D3747C" w:rsidP="00A5606B">
          <w:pPr>
            <w:spacing w:after="80" w:line="240" w:lineRule="auto"/>
            <w:jc w:val="right"/>
            <w:rPr>
              <w:position w:val="-4"/>
            </w:rPr>
          </w:pPr>
          <w:r>
            <w:rPr>
              <w:position w:val="-4"/>
              <w:sz w:val="40"/>
            </w:rPr>
            <w:t>ECE</w:t>
          </w:r>
          <w:r>
            <w:rPr>
              <w:position w:val="-4"/>
            </w:rPr>
            <w:t>/TRANS/180/Add.3/Amend.2/Appendix1</w:t>
          </w:r>
        </w:p>
      </w:tc>
    </w:tr>
    <w:tr w:rsidR="00D3747C" w:rsidRPr="00A5606B" w:rsidTr="00A5606B">
      <w:trPr>
        <w:gridAfter w:val="1"/>
        <w:wAfter w:w="18" w:type="dxa"/>
        <w:trHeight w:hRule="exact" w:val="2880"/>
      </w:trPr>
      <w:tc>
        <w:tcPr>
          <w:tcW w:w="1267" w:type="dxa"/>
          <w:tcBorders>
            <w:top w:val="single" w:sz="4" w:space="0" w:color="auto"/>
            <w:bottom w:val="single" w:sz="12" w:space="0" w:color="auto"/>
          </w:tcBorders>
          <w:shd w:val="clear" w:color="auto" w:fill="auto"/>
        </w:tcPr>
        <w:p w:rsidR="00D3747C" w:rsidRPr="00A5606B" w:rsidRDefault="00D3747C" w:rsidP="00A5606B">
          <w:pPr>
            <w:pStyle w:val="Header"/>
            <w:spacing w:before="120" w:line="240" w:lineRule="auto"/>
            <w:ind w:left="-72"/>
            <w:jc w:val="center"/>
          </w:pPr>
        </w:p>
      </w:tc>
      <w:tc>
        <w:tcPr>
          <w:tcW w:w="5227" w:type="dxa"/>
          <w:gridSpan w:val="3"/>
          <w:tcBorders>
            <w:top w:val="single" w:sz="4" w:space="0" w:color="auto"/>
            <w:bottom w:val="single" w:sz="12" w:space="0" w:color="auto"/>
          </w:tcBorders>
          <w:shd w:val="clear" w:color="auto" w:fill="auto"/>
        </w:tcPr>
        <w:p w:rsidR="00D3747C" w:rsidRPr="00A5606B" w:rsidRDefault="00D3747C" w:rsidP="00A5606B">
          <w:pPr>
            <w:pStyle w:val="XLarge"/>
            <w:spacing w:before="109"/>
          </w:pPr>
        </w:p>
      </w:tc>
      <w:tc>
        <w:tcPr>
          <w:tcW w:w="245" w:type="dxa"/>
          <w:tcBorders>
            <w:top w:val="single" w:sz="4" w:space="0" w:color="auto"/>
            <w:bottom w:val="single" w:sz="12" w:space="0" w:color="auto"/>
          </w:tcBorders>
          <w:shd w:val="clear" w:color="auto" w:fill="auto"/>
        </w:tcPr>
        <w:p w:rsidR="00D3747C" w:rsidRPr="00A5606B" w:rsidRDefault="00D3747C" w:rsidP="00A5606B">
          <w:pPr>
            <w:pStyle w:val="Header"/>
            <w:spacing w:before="109"/>
          </w:pPr>
        </w:p>
      </w:tc>
      <w:tc>
        <w:tcPr>
          <w:tcW w:w="3280" w:type="dxa"/>
          <w:tcBorders>
            <w:top w:val="single" w:sz="4" w:space="0" w:color="auto"/>
            <w:bottom w:val="single" w:sz="12" w:space="0" w:color="auto"/>
          </w:tcBorders>
          <w:shd w:val="clear" w:color="auto" w:fill="auto"/>
        </w:tcPr>
        <w:p w:rsidR="00D3747C" w:rsidRDefault="00D3747C" w:rsidP="00A5606B">
          <w:pPr>
            <w:pStyle w:val="Publication"/>
            <w:rPr>
              <w:color w:val="000000"/>
            </w:rPr>
          </w:pPr>
        </w:p>
        <w:p w:rsidR="00D3747C" w:rsidRDefault="00D3747C" w:rsidP="00A5606B">
          <w:pPr>
            <w:pStyle w:val="Publication"/>
            <w:rPr>
              <w:color w:val="000000"/>
            </w:rPr>
          </w:pPr>
        </w:p>
        <w:p w:rsidR="00D3747C" w:rsidRDefault="00D3747C" w:rsidP="00A5606B">
          <w:pPr>
            <w:pStyle w:val="Publication"/>
            <w:rPr>
              <w:color w:val="000000"/>
            </w:rPr>
          </w:pPr>
        </w:p>
        <w:p w:rsidR="00D3747C" w:rsidRPr="00A5606B" w:rsidRDefault="00D3747C" w:rsidP="00D3747C">
          <w:pPr>
            <w:pStyle w:val="Publication"/>
            <w:rPr>
              <w:color w:val="000000"/>
            </w:rPr>
          </w:pPr>
          <w:r>
            <w:rPr>
              <w:color w:val="000000"/>
            </w:rPr>
            <w:t>12 juin 2015</w:t>
          </w:r>
        </w:p>
      </w:tc>
    </w:tr>
  </w:tbl>
  <w:p w:rsidR="00D3747C" w:rsidRPr="00A5606B" w:rsidRDefault="00D3747C" w:rsidP="00A5606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F45FA"/>
    <w:multiLevelType w:val="singleLevel"/>
    <w:tmpl w:val="788E8058"/>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874E8"/>
    <w:multiLevelType w:val="singleLevel"/>
    <w:tmpl w:val="788E8058"/>
    <w:lvl w:ilvl="0">
      <w:start w:val="1"/>
      <w:numFmt w:val="decimal"/>
      <w:lvlRestart w:val="0"/>
      <w:lvlText w:val="%1."/>
      <w:lvlJc w:val="left"/>
      <w:pPr>
        <w:tabs>
          <w:tab w:val="num" w:pos="475"/>
        </w:tabs>
        <w:ind w:left="0" w:firstLine="0"/>
      </w:pPr>
      <w:rPr>
        <w:w w:val="100"/>
      </w:rPr>
    </w:lvl>
  </w:abstractNum>
  <w:abstractNum w:abstractNumId="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637*"/>
    <w:docVar w:name="CreationDt" w:val="7/1/2015 11:56 AM"/>
    <w:docVar w:name="DocCategory" w:val="Doc"/>
    <w:docVar w:name="DocType" w:val="Final"/>
    <w:docVar w:name="DutyStation" w:val="Geneva"/>
    <w:docVar w:name="FooterJN" w:val="GE. 15-09637"/>
    <w:docVar w:name="jobn" w:val="GE. 15-09637 (F)"/>
    <w:docVar w:name="jobnDT" w:val="GE. 15-09637 (F)   010715"/>
    <w:docVar w:name="jobnDTDT" w:val="GE. 15-09637 (F)   010715   010715"/>
    <w:docVar w:name="JobNo" w:val="GE. 1509637F"/>
    <w:docVar w:name="JobNo2" w:val="GE. 1512421F"/>
    <w:docVar w:name="LocalDrive" w:val="0"/>
    <w:docVar w:name="OandT" w:val="BEAUNEE"/>
    <w:docVar w:name="PaperSize" w:val="A4"/>
    <w:docVar w:name="sss1" w:val="ECE/TRANS/180/Add.3/Amend.2/Appendix1"/>
    <w:docVar w:name="sss2" w:val="-"/>
    <w:docVar w:name="Symbol1" w:val="ECE/TRANS/180/Add.3/Amend.2/Appendix1"/>
    <w:docVar w:name="Symbol2" w:val="-"/>
  </w:docVars>
  <w:rsids>
    <w:rsidRoot w:val="00C2689D"/>
    <w:rsid w:val="000015B8"/>
    <w:rsid w:val="000046A5"/>
    <w:rsid w:val="000055FB"/>
    <w:rsid w:val="00016483"/>
    <w:rsid w:val="00020B9E"/>
    <w:rsid w:val="00022173"/>
    <w:rsid w:val="0002226F"/>
    <w:rsid w:val="00022B4A"/>
    <w:rsid w:val="000249FF"/>
    <w:rsid w:val="00025DE5"/>
    <w:rsid w:val="000274C2"/>
    <w:rsid w:val="00033DC9"/>
    <w:rsid w:val="000378DE"/>
    <w:rsid w:val="00040497"/>
    <w:rsid w:val="00046145"/>
    <w:rsid w:val="0005066A"/>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D46D3"/>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75C"/>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2989"/>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2C8D"/>
    <w:rsid w:val="003C5F84"/>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555"/>
    <w:rsid w:val="004669E9"/>
    <w:rsid w:val="00472794"/>
    <w:rsid w:val="00475F9F"/>
    <w:rsid w:val="00476698"/>
    <w:rsid w:val="00477592"/>
    <w:rsid w:val="004814BB"/>
    <w:rsid w:val="00481634"/>
    <w:rsid w:val="00487428"/>
    <w:rsid w:val="00491CD5"/>
    <w:rsid w:val="00492DC3"/>
    <w:rsid w:val="0049724B"/>
    <w:rsid w:val="004A0AA6"/>
    <w:rsid w:val="004A186E"/>
    <w:rsid w:val="004A2319"/>
    <w:rsid w:val="004A2455"/>
    <w:rsid w:val="004A3851"/>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E8B"/>
    <w:rsid w:val="00520271"/>
    <w:rsid w:val="00520B7B"/>
    <w:rsid w:val="00522657"/>
    <w:rsid w:val="00522A8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3AA5"/>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61"/>
    <w:rsid w:val="005A037D"/>
    <w:rsid w:val="005A0DEC"/>
    <w:rsid w:val="005A1E12"/>
    <w:rsid w:val="005A305D"/>
    <w:rsid w:val="005A6A6E"/>
    <w:rsid w:val="005A6DD6"/>
    <w:rsid w:val="005A7976"/>
    <w:rsid w:val="005B33A4"/>
    <w:rsid w:val="005B5D99"/>
    <w:rsid w:val="005B74B8"/>
    <w:rsid w:val="005C1353"/>
    <w:rsid w:val="005C3A63"/>
    <w:rsid w:val="005C65C2"/>
    <w:rsid w:val="005D143A"/>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5EDB"/>
    <w:rsid w:val="006D0C9B"/>
    <w:rsid w:val="006D1115"/>
    <w:rsid w:val="006D1B76"/>
    <w:rsid w:val="006D5832"/>
    <w:rsid w:val="006E215F"/>
    <w:rsid w:val="006E3D5C"/>
    <w:rsid w:val="006E4078"/>
    <w:rsid w:val="006E4E12"/>
    <w:rsid w:val="006E5649"/>
    <w:rsid w:val="006F41DD"/>
    <w:rsid w:val="006F5A33"/>
    <w:rsid w:val="006F6787"/>
    <w:rsid w:val="006F6EDD"/>
    <w:rsid w:val="006F79F9"/>
    <w:rsid w:val="007033D2"/>
    <w:rsid w:val="0070396F"/>
    <w:rsid w:val="00704AF5"/>
    <w:rsid w:val="0070555E"/>
    <w:rsid w:val="00707DF8"/>
    <w:rsid w:val="007112DF"/>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2D8A"/>
    <w:rsid w:val="007A345A"/>
    <w:rsid w:val="007A78C2"/>
    <w:rsid w:val="007B05E9"/>
    <w:rsid w:val="007B1E17"/>
    <w:rsid w:val="007C0C1F"/>
    <w:rsid w:val="007C206E"/>
    <w:rsid w:val="007C2936"/>
    <w:rsid w:val="007C582D"/>
    <w:rsid w:val="007C7D7F"/>
    <w:rsid w:val="007D33BA"/>
    <w:rsid w:val="007D7FD4"/>
    <w:rsid w:val="007E2FEB"/>
    <w:rsid w:val="007E74E9"/>
    <w:rsid w:val="007F0ED6"/>
    <w:rsid w:val="007F3DCC"/>
    <w:rsid w:val="007F49BD"/>
    <w:rsid w:val="007F6F95"/>
    <w:rsid w:val="007F77CB"/>
    <w:rsid w:val="00800903"/>
    <w:rsid w:val="00803EC1"/>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2F5"/>
    <w:rsid w:val="008A5334"/>
    <w:rsid w:val="008A630B"/>
    <w:rsid w:val="008A734B"/>
    <w:rsid w:val="008B24ED"/>
    <w:rsid w:val="008B5932"/>
    <w:rsid w:val="008C1225"/>
    <w:rsid w:val="008C1646"/>
    <w:rsid w:val="008C189A"/>
    <w:rsid w:val="008C1E51"/>
    <w:rsid w:val="008C5E6B"/>
    <w:rsid w:val="008C6672"/>
    <w:rsid w:val="008D0E6D"/>
    <w:rsid w:val="008D2DCF"/>
    <w:rsid w:val="008D3043"/>
    <w:rsid w:val="008D3318"/>
    <w:rsid w:val="008D4C00"/>
    <w:rsid w:val="008D52CD"/>
    <w:rsid w:val="008D5C5F"/>
    <w:rsid w:val="008D613D"/>
    <w:rsid w:val="008D756B"/>
    <w:rsid w:val="008E2530"/>
    <w:rsid w:val="008E2B47"/>
    <w:rsid w:val="008E4FFA"/>
    <w:rsid w:val="008E5CC1"/>
    <w:rsid w:val="008E6532"/>
    <w:rsid w:val="008E7FF5"/>
    <w:rsid w:val="008F125F"/>
    <w:rsid w:val="008F3DAE"/>
    <w:rsid w:val="008F4439"/>
    <w:rsid w:val="008F4847"/>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851"/>
    <w:rsid w:val="00964BDE"/>
    <w:rsid w:val="009676D3"/>
    <w:rsid w:val="00971E24"/>
    <w:rsid w:val="0098128C"/>
    <w:rsid w:val="009813FE"/>
    <w:rsid w:val="00983DD0"/>
    <w:rsid w:val="00991387"/>
    <w:rsid w:val="00993B88"/>
    <w:rsid w:val="00993D02"/>
    <w:rsid w:val="00993DCE"/>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06B"/>
    <w:rsid w:val="00A56E3B"/>
    <w:rsid w:val="00A57010"/>
    <w:rsid w:val="00A57C5A"/>
    <w:rsid w:val="00A64AD2"/>
    <w:rsid w:val="00A72352"/>
    <w:rsid w:val="00A72C1F"/>
    <w:rsid w:val="00A774F0"/>
    <w:rsid w:val="00A83E5E"/>
    <w:rsid w:val="00A84C12"/>
    <w:rsid w:val="00A85CA4"/>
    <w:rsid w:val="00A85D04"/>
    <w:rsid w:val="00A85DB4"/>
    <w:rsid w:val="00A86044"/>
    <w:rsid w:val="00A86749"/>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3DD1"/>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3FC3"/>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89D"/>
    <w:rsid w:val="00C26CD3"/>
    <w:rsid w:val="00C3047B"/>
    <w:rsid w:val="00C30749"/>
    <w:rsid w:val="00C3163F"/>
    <w:rsid w:val="00C35E4D"/>
    <w:rsid w:val="00C436F7"/>
    <w:rsid w:val="00C45692"/>
    <w:rsid w:val="00C46175"/>
    <w:rsid w:val="00C47E57"/>
    <w:rsid w:val="00C5023A"/>
    <w:rsid w:val="00C55B02"/>
    <w:rsid w:val="00C56142"/>
    <w:rsid w:val="00C56B3A"/>
    <w:rsid w:val="00C56EFE"/>
    <w:rsid w:val="00C57F00"/>
    <w:rsid w:val="00C60C0B"/>
    <w:rsid w:val="00C60FA7"/>
    <w:rsid w:val="00C66382"/>
    <w:rsid w:val="00C67F09"/>
    <w:rsid w:val="00C72788"/>
    <w:rsid w:val="00C76A5E"/>
    <w:rsid w:val="00C85CFF"/>
    <w:rsid w:val="00C865D9"/>
    <w:rsid w:val="00C87110"/>
    <w:rsid w:val="00C90813"/>
    <w:rsid w:val="00C90C2B"/>
    <w:rsid w:val="00C955E5"/>
    <w:rsid w:val="00C9582B"/>
    <w:rsid w:val="00C978FA"/>
    <w:rsid w:val="00CA13F9"/>
    <w:rsid w:val="00CA2B14"/>
    <w:rsid w:val="00CA2D2A"/>
    <w:rsid w:val="00CA40E0"/>
    <w:rsid w:val="00CA4C49"/>
    <w:rsid w:val="00CA67AB"/>
    <w:rsid w:val="00CA789C"/>
    <w:rsid w:val="00CB0CBE"/>
    <w:rsid w:val="00CB1C6D"/>
    <w:rsid w:val="00CB5956"/>
    <w:rsid w:val="00CB60A9"/>
    <w:rsid w:val="00CB6623"/>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3747C"/>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5EB7"/>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4EF6"/>
    <w:rsid w:val="00DE01B6"/>
    <w:rsid w:val="00DE1304"/>
    <w:rsid w:val="00DE1FBD"/>
    <w:rsid w:val="00DE4677"/>
    <w:rsid w:val="00DE64ED"/>
    <w:rsid w:val="00DF064D"/>
    <w:rsid w:val="00DF0CBF"/>
    <w:rsid w:val="00E003D9"/>
    <w:rsid w:val="00E028F6"/>
    <w:rsid w:val="00E0753F"/>
    <w:rsid w:val="00E10BF1"/>
    <w:rsid w:val="00E11B5C"/>
    <w:rsid w:val="00E13E2B"/>
    <w:rsid w:val="00E14CBC"/>
    <w:rsid w:val="00E21CC8"/>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4772"/>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31C7"/>
    <w:rsid w:val="00F64004"/>
    <w:rsid w:val="00F642D3"/>
    <w:rsid w:val="00F65F73"/>
    <w:rsid w:val="00F6631A"/>
    <w:rsid w:val="00F70436"/>
    <w:rsid w:val="00F713DB"/>
    <w:rsid w:val="00F730A9"/>
    <w:rsid w:val="00F735FC"/>
    <w:rsid w:val="00F738D2"/>
    <w:rsid w:val="00F73A7C"/>
    <w:rsid w:val="00F75F3B"/>
    <w:rsid w:val="00F77CB4"/>
    <w:rsid w:val="00F818C8"/>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13E"/>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E6D25"/>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5606B"/>
    <w:rPr>
      <w:sz w:val="16"/>
      <w:szCs w:val="16"/>
    </w:rPr>
  </w:style>
  <w:style w:type="paragraph" w:styleId="CommentText">
    <w:name w:val="annotation text"/>
    <w:basedOn w:val="Normal"/>
    <w:link w:val="CommentTextChar"/>
    <w:uiPriority w:val="99"/>
    <w:semiHidden/>
    <w:unhideWhenUsed/>
    <w:rsid w:val="00A5606B"/>
    <w:pPr>
      <w:spacing w:line="240" w:lineRule="auto"/>
    </w:pPr>
    <w:rPr>
      <w:szCs w:val="20"/>
    </w:rPr>
  </w:style>
  <w:style w:type="character" w:customStyle="1" w:styleId="CommentTextChar">
    <w:name w:val="Comment Text Char"/>
    <w:basedOn w:val="DefaultParagraphFont"/>
    <w:link w:val="CommentText"/>
    <w:uiPriority w:val="99"/>
    <w:semiHidden/>
    <w:rsid w:val="00A5606B"/>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5606B"/>
    <w:rPr>
      <w:b/>
      <w:bCs/>
    </w:rPr>
  </w:style>
  <w:style w:type="character" w:customStyle="1" w:styleId="CommentSubjectChar">
    <w:name w:val="Comment Subject Char"/>
    <w:basedOn w:val="CommentTextChar"/>
    <w:link w:val="CommentSubject"/>
    <w:uiPriority w:val="99"/>
    <w:semiHidden/>
    <w:rsid w:val="00A5606B"/>
    <w:rPr>
      <w:rFonts w:ascii="Times New Roman" w:hAnsi="Times New Roman"/>
      <w:b/>
      <w:bCs/>
      <w:spacing w:val="4"/>
      <w:w w:val="103"/>
      <w:kern w:val="14"/>
    </w:rPr>
  </w:style>
  <w:style w:type="paragraph" w:customStyle="1" w:styleId="HChG">
    <w:name w:val="_ H _Ch_G"/>
    <w:basedOn w:val="Normal"/>
    <w:next w:val="Normal"/>
    <w:link w:val="HChGChar"/>
    <w:qFormat/>
    <w:rsid w:val="00D95EB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D95EB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D95EB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D95EB7"/>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ParNoG">
    <w:name w:val="_ParNo_G"/>
    <w:basedOn w:val="SingleTxtG"/>
    <w:qFormat/>
    <w:rsid w:val="00D95EB7"/>
    <w:pPr>
      <w:numPr>
        <w:numId w:val="5"/>
      </w:numPr>
      <w:tabs>
        <w:tab w:val="clear" w:pos="1701"/>
        <w:tab w:val="num" w:pos="360"/>
      </w:tabs>
    </w:pPr>
  </w:style>
  <w:style w:type="character" w:customStyle="1" w:styleId="SingleTxtGChar">
    <w:name w:val="_ Single Txt_G Char"/>
    <w:link w:val="SingleTxtG"/>
    <w:rsid w:val="00D95EB7"/>
    <w:rPr>
      <w:rFonts w:ascii="Times New Roman" w:eastAsia="Calibri" w:hAnsi="Times New Roman"/>
      <w:sz w:val="24"/>
      <w:lang w:val="fr-CH"/>
    </w:rPr>
  </w:style>
  <w:style w:type="character" w:customStyle="1" w:styleId="HChGChar">
    <w:name w:val="_ H _Ch_G Char"/>
    <w:link w:val="HChG"/>
    <w:rsid w:val="00D95EB7"/>
    <w:rPr>
      <w:rFonts w:ascii="Times New Roman" w:eastAsia="Calibri" w:hAnsi="Times New Roman"/>
      <w:b/>
      <w:sz w:val="28"/>
      <w:lang w:val="fr-CH"/>
    </w:rPr>
  </w:style>
  <w:style w:type="character" w:styleId="Hyperlink">
    <w:name w:val="Hyperlink"/>
    <w:basedOn w:val="DefaultParagraphFont"/>
    <w:uiPriority w:val="99"/>
    <w:unhideWhenUsed/>
    <w:rsid w:val="00CB6623"/>
    <w:rPr>
      <w:color w:val="0000FF" w:themeColor="hyperlink"/>
      <w:u w:val="single"/>
    </w:rPr>
  </w:style>
  <w:style w:type="character" w:styleId="FollowedHyperlink">
    <w:name w:val="FollowedHyperlink"/>
    <w:basedOn w:val="DefaultParagraphFont"/>
    <w:uiPriority w:val="99"/>
    <w:semiHidden/>
    <w:unhideWhenUsed/>
    <w:rsid w:val="00CB6623"/>
    <w:rPr>
      <w:color w:val="0000FF"/>
      <w:u w:val="single"/>
    </w:rPr>
  </w:style>
  <w:style w:type="character" w:styleId="PlaceholderText">
    <w:name w:val="Placeholder Text"/>
    <w:basedOn w:val="DefaultParagraphFont"/>
    <w:uiPriority w:val="99"/>
    <w:semiHidden/>
    <w:rsid w:val="00ED47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A5606B"/>
    <w:rPr>
      <w:sz w:val="16"/>
      <w:szCs w:val="16"/>
    </w:rPr>
  </w:style>
  <w:style w:type="paragraph" w:styleId="CommentText">
    <w:name w:val="annotation text"/>
    <w:basedOn w:val="Normal"/>
    <w:link w:val="CommentTextChar"/>
    <w:uiPriority w:val="99"/>
    <w:semiHidden/>
    <w:unhideWhenUsed/>
    <w:rsid w:val="00A5606B"/>
    <w:pPr>
      <w:spacing w:line="240" w:lineRule="auto"/>
    </w:pPr>
    <w:rPr>
      <w:szCs w:val="20"/>
    </w:rPr>
  </w:style>
  <w:style w:type="character" w:customStyle="1" w:styleId="CommentTextChar">
    <w:name w:val="Comment Text Char"/>
    <w:basedOn w:val="DefaultParagraphFont"/>
    <w:link w:val="CommentText"/>
    <w:uiPriority w:val="99"/>
    <w:semiHidden/>
    <w:rsid w:val="00A5606B"/>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A5606B"/>
    <w:rPr>
      <w:b/>
      <w:bCs/>
    </w:rPr>
  </w:style>
  <w:style w:type="character" w:customStyle="1" w:styleId="CommentSubjectChar">
    <w:name w:val="Comment Subject Char"/>
    <w:basedOn w:val="CommentTextChar"/>
    <w:link w:val="CommentSubject"/>
    <w:uiPriority w:val="99"/>
    <w:semiHidden/>
    <w:rsid w:val="00A5606B"/>
    <w:rPr>
      <w:rFonts w:ascii="Times New Roman" w:hAnsi="Times New Roman"/>
      <w:b/>
      <w:bCs/>
      <w:spacing w:val="4"/>
      <w:w w:val="103"/>
      <w:kern w:val="14"/>
    </w:rPr>
  </w:style>
  <w:style w:type="paragraph" w:customStyle="1" w:styleId="HChG">
    <w:name w:val="_ H _Ch_G"/>
    <w:basedOn w:val="Normal"/>
    <w:next w:val="Normal"/>
    <w:link w:val="HChGChar"/>
    <w:qFormat/>
    <w:rsid w:val="00D95EB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D95EB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D95EB7"/>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D95EB7"/>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ParNoG">
    <w:name w:val="_ParNo_G"/>
    <w:basedOn w:val="SingleTxtG"/>
    <w:qFormat/>
    <w:rsid w:val="00D95EB7"/>
    <w:pPr>
      <w:numPr>
        <w:numId w:val="5"/>
      </w:numPr>
      <w:tabs>
        <w:tab w:val="clear" w:pos="1701"/>
        <w:tab w:val="num" w:pos="360"/>
      </w:tabs>
    </w:pPr>
  </w:style>
  <w:style w:type="character" w:customStyle="1" w:styleId="SingleTxtGChar">
    <w:name w:val="_ Single Txt_G Char"/>
    <w:link w:val="SingleTxtG"/>
    <w:rsid w:val="00D95EB7"/>
    <w:rPr>
      <w:rFonts w:ascii="Times New Roman" w:eastAsia="Calibri" w:hAnsi="Times New Roman"/>
      <w:sz w:val="24"/>
      <w:lang w:val="fr-CH"/>
    </w:rPr>
  </w:style>
  <w:style w:type="character" w:customStyle="1" w:styleId="HChGChar">
    <w:name w:val="_ H _Ch_G Char"/>
    <w:link w:val="HChG"/>
    <w:rsid w:val="00D95EB7"/>
    <w:rPr>
      <w:rFonts w:ascii="Times New Roman" w:eastAsia="Calibri" w:hAnsi="Times New Roman"/>
      <w:b/>
      <w:sz w:val="28"/>
      <w:lang w:val="fr-CH"/>
    </w:rPr>
  </w:style>
  <w:style w:type="character" w:styleId="Hyperlink">
    <w:name w:val="Hyperlink"/>
    <w:basedOn w:val="DefaultParagraphFont"/>
    <w:uiPriority w:val="99"/>
    <w:unhideWhenUsed/>
    <w:rsid w:val="00CB6623"/>
    <w:rPr>
      <w:color w:val="0000FF" w:themeColor="hyperlink"/>
      <w:u w:val="single"/>
    </w:rPr>
  </w:style>
  <w:style w:type="character" w:styleId="FollowedHyperlink">
    <w:name w:val="FollowedHyperlink"/>
    <w:basedOn w:val="DefaultParagraphFont"/>
    <w:uiPriority w:val="99"/>
    <w:semiHidden/>
    <w:unhideWhenUsed/>
    <w:rsid w:val="00CB6623"/>
    <w:rPr>
      <w:color w:val="0000FF"/>
      <w:u w:val="single"/>
    </w:rPr>
  </w:style>
  <w:style w:type="character" w:styleId="PlaceholderText">
    <w:name w:val="Placeholder Text"/>
    <w:basedOn w:val="DefaultParagraphFont"/>
    <w:uiPriority w:val="99"/>
    <w:semiHidden/>
    <w:rsid w:val="00ED4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ECE/TRANS/WP.29/AC.3/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orr.1" TargetMode="External"/><Relationship Id="rId25" Type="http://schemas.openxmlformats.org/officeDocument/2006/relationships/hyperlink" Target="http://undocs.org/fr/ECE/TRANS/WP.29/GRRF/78" TargetMode="External"/><Relationship Id="rId2" Type="http://schemas.openxmlformats.org/officeDocument/2006/relationships/numbering" Target="numbering.xml"/><Relationship Id="rId16" Type="http://schemas.openxmlformats.org/officeDocument/2006/relationships/hyperlink" Target="http://undocs.org/fr/ECE/TRANS/13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ECE/TRANS/WP.29/AC.3/37"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yperlink" Target="http://undocs.org/fr/ECE/TRANS/WP.29/2015/3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F9BD-1F08-43EA-835E-DFC902B9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Rev.24</cp:lastModifiedBy>
  <cp:revision>2</cp:revision>
  <cp:lastPrinted>2015-07-02T12:07:00Z</cp:lastPrinted>
  <dcterms:created xsi:type="dcterms:W3CDTF">2016-02-10T15:23:00Z</dcterms:created>
  <dcterms:modified xsi:type="dcterms:W3CDTF">2016-02-10T15:23:00Z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1509637F</vt:lpwstr>
  </property>
  <property fmtid="{D5CDD505-2E9C-101B-9397-08002B2CF9AE}" pid="3" name="ODSRefJobNo">
    <vt:lpwstr>1512421F</vt:lpwstr>
  </property>
  <property fmtid="{D5CDD505-2E9C-101B-9397-08002B2CF9AE}" pid="4" name="Symbol1">
    <vt:lpwstr>ECE/TRANS/180/Add.3/Amend.2/Appendix1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
  </property>
  <property fmtid="{D5CDD505-2E9C-101B-9397-08002B2CF9AE}" pid="11" name="Publication Date">
    <vt:lpwstr>12 juin 2015</vt:lpwstr>
  </property>
  <property fmtid="{D5CDD505-2E9C-101B-9397-08002B2CF9AE}" pid="12" name="Original">
    <vt:lpwstr>anglais</vt:lpwstr>
  </property>
  <property fmtid="{D5CDD505-2E9C-101B-9397-08002B2CF9AE}" pid="13" name="Release Date">
    <vt:lpwstr>010715</vt:lpwstr>
  </property>
</Properties>
</file>