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2350F357" w:rsidR="0064636E" w:rsidRPr="00D47EEA" w:rsidRDefault="0064636E" w:rsidP="00D16FB3">
            <w:pPr>
              <w:jc w:val="right"/>
            </w:pPr>
            <w:r w:rsidRPr="00014D07">
              <w:rPr>
                <w:sz w:val="40"/>
              </w:rPr>
              <w:t>E</w:t>
            </w:r>
            <w:r>
              <w:t>/ECE/324/</w:t>
            </w:r>
            <w:r w:rsidR="00F17FBE" w:rsidRPr="00F17FBE">
              <w:t>Rev.2/Add.129/Amend.1</w:t>
            </w:r>
            <w:r>
              <w:t>−</w:t>
            </w:r>
            <w:r w:rsidRPr="00014D07">
              <w:rPr>
                <w:sz w:val="40"/>
              </w:rPr>
              <w:t>E</w:t>
            </w:r>
            <w:r>
              <w:t>/ECE/TRANS/505</w:t>
            </w:r>
            <w:r w:rsidR="00841EB5">
              <w:t>/</w:t>
            </w:r>
            <w:r w:rsidR="00F17FBE" w:rsidRPr="00F17FBE">
              <w:t>Rev.2/Add.129/Amend.1</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47BAD9B6" w:rsidR="00C84414" w:rsidRDefault="00C753FF" w:rsidP="003C3936">
            <w:pPr>
              <w:spacing w:before="120"/>
            </w:pPr>
            <w:r>
              <w:t>28</w:t>
            </w:r>
            <w:bookmarkStart w:id="0" w:name="_GoBack"/>
            <w:bookmarkEnd w:id="0"/>
            <w:r w:rsidR="00124AFC">
              <w:t xml:space="preserve"> </w:t>
            </w:r>
            <w:r w:rsidR="008C06A6" w:rsidRPr="008C06A6">
              <w:t>October</w:t>
            </w:r>
            <w:r w:rsidR="008C06A6">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12C82968" w:rsidR="0064636E" w:rsidRDefault="0064636E" w:rsidP="00A41529">
      <w:pPr>
        <w:pStyle w:val="H1G"/>
        <w:spacing w:before="240" w:after="120"/>
      </w:pPr>
      <w:r>
        <w:tab/>
      </w:r>
      <w:r>
        <w:tab/>
        <w:t xml:space="preserve">Addendum </w:t>
      </w:r>
      <w:r w:rsidR="006F4BA5">
        <w:t>1</w:t>
      </w:r>
      <w:r w:rsidR="00F17FBE">
        <w:t>29</w:t>
      </w:r>
      <w:r>
        <w:t xml:space="preserve"> – Regulation No.</w:t>
      </w:r>
      <w:r w:rsidR="00271A7F">
        <w:t xml:space="preserve"> </w:t>
      </w:r>
      <w:r w:rsidR="00B109EC">
        <w:t>1</w:t>
      </w:r>
      <w:r w:rsidR="00F17FBE">
        <w:t>30</w:t>
      </w:r>
    </w:p>
    <w:p w14:paraId="5CEAAE78" w14:textId="6A950295" w:rsidR="0064636E" w:rsidRPr="00014D07" w:rsidRDefault="0064636E" w:rsidP="00A41529">
      <w:pPr>
        <w:pStyle w:val="H1G"/>
        <w:spacing w:before="240"/>
      </w:pPr>
      <w:r>
        <w:tab/>
      </w:r>
      <w:r>
        <w:tab/>
      </w:r>
      <w:r w:rsidR="00D623A7">
        <w:t>Amendment</w:t>
      </w:r>
      <w:r w:rsidRPr="00014D07">
        <w:t xml:space="preserve"> </w:t>
      </w:r>
      <w:r w:rsidR="00F17FBE">
        <w:t>1</w:t>
      </w:r>
    </w:p>
    <w:p w14:paraId="323413C0" w14:textId="31859D9E" w:rsidR="0064636E" w:rsidRPr="008C06A6" w:rsidRDefault="00F17FBE" w:rsidP="008C06A6">
      <w:pPr>
        <w:pStyle w:val="SingleTxtG"/>
        <w:spacing w:after="360"/>
        <w:ind w:right="992"/>
        <w:rPr>
          <w:spacing w:val="-4"/>
        </w:rPr>
      </w:pPr>
      <w:r w:rsidRPr="008C06A6">
        <w:rPr>
          <w:spacing w:val="-4"/>
        </w:rPr>
        <w:t>Supplement 1 to the original version of the Regulation</w:t>
      </w:r>
      <w:r w:rsidR="0064636E" w:rsidRPr="008C06A6">
        <w:rPr>
          <w:spacing w:val="-4"/>
        </w:rPr>
        <w:t xml:space="preserve"> – Date of entry into force: </w:t>
      </w:r>
      <w:r w:rsidR="008C06A6" w:rsidRPr="008C06A6">
        <w:rPr>
          <w:spacing w:val="-4"/>
        </w:rPr>
        <w:t>8 October 2016</w:t>
      </w:r>
    </w:p>
    <w:p w14:paraId="12E684A5" w14:textId="39D359E7" w:rsidR="0064636E" w:rsidRDefault="0064636E" w:rsidP="00A41529">
      <w:pPr>
        <w:pStyle w:val="H1G"/>
        <w:spacing w:before="120" w:after="120" w:line="240" w:lineRule="exact"/>
        <w:rPr>
          <w:lang w:val="en-US"/>
        </w:rPr>
      </w:pPr>
      <w:r>
        <w:rPr>
          <w:lang w:val="en-US"/>
        </w:rPr>
        <w:tab/>
      </w:r>
      <w:r>
        <w:rPr>
          <w:lang w:val="en-US"/>
        </w:rPr>
        <w:tab/>
      </w:r>
      <w:r w:rsidR="00F17FBE" w:rsidRPr="00F17FBE">
        <w:t>Uniform provisions concerning the approval of motor vehicles with regard to the Lane Departure Warning System (LDWS)</w:t>
      </w:r>
    </w:p>
    <w:p w14:paraId="68B91161" w14:textId="30B452DB"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F17FBE">
        <w:rPr>
          <w:spacing w:val="-6"/>
          <w:lang w:eastAsia="en-GB"/>
        </w:rPr>
        <w:t>6</w:t>
      </w:r>
      <w:r w:rsidR="00424DE0">
        <w:rPr>
          <w:spacing w:val="-6"/>
          <w:lang w:eastAsia="en-GB"/>
        </w:rPr>
        <w:t xml:space="preserve"> </w:t>
      </w:r>
      <w:r w:rsidR="00D63E66">
        <w:rPr>
          <w:spacing w:val="-6"/>
          <w:lang w:eastAsia="en-GB"/>
        </w:rPr>
        <w:t>(</w:t>
      </w:r>
      <w:r w:rsidR="00424DE0" w:rsidRPr="00424DE0">
        <w:rPr>
          <w:spacing w:val="-6"/>
          <w:lang w:eastAsia="en-GB"/>
        </w:rPr>
        <w:t>as amended by para</w:t>
      </w:r>
      <w:r w:rsidR="003A253F">
        <w:rPr>
          <w:spacing w:val="-6"/>
          <w:lang w:eastAsia="en-GB"/>
        </w:rPr>
        <w:t xml:space="preserve">graph </w:t>
      </w:r>
      <w:r w:rsidR="00F17FBE">
        <w:rPr>
          <w:spacing w:val="-6"/>
          <w:lang w:eastAsia="en-GB"/>
        </w:rPr>
        <w:t>59</w:t>
      </w:r>
      <w:r w:rsidR="00424DE0" w:rsidRPr="00424DE0">
        <w:rPr>
          <w:spacing w:val="-6"/>
          <w:lang w:eastAsia="en-GB"/>
        </w:rPr>
        <w:t xml:space="preserve"> of</w:t>
      </w:r>
      <w:r w:rsidR="00424DE0">
        <w:rPr>
          <w:spacing w:val="-6"/>
          <w:lang w:eastAsia="en-GB"/>
        </w:rPr>
        <w:t xml:space="preserve"> </w:t>
      </w:r>
      <w:r w:rsidR="003A253F">
        <w:rPr>
          <w:spacing w:val="-6"/>
          <w:lang w:eastAsia="en-GB"/>
        </w:rPr>
        <w:t xml:space="preserve">the report </w:t>
      </w:r>
      <w:r w:rsidR="00424DE0">
        <w:rPr>
          <w:spacing w:val="-6"/>
          <w:lang w:eastAsia="en-GB"/>
        </w:rPr>
        <w:t>ECE/TRANS/WP.29/1120</w:t>
      </w:r>
      <w:r w:rsidR="00D63E66">
        <w:rPr>
          <w:spacing w:val="-6"/>
          <w:lang w:eastAsia="en-GB"/>
        </w:rPr>
        <w:t>)</w:t>
      </w:r>
      <w:r w:rsidR="006B6177" w:rsidRPr="00424DE0">
        <w:rPr>
          <w:spacing w:val="-6"/>
          <w:lang w:eastAsia="en-GB"/>
        </w:rPr>
        <w:t>.</w:t>
      </w:r>
    </w:p>
    <w:p w14:paraId="1EDCA74F" w14:textId="444DC93B" w:rsidR="000D3A4F" w:rsidRPr="000D3A4F" w:rsidRDefault="003A253F"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49F6BE9B">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14F5DB6A" w14:textId="77777777" w:rsidR="00D17C07" w:rsidRPr="00D17C07" w:rsidRDefault="00D5540C" w:rsidP="00D17C07">
      <w:pPr>
        <w:pStyle w:val="SingleTxtG"/>
        <w:rPr>
          <w:lang w:val="en-US"/>
        </w:rPr>
      </w:pPr>
      <w:r>
        <w:br w:type="page"/>
      </w:r>
      <w:bookmarkStart w:id="3" w:name="_Toc358726234"/>
      <w:bookmarkStart w:id="4" w:name="_Toc358726293"/>
      <w:r w:rsidR="00D17C07" w:rsidRPr="00D17C07">
        <w:rPr>
          <w:i/>
          <w:lang w:val="en-US"/>
        </w:rPr>
        <w:lastRenderedPageBreak/>
        <w:t>Insert a new introduction,</w:t>
      </w:r>
      <w:r w:rsidR="00D17C07" w:rsidRPr="00D17C07">
        <w:rPr>
          <w:lang w:val="en-US"/>
        </w:rPr>
        <w:t xml:space="preserve"> to read:</w:t>
      </w:r>
    </w:p>
    <w:p w14:paraId="36EF2F66" w14:textId="77777777" w:rsidR="00D17C07" w:rsidRPr="00D17C07" w:rsidRDefault="00D17C07" w:rsidP="00D17C07">
      <w:pPr>
        <w:keepNext/>
        <w:keepLines/>
        <w:tabs>
          <w:tab w:val="right" w:pos="851"/>
        </w:tabs>
        <w:spacing w:before="360" w:after="240" w:line="300" w:lineRule="exact"/>
        <w:ind w:left="1134" w:right="1134" w:hanging="1134"/>
        <w:rPr>
          <w:b/>
          <w:sz w:val="28"/>
          <w:lang w:val="en-US"/>
        </w:rPr>
      </w:pPr>
      <w:r w:rsidRPr="00D17C07">
        <w:rPr>
          <w:b/>
          <w:sz w:val="28"/>
          <w:lang w:val="en-US"/>
        </w:rPr>
        <w:tab/>
      </w:r>
      <w:r w:rsidRPr="00D17C07">
        <w:rPr>
          <w:b/>
          <w:sz w:val="28"/>
          <w:lang w:val="en-US"/>
        </w:rPr>
        <w:tab/>
      </w:r>
      <w:r w:rsidRPr="00D17C07">
        <w:rPr>
          <w:sz w:val="28"/>
          <w:lang w:val="en-US"/>
        </w:rPr>
        <w:t>"</w:t>
      </w:r>
      <w:r w:rsidRPr="00D17C07">
        <w:rPr>
          <w:b/>
          <w:sz w:val="28"/>
          <w:lang w:val="en-US"/>
        </w:rPr>
        <w:t>Introduction</w:t>
      </w:r>
      <w:bookmarkEnd w:id="3"/>
      <w:bookmarkEnd w:id="4"/>
    </w:p>
    <w:p w14:paraId="10FA373F" w14:textId="5EBAEF6F" w:rsidR="00D17C07" w:rsidRPr="00D17C07" w:rsidRDefault="00D17C07" w:rsidP="00D17C07">
      <w:pPr>
        <w:spacing w:after="120" w:line="240" w:lineRule="auto"/>
        <w:ind w:left="1134" w:right="1134"/>
        <w:jc w:val="both"/>
        <w:rPr>
          <w:lang w:val="en-US"/>
        </w:rPr>
      </w:pPr>
      <w:r w:rsidRPr="00D17C07">
        <w:rPr>
          <w:lang w:val="en-US"/>
        </w:rPr>
        <w:t>The intention of this Regulation is to establish uniform provisions for Lane Departure Warning Systems (LDWS) fitted to motor vehicles of the categories M</w:t>
      </w:r>
      <w:r w:rsidRPr="00D17C07">
        <w:rPr>
          <w:vertAlign w:val="subscript"/>
          <w:lang w:val="en-US"/>
        </w:rPr>
        <w:t>2</w:t>
      </w:r>
      <w:r w:rsidRPr="00D17C07">
        <w:rPr>
          <w:lang w:val="en-US"/>
        </w:rPr>
        <w:t>, M</w:t>
      </w:r>
      <w:r w:rsidRPr="00D17C07">
        <w:rPr>
          <w:vertAlign w:val="subscript"/>
          <w:lang w:val="en-US"/>
        </w:rPr>
        <w:t>3</w:t>
      </w:r>
      <w:r w:rsidRPr="00D17C07">
        <w:rPr>
          <w:lang w:val="en-US"/>
        </w:rPr>
        <w:t>, N</w:t>
      </w:r>
      <w:r w:rsidRPr="00D17C07">
        <w:rPr>
          <w:vertAlign w:val="subscript"/>
          <w:lang w:val="en-US"/>
        </w:rPr>
        <w:t>2</w:t>
      </w:r>
      <w:r w:rsidRPr="00D17C07">
        <w:rPr>
          <w:lang w:val="en-US"/>
        </w:rPr>
        <w:t xml:space="preserve"> and N</w:t>
      </w:r>
      <w:r w:rsidRPr="00D17C07">
        <w:rPr>
          <w:vertAlign w:val="subscript"/>
          <w:lang w:val="en-US"/>
        </w:rPr>
        <w:t>3</w:t>
      </w:r>
      <w:r w:rsidR="002A65BD" w:rsidRPr="002A65BD">
        <w:rPr>
          <w:sz w:val="18"/>
          <w:szCs w:val="18"/>
          <w:vertAlign w:val="superscript"/>
        </w:rPr>
        <w:t>1</w:t>
      </w:r>
      <w:r w:rsidRPr="00D17C07">
        <w:rPr>
          <w:lang w:val="en-US"/>
        </w:rPr>
        <w:t xml:space="preserve"> primarily used under highway conditions.</w:t>
      </w:r>
    </w:p>
    <w:p w14:paraId="6A262188" w14:textId="77777777" w:rsidR="00D17C07" w:rsidRPr="00D17C07" w:rsidRDefault="00D17C07" w:rsidP="00D17C07">
      <w:pPr>
        <w:spacing w:after="120" w:line="240" w:lineRule="auto"/>
        <w:ind w:left="1134" w:right="1134"/>
        <w:jc w:val="both"/>
        <w:rPr>
          <w:lang w:val="en-US"/>
        </w:rPr>
      </w:pPr>
      <w:r w:rsidRPr="00D17C07">
        <w:rPr>
          <w:lang w:val="en-US"/>
        </w:rPr>
        <w:t>These vehicle categories will benefit from the fitment of a LDWS, especially in the field of monotonous driving situations. The benefit of such system installation is to support a distracted or drowsy driver by warning if the vehicle is unintentionally leaving the lane.</w:t>
      </w:r>
    </w:p>
    <w:p w14:paraId="53E160B5" w14:textId="77777777" w:rsidR="00D17C07" w:rsidRPr="00D17C07" w:rsidRDefault="00D17C07" w:rsidP="00D17C07">
      <w:pPr>
        <w:spacing w:after="120" w:line="240" w:lineRule="auto"/>
        <w:ind w:left="1134" w:right="1134"/>
        <w:jc w:val="both"/>
        <w:rPr>
          <w:lang w:val="en-US"/>
        </w:rPr>
      </w:pPr>
      <w:r w:rsidRPr="00D17C07">
        <w:rPr>
          <w:lang w:val="en-US"/>
        </w:rPr>
        <w:t>While, in general, those vehicle categories will benefit from the fitment of a LDWS, there are subgroups where the benefit is rather uncertain because they are primarily used in other conditions than highway conditions (e.g. buses with standing passengers i.e. Classes I, II and A, off-road vehicles</w:t>
      </w:r>
      <w:r w:rsidRPr="00D17C07">
        <w:rPr>
          <w:vertAlign w:val="superscript"/>
          <w:lang w:val="en-US"/>
        </w:rPr>
        <w:t>1</w:t>
      </w:r>
      <w:r w:rsidRPr="00D17C07">
        <w:rPr>
          <w:lang w:val="en-US"/>
        </w:rPr>
        <w:t>, construction vehicles, special purpose vehicles, etc.). Regardless from the benefit, there are other subgroups where the installation of LDWS would be technically difficult (e.g. on vehicles equipped with split windshields, asymmetrical cabs, windshield of high thickness, front hood vehicles, vehicles with front mounted equipment, etc.).</w:t>
      </w:r>
    </w:p>
    <w:p w14:paraId="0847D4BA" w14:textId="77777777" w:rsidR="00D17C07" w:rsidRPr="00D17C07" w:rsidRDefault="00D17C07" w:rsidP="00D17C07">
      <w:pPr>
        <w:spacing w:after="120" w:line="240" w:lineRule="auto"/>
        <w:ind w:left="1134" w:right="1134"/>
        <w:jc w:val="both"/>
        <w:rPr>
          <w:lang w:val="en-US"/>
        </w:rPr>
      </w:pPr>
      <w:r w:rsidRPr="00D17C07">
        <w:rPr>
          <w:lang w:val="en-US"/>
        </w:rPr>
        <w:t>The system shall automatically detect unintentional drift of the vehicle out of its travel lane and warn the driver.</w:t>
      </w:r>
    </w:p>
    <w:p w14:paraId="46B8964C" w14:textId="77777777" w:rsidR="00D17C07" w:rsidRPr="00D17C07" w:rsidRDefault="00D17C07" w:rsidP="00D17C07">
      <w:pPr>
        <w:spacing w:after="120" w:line="240" w:lineRule="auto"/>
        <w:ind w:left="1134" w:right="1134"/>
        <w:jc w:val="both"/>
        <w:rPr>
          <w:lang w:val="en-US"/>
        </w:rPr>
      </w:pPr>
      <w:r w:rsidRPr="00D17C07">
        <w:rPr>
          <w:lang w:val="en-US"/>
        </w:rPr>
        <w:t>The system shall provide a warning, so that an inattentive driver is made aware of a critical situation.</w:t>
      </w:r>
    </w:p>
    <w:p w14:paraId="06B0C062" w14:textId="77777777" w:rsidR="002A65BD" w:rsidRDefault="00D17C07" w:rsidP="00D17C07">
      <w:pPr>
        <w:spacing w:after="120" w:line="240" w:lineRule="auto"/>
        <w:ind w:left="1134" w:right="1134"/>
        <w:jc w:val="both"/>
        <w:rPr>
          <w:lang w:val="en-US"/>
        </w:rPr>
      </w:pPr>
      <w:r w:rsidRPr="00D17C07">
        <w:rPr>
          <w:lang w:val="en-US"/>
        </w:rPr>
        <w:t>The Regulation cannot include all the traffic conditions and infrastructure features in the type-approval process. Actual conditions and features in the real world should not result in false warnings to the extent that they encourage the driver to switch the system off.</w:t>
      </w:r>
    </w:p>
    <w:p w14:paraId="26024F89" w14:textId="77777777" w:rsidR="002A65BD" w:rsidRPr="00B662F0" w:rsidRDefault="002A65BD" w:rsidP="002A65BD">
      <w:pPr>
        <w:widowControl w:val="0"/>
        <w:tabs>
          <w:tab w:val="left" w:pos="1701"/>
          <w:tab w:val="left" w:pos="2835"/>
          <w:tab w:val="left" w:pos="8505"/>
        </w:tabs>
        <w:suppressAutoHyphens w:val="0"/>
        <w:spacing w:before="120" w:after="120" w:line="240" w:lineRule="auto"/>
        <w:ind w:left="567" w:right="422"/>
        <w:jc w:val="both"/>
        <w:rPr>
          <w:rFonts w:eastAsia="MS Mincho"/>
          <w:kern w:val="2"/>
          <w:vertAlign w:val="superscript"/>
          <w:lang w:val="en-US" w:eastAsia="ja-JP"/>
        </w:rPr>
      </w:pPr>
      <w:r w:rsidRPr="00B662F0">
        <w:rPr>
          <w:rFonts w:eastAsia="MS Mincho"/>
          <w:kern w:val="2"/>
          <w:vertAlign w:val="superscript"/>
          <w:lang w:val="en-US" w:eastAsia="ja-JP"/>
        </w:rPr>
        <w:t>________________</w:t>
      </w:r>
    </w:p>
    <w:p w14:paraId="41B20FD0" w14:textId="7C09DB22" w:rsidR="002A65BD" w:rsidRPr="00B662F0" w:rsidRDefault="002A65BD" w:rsidP="002A65BD">
      <w:pPr>
        <w:pStyle w:val="FootnoteText"/>
        <w:numPr>
          <w:ilvl w:val="0"/>
          <w:numId w:val="3"/>
        </w:numPr>
        <w:tabs>
          <w:tab w:val="clear" w:pos="1021"/>
          <w:tab w:val="clear" w:pos="1701"/>
          <w:tab w:val="right" w:pos="851"/>
        </w:tabs>
        <w:ind w:left="1134" w:hanging="1134"/>
        <w:rPr>
          <w:rFonts w:eastAsia="MS Mincho"/>
        </w:rPr>
      </w:pPr>
      <w:r>
        <w:rPr>
          <w:rFonts w:eastAsia="MS Mincho"/>
          <w:vertAlign w:val="superscript"/>
        </w:rPr>
        <w:t>1</w:t>
      </w:r>
      <w:r w:rsidRPr="00B662F0">
        <w:rPr>
          <w:rFonts w:eastAsia="MS Mincho"/>
        </w:rPr>
        <w:tab/>
      </w:r>
      <w:r w:rsidRPr="002A65BD">
        <w:rPr>
          <w:rFonts w:eastAsia="MS Mincho"/>
          <w:lang w:val="en-US"/>
        </w:rPr>
        <w:t xml:space="preserve">As defined in the Consolidated Resolution on the Construction of Vehicles (R.E.3.), document ECE/TRANS/WP.29/78/Rev.4, para. 2 </w:t>
      </w:r>
      <w:r w:rsidRPr="002A65BD">
        <w:rPr>
          <w:rFonts w:eastAsia="MS Mincho"/>
        </w:rPr>
        <w:t>- www.unece.org/trans/main/wp29/wp29wgs/wp29gen/wp29resolutions.html</w:t>
      </w:r>
      <w:r w:rsidRPr="002A65BD">
        <w:rPr>
          <w:rFonts w:eastAsia="MS Mincho"/>
          <w:lang w:val="en-US"/>
        </w:rPr>
        <w:t xml:space="preserve"> </w:t>
      </w:r>
      <w:r w:rsidRPr="00B662F0">
        <w:rPr>
          <w:rFonts w:eastAsia="MS Mincho"/>
        </w:rPr>
        <w:t>"</w:t>
      </w:r>
    </w:p>
    <w:p w14:paraId="437ADE64" w14:textId="77777777" w:rsidR="00D17C07" w:rsidRPr="00D17C07" w:rsidRDefault="00D17C07" w:rsidP="002A65BD">
      <w:pPr>
        <w:autoSpaceDE w:val="0"/>
        <w:autoSpaceDN w:val="0"/>
        <w:adjustRightInd w:val="0"/>
        <w:spacing w:before="120" w:after="120" w:line="240" w:lineRule="auto"/>
        <w:ind w:left="1134" w:right="1134"/>
        <w:rPr>
          <w:iCs/>
          <w:szCs w:val="21"/>
          <w:lang w:val="en-US"/>
        </w:rPr>
      </w:pPr>
      <w:r w:rsidRPr="00D17C07">
        <w:rPr>
          <w:i/>
          <w:iCs/>
          <w:szCs w:val="21"/>
          <w:lang w:val="en-US"/>
        </w:rPr>
        <w:t>Insert new paragraph 5.1.2.</w:t>
      </w:r>
      <w:r w:rsidRPr="00D17C07">
        <w:rPr>
          <w:iCs/>
          <w:szCs w:val="21"/>
          <w:lang w:val="en-US"/>
        </w:rPr>
        <w:t xml:space="preserve">, to read: </w:t>
      </w:r>
    </w:p>
    <w:p w14:paraId="5BB26CCE" w14:textId="41120F09" w:rsidR="00D17C07" w:rsidRPr="00D17C07" w:rsidRDefault="00D17C07" w:rsidP="00D17C07">
      <w:pPr>
        <w:spacing w:after="120" w:line="240" w:lineRule="auto"/>
        <w:ind w:left="2268" w:right="1134" w:hanging="1134"/>
        <w:jc w:val="both"/>
        <w:rPr>
          <w:lang w:val="en-US"/>
        </w:rPr>
      </w:pPr>
      <w:r w:rsidRPr="00D17C07">
        <w:rPr>
          <w:szCs w:val="21"/>
          <w:lang w:val="en-US"/>
        </w:rPr>
        <w:t>"5.1.2.</w:t>
      </w:r>
      <w:r w:rsidRPr="00D17C07">
        <w:rPr>
          <w:b/>
          <w:szCs w:val="21"/>
          <w:lang w:val="en-US"/>
        </w:rPr>
        <w:tab/>
      </w:r>
      <w:r w:rsidRPr="00D17C07">
        <w:rPr>
          <w:lang w:val="en-US"/>
        </w:rPr>
        <w:t xml:space="preserve">The effectiveness of </w:t>
      </w:r>
      <w:r w:rsidRPr="00D17C07">
        <w:t>LDWS</w:t>
      </w:r>
      <w:r w:rsidRPr="00D17C07">
        <w:rPr>
          <w:lang w:val="en-US"/>
        </w:rPr>
        <w:t xml:space="preserve"> shall not be adversely affected by magnetic or electrical fields. This shall be demonstrated by fulfilling the technical requirements and </w:t>
      </w:r>
      <w:r w:rsidRPr="00D17C07">
        <w:rPr>
          <w:spacing w:val="-4"/>
          <w:lang w:val="en-US"/>
        </w:rPr>
        <w:t xml:space="preserve">respecting the </w:t>
      </w:r>
      <w:r w:rsidRPr="00D17C07">
        <w:rPr>
          <w:lang w:val="en-US"/>
        </w:rPr>
        <w:t>transitional provisions of Regulation No. 10 by applying:</w:t>
      </w:r>
    </w:p>
    <w:p w14:paraId="670509CD" w14:textId="77777777" w:rsidR="00D17C07" w:rsidRPr="00D17C07" w:rsidRDefault="00D17C07" w:rsidP="00D17C07">
      <w:pPr>
        <w:tabs>
          <w:tab w:val="left" w:pos="2835"/>
        </w:tabs>
        <w:suppressAutoHyphens w:val="0"/>
        <w:spacing w:after="120" w:line="240" w:lineRule="auto"/>
        <w:ind w:left="2835" w:right="1134" w:hanging="567"/>
        <w:jc w:val="both"/>
        <w:rPr>
          <w:lang w:val="en-US"/>
        </w:rPr>
      </w:pPr>
      <w:r w:rsidRPr="00D17C07">
        <w:rPr>
          <w:lang w:val="en-US"/>
        </w:rPr>
        <w:t>(a)</w:t>
      </w:r>
      <w:r w:rsidRPr="00D17C07">
        <w:rPr>
          <w:lang w:val="en-US"/>
        </w:rPr>
        <w:tab/>
        <w:t>The 03 series of amendments for vehicles without a coupling system for charging the Rechargeable Energy Storage System (traction batteries);</w:t>
      </w:r>
    </w:p>
    <w:p w14:paraId="4755FE0D" w14:textId="77777777" w:rsidR="00D17C07" w:rsidRPr="00D17C07" w:rsidRDefault="00D17C07" w:rsidP="00D17C07">
      <w:pPr>
        <w:tabs>
          <w:tab w:val="left" w:pos="2835"/>
        </w:tabs>
        <w:suppressAutoHyphens w:val="0"/>
        <w:spacing w:after="120" w:line="240" w:lineRule="auto"/>
        <w:ind w:left="2835" w:right="1134" w:hanging="567"/>
        <w:jc w:val="both"/>
        <w:rPr>
          <w:lang w:val="en-US"/>
        </w:rPr>
      </w:pPr>
      <w:r w:rsidRPr="00D17C07">
        <w:rPr>
          <w:lang w:val="en-US"/>
        </w:rPr>
        <w:t>(b)</w:t>
      </w:r>
      <w:r w:rsidRPr="00D17C07">
        <w:rPr>
          <w:lang w:val="en-US"/>
        </w:rPr>
        <w:tab/>
        <w:t>The 04 series of amendments for vehicles with a coupling system for charging the Rechargeable Energy Storage System (traction batteries)."</w:t>
      </w:r>
    </w:p>
    <w:p w14:paraId="211A6BB3" w14:textId="0D2B0836" w:rsidR="00392829" w:rsidRPr="00392829" w:rsidRDefault="00D17C07" w:rsidP="00D17C07">
      <w:pPr>
        <w:spacing w:before="240"/>
        <w:ind w:left="1134" w:right="1134"/>
        <w:jc w:val="center"/>
        <w:rPr>
          <w:u w:val="single"/>
        </w:rPr>
      </w:pPr>
      <w:r w:rsidRPr="00D17C07">
        <w:rPr>
          <w:u w:val="single"/>
        </w:rPr>
        <w:tab/>
      </w:r>
      <w:r w:rsidRPr="00D17C07">
        <w:rPr>
          <w:u w:val="single"/>
        </w:rPr>
        <w:tab/>
      </w:r>
      <w:r w:rsidRPr="00D17C07">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0984898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753F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7FACC40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7C07">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F17FBE"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68FC92E2" w:rsidR="00B701B3" w:rsidRDefault="00B701B3">
    <w:pPr>
      <w:pStyle w:val="Header"/>
    </w:pPr>
    <w:r w:rsidRPr="00D623A7">
      <w:t>E/ECE/324</w:t>
    </w:r>
    <w:r w:rsidRPr="00841EB5">
      <w:t>/</w:t>
    </w:r>
    <w:r w:rsidR="00D17C07" w:rsidRPr="00D17C07">
      <w:t>Rev.2/Add.129/Amend.1</w:t>
    </w:r>
    <w:r>
      <w:br/>
    </w:r>
    <w:r w:rsidRPr="00D623A7">
      <w:t>E/ECE/TRANS/505</w:t>
    </w:r>
    <w:r w:rsidRPr="00841EB5">
      <w:t>/</w:t>
    </w:r>
    <w:r w:rsidR="00D17C07" w:rsidRPr="00D17C07">
      <w:t>Rev.2/Add.129/Amend.1</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1F4E6D14" w:rsidR="00C65E9F" w:rsidRDefault="00C65E9F" w:rsidP="00C65E9F">
    <w:pPr>
      <w:pStyle w:val="Header"/>
      <w:jc w:val="right"/>
    </w:pPr>
    <w:r w:rsidRPr="00D623A7">
      <w:t>E/ECE/324</w:t>
    </w:r>
    <w:r w:rsidRPr="00841EB5">
      <w:t>/</w:t>
    </w:r>
    <w:r w:rsidRPr="00B109EC">
      <w:t>Rev.2/Add.106/Rev.</w:t>
    </w:r>
    <w:r>
      <w:t>6</w:t>
    </w:r>
    <w:r w:rsidRPr="00B109EC">
      <w:t>/Amend.</w:t>
    </w:r>
    <w:r w:rsidR="00D16FB3">
      <w:t>5</w:t>
    </w:r>
    <w:r>
      <w:br/>
    </w:r>
    <w:r w:rsidRPr="00D623A7">
      <w:t>E/ECE/TRANS/505</w:t>
    </w:r>
    <w:r w:rsidRPr="00841EB5">
      <w:t>/</w:t>
    </w:r>
    <w:r w:rsidRPr="00B109EC">
      <w:t>Rev.2/Add.106/Rev.</w:t>
    </w:r>
    <w:r>
      <w:t>6</w:t>
    </w:r>
    <w:r w:rsidRPr="00B109EC">
      <w:t>/Amend.</w:t>
    </w:r>
    <w:r w:rsidR="00D16FB3">
      <w:t>5</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A"/>
    <w:rsid w:val="000400CC"/>
    <w:rsid w:val="00050F6B"/>
    <w:rsid w:val="00072C8C"/>
    <w:rsid w:val="00086287"/>
    <w:rsid w:val="000931C0"/>
    <w:rsid w:val="000B175B"/>
    <w:rsid w:val="000B3A0F"/>
    <w:rsid w:val="000D3A4F"/>
    <w:rsid w:val="000E0415"/>
    <w:rsid w:val="001220B8"/>
    <w:rsid w:val="00124AFC"/>
    <w:rsid w:val="00134B40"/>
    <w:rsid w:val="001352D9"/>
    <w:rsid w:val="00141A0F"/>
    <w:rsid w:val="001650AA"/>
    <w:rsid w:val="00165E82"/>
    <w:rsid w:val="00174F92"/>
    <w:rsid w:val="001B4B04"/>
    <w:rsid w:val="001C24A3"/>
    <w:rsid w:val="001C6663"/>
    <w:rsid w:val="001C7895"/>
    <w:rsid w:val="001D26DF"/>
    <w:rsid w:val="00211E0B"/>
    <w:rsid w:val="002405A7"/>
    <w:rsid w:val="00241C23"/>
    <w:rsid w:val="00243948"/>
    <w:rsid w:val="00266D63"/>
    <w:rsid w:val="00271A7F"/>
    <w:rsid w:val="002A1E3A"/>
    <w:rsid w:val="002A65BD"/>
    <w:rsid w:val="002B0ECC"/>
    <w:rsid w:val="003107FA"/>
    <w:rsid w:val="00312E48"/>
    <w:rsid w:val="003229D8"/>
    <w:rsid w:val="0033745A"/>
    <w:rsid w:val="003852F5"/>
    <w:rsid w:val="0039277A"/>
    <w:rsid w:val="00392829"/>
    <w:rsid w:val="003972E0"/>
    <w:rsid w:val="00397ED3"/>
    <w:rsid w:val="003A253F"/>
    <w:rsid w:val="003C2CC4"/>
    <w:rsid w:val="003C3936"/>
    <w:rsid w:val="003D4B23"/>
    <w:rsid w:val="003F1ED3"/>
    <w:rsid w:val="00424DE0"/>
    <w:rsid w:val="004325CB"/>
    <w:rsid w:val="00433331"/>
    <w:rsid w:val="00440758"/>
    <w:rsid w:val="00445C26"/>
    <w:rsid w:val="00446DE4"/>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6F4BA5"/>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C06A6"/>
    <w:rsid w:val="008C3804"/>
    <w:rsid w:val="008C68E9"/>
    <w:rsid w:val="008E0E46"/>
    <w:rsid w:val="0090576C"/>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109EC"/>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65E9F"/>
    <w:rsid w:val="00C711C7"/>
    <w:rsid w:val="00C71A58"/>
    <w:rsid w:val="00C745C3"/>
    <w:rsid w:val="00C752DC"/>
    <w:rsid w:val="00C753FF"/>
    <w:rsid w:val="00C84414"/>
    <w:rsid w:val="00CC36F8"/>
    <w:rsid w:val="00CE4A8F"/>
    <w:rsid w:val="00CE5E33"/>
    <w:rsid w:val="00D06710"/>
    <w:rsid w:val="00D129D9"/>
    <w:rsid w:val="00D16FB3"/>
    <w:rsid w:val="00D17C07"/>
    <w:rsid w:val="00D2031B"/>
    <w:rsid w:val="00D25FE2"/>
    <w:rsid w:val="00D317BB"/>
    <w:rsid w:val="00D43252"/>
    <w:rsid w:val="00D5540C"/>
    <w:rsid w:val="00D623A7"/>
    <w:rsid w:val="00D63E66"/>
    <w:rsid w:val="00D6614F"/>
    <w:rsid w:val="00D911B4"/>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17FBE"/>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EE35"/>
  <w15:docId w15:val="{203AAC3F-4514-46C5-9AC9-68A50FF3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10</TotalTime>
  <Pages>2</Pages>
  <Words>507</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9</cp:revision>
  <cp:lastPrinted>2015-05-06T11:39:00Z</cp:lastPrinted>
  <dcterms:created xsi:type="dcterms:W3CDTF">2016-08-11T11:18:00Z</dcterms:created>
  <dcterms:modified xsi:type="dcterms:W3CDTF">2016-10-28T07:55:00Z</dcterms:modified>
</cp:coreProperties>
</file>