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3429C6DD" w:rsidR="0064636E" w:rsidRPr="00D47EEA" w:rsidRDefault="0064636E" w:rsidP="00E508B3">
            <w:pPr>
              <w:jc w:val="right"/>
            </w:pPr>
            <w:r w:rsidRPr="00014D07">
              <w:rPr>
                <w:sz w:val="40"/>
              </w:rPr>
              <w:t>E</w:t>
            </w:r>
            <w:r>
              <w:t>/ECE/324/</w:t>
            </w:r>
            <w:r w:rsidR="00144CB6" w:rsidRPr="00144CB6">
              <w:t>Rev.2/Add.117/Rev.1/Amend.2</w:t>
            </w:r>
            <w:r>
              <w:t>−</w:t>
            </w:r>
            <w:r w:rsidRPr="00014D07">
              <w:rPr>
                <w:sz w:val="40"/>
              </w:rPr>
              <w:t>E</w:t>
            </w:r>
            <w:r>
              <w:t>/ECE/TRANS/505</w:t>
            </w:r>
            <w:r w:rsidR="00841EB5">
              <w:t>/</w:t>
            </w:r>
            <w:r w:rsidR="00144CB6" w:rsidRPr="00144CB6">
              <w:t>Rev.2/Add.117/Rev.1/Amend.2</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2BDE2E97" w:rsidR="00C84414" w:rsidRDefault="00095915" w:rsidP="003C3936">
            <w:pPr>
              <w:spacing w:before="120"/>
            </w:pPr>
            <w:r>
              <w:t>28</w:t>
            </w:r>
            <w:bookmarkStart w:id="0" w:name="_GoBack"/>
            <w:bookmarkEnd w:id="0"/>
            <w:r w:rsidR="00701502">
              <w:t xml:space="preserve"> </w:t>
            </w:r>
            <w:r w:rsidR="00F91419">
              <w:t>October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52EBFC63" w:rsidR="0064636E" w:rsidRDefault="0064636E" w:rsidP="00A41529">
      <w:pPr>
        <w:pStyle w:val="H1G"/>
        <w:spacing w:before="240" w:after="120"/>
      </w:pPr>
      <w:r>
        <w:tab/>
      </w:r>
      <w:r>
        <w:tab/>
        <w:t xml:space="preserve">Addendum </w:t>
      </w:r>
      <w:r w:rsidR="00144CB6">
        <w:t>117</w:t>
      </w:r>
      <w:r>
        <w:t xml:space="preserve"> – Regulation No.</w:t>
      </w:r>
      <w:r w:rsidR="00271A7F">
        <w:t xml:space="preserve"> </w:t>
      </w:r>
      <w:r w:rsidR="00144CB6">
        <w:t>118</w:t>
      </w:r>
    </w:p>
    <w:p w14:paraId="5CEAAE78" w14:textId="652B7A3C" w:rsidR="0064636E" w:rsidRPr="00014D07" w:rsidRDefault="0064636E" w:rsidP="00A41529">
      <w:pPr>
        <w:pStyle w:val="H1G"/>
        <w:spacing w:before="240"/>
      </w:pPr>
      <w:r>
        <w:tab/>
      </w:r>
      <w:r>
        <w:tab/>
      </w:r>
      <w:r w:rsidRPr="00014D07">
        <w:t xml:space="preserve">Revision </w:t>
      </w:r>
      <w:r w:rsidR="00144CB6">
        <w:t>1</w:t>
      </w:r>
      <w:r w:rsidR="00A857BA">
        <w:t xml:space="preserve"> </w:t>
      </w:r>
      <w:r w:rsidRPr="00014D07">
        <w:t xml:space="preserve">- </w:t>
      </w:r>
      <w:r w:rsidR="00D623A7">
        <w:t>Amendment</w:t>
      </w:r>
      <w:r w:rsidRPr="00014D07">
        <w:t xml:space="preserve"> </w:t>
      </w:r>
      <w:r w:rsidR="00144CB6">
        <w:t>2</w:t>
      </w:r>
    </w:p>
    <w:p w14:paraId="323413C0" w14:textId="2CF1DC85" w:rsidR="0064636E" w:rsidRPr="00272880" w:rsidRDefault="00F91419" w:rsidP="00144CB6">
      <w:pPr>
        <w:pStyle w:val="SingleTxtG"/>
        <w:spacing w:after="360"/>
        <w:rPr>
          <w:spacing w:val="-2"/>
        </w:rPr>
      </w:pPr>
      <w:r>
        <w:rPr>
          <w:spacing w:val="-2"/>
        </w:rPr>
        <w:t xml:space="preserve">Supplement </w:t>
      </w:r>
      <w:r w:rsidR="00144CB6">
        <w:rPr>
          <w:spacing w:val="-2"/>
        </w:rPr>
        <w:t xml:space="preserve">2 to the </w:t>
      </w:r>
      <w:r w:rsidR="00190692">
        <w:rPr>
          <w:spacing w:val="-2"/>
        </w:rPr>
        <w:t>02</w:t>
      </w:r>
      <w:r w:rsidR="008C68E9">
        <w:rPr>
          <w:spacing w:val="-2"/>
        </w:rPr>
        <w:t xml:space="preserve"> series of amendments</w:t>
      </w:r>
      <w:r w:rsidR="0064636E" w:rsidRPr="00272880">
        <w:rPr>
          <w:spacing w:val="-2"/>
        </w:rPr>
        <w:t xml:space="preserve"> – Date of entry into force: </w:t>
      </w:r>
      <w:r>
        <w:t>8</w:t>
      </w:r>
      <w:r w:rsidRPr="00F91419">
        <w:t xml:space="preserve"> October</w:t>
      </w:r>
      <w:r>
        <w:t xml:space="preserve"> 2016</w:t>
      </w:r>
    </w:p>
    <w:p w14:paraId="12E684A5" w14:textId="62898797" w:rsidR="0064636E" w:rsidRDefault="0064636E" w:rsidP="00144CB6">
      <w:pPr>
        <w:pStyle w:val="H1G"/>
        <w:spacing w:before="120" w:after="120" w:line="240" w:lineRule="exact"/>
        <w:rPr>
          <w:lang w:val="en-US"/>
        </w:rPr>
      </w:pPr>
      <w:r>
        <w:rPr>
          <w:lang w:val="en-US"/>
        </w:rPr>
        <w:tab/>
      </w:r>
      <w:r>
        <w:rPr>
          <w:lang w:val="en-US"/>
        </w:rPr>
        <w:tab/>
      </w:r>
      <w:r w:rsidR="00144CB6" w:rsidRPr="00144CB6">
        <w:t>Uniform technical prescriptions concerning the burning behaviour and/or the capability to repel fuel or lubricant of materials used in the construction of certain categories of motor vehicles</w:t>
      </w:r>
    </w:p>
    <w:p w14:paraId="68B91161" w14:textId="1F2B29BE"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E508B3">
        <w:rPr>
          <w:spacing w:val="-6"/>
          <w:lang w:eastAsia="en-GB"/>
        </w:rPr>
        <w:t>1</w:t>
      </w:r>
      <w:r w:rsidR="00144CB6">
        <w:rPr>
          <w:spacing w:val="-6"/>
          <w:lang w:eastAsia="en-GB"/>
        </w:rPr>
        <w:t>4</w:t>
      </w:r>
      <w:r w:rsidR="006B6177">
        <w:rPr>
          <w:spacing w:val="-6"/>
          <w:lang w:eastAsia="en-GB"/>
        </w:rPr>
        <w:t>.</w:t>
      </w:r>
    </w:p>
    <w:p w14:paraId="1EDCA74F" w14:textId="33B6B1E9" w:rsidR="000D3A4F" w:rsidRPr="000D3A4F" w:rsidRDefault="00A857BA"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4955E41C" w14:textId="77777777" w:rsidR="00190692" w:rsidRDefault="000D3A4F" w:rsidP="00190692">
      <w:pPr>
        <w:suppressAutoHyphens w:val="0"/>
        <w:spacing w:line="240" w:lineRule="auto"/>
        <w:jc w:val="center"/>
        <w:rPr>
          <w:b/>
          <w:sz w:val="24"/>
        </w:rPr>
      </w:pPr>
      <w:r w:rsidRPr="000D3A4F">
        <w:rPr>
          <w:b/>
          <w:sz w:val="24"/>
        </w:rPr>
        <w:t>UNITED NATIONS</w:t>
      </w:r>
    </w:p>
    <w:p w14:paraId="47CA56E8" w14:textId="77777777" w:rsidR="00FC2DCD" w:rsidRPr="00D03076" w:rsidRDefault="00D5540C" w:rsidP="00FC2DCD">
      <w:pPr>
        <w:suppressAutoHyphens w:val="0"/>
        <w:spacing w:before="120" w:after="120" w:line="240" w:lineRule="auto"/>
        <w:ind w:left="1134" w:right="1140"/>
        <w:jc w:val="both"/>
        <w:rPr>
          <w:iCs/>
          <w:lang w:eastAsia="ar-SA"/>
        </w:rPr>
      </w:pPr>
      <w:r>
        <w:br w:type="page"/>
      </w:r>
      <w:r w:rsidR="00FC2DCD" w:rsidRPr="00D03076">
        <w:rPr>
          <w:i/>
          <w:lang w:eastAsia="ar-SA"/>
        </w:rPr>
        <w:lastRenderedPageBreak/>
        <w:t>Contents, item 5.,</w:t>
      </w:r>
      <w:r w:rsidR="00FC2DCD" w:rsidRPr="00D03076">
        <w:rPr>
          <w:iCs/>
          <w:lang w:eastAsia="ar-SA"/>
        </w:rPr>
        <w:t xml:space="preserve"> amend to read:</w:t>
      </w:r>
    </w:p>
    <w:p w14:paraId="3874CFD5" w14:textId="77777777" w:rsidR="00FC2DCD" w:rsidRPr="00D03076" w:rsidRDefault="00FC2DCD" w:rsidP="00FC2DCD">
      <w:pPr>
        <w:tabs>
          <w:tab w:val="left" w:pos="2835"/>
          <w:tab w:val="left" w:pos="8505"/>
        </w:tabs>
        <w:spacing w:before="120" w:after="120" w:line="240" w:lineRule="auto"/>
        <w:ind w:left="2268" w:right="1134" w:hanging="1134"/>
        <w:jc w:val="both"/>
      </w:pPr>
      <w:r w:rsidRPr="00D03076">
        <w:t>"5.</w:t>
      </w:r>
      <w:r w:rsidRPr="00D03076">
        <w:tab/>
      </w:r>
      <w:r w:rsidRPr="00C61BA2">
        <w:t xml:space="preserve">Part I: Approval of a vehicle type with regard to the burning behaviour of the </w:t>
      </w:r>
      <w:r w:rsidRPr="00C61BA2">
        <w:rPr>
          <w:lang w:eastAsia="ar-SA"/>
        </w:rPr>
        <w:t>components</w:t>
      </w:r>
      <w:r w:rsidRPr="00C61BA2">
        <w:t xml:space="preserve"> used in the interior compartment, the engine compartment and any separate heating compartment and with regard to the burning behaviour of electric cables </w:t>
      </w:r>
      <w:r w:rsidRPr="00C61BA2">
        <w:rPr>
          <w:bCs/>
        </w:rPr>
        <w:t xml:space="preserve">used </w:t>
      </w:r>
      <w:r w:rsidRPr="00C61BA2">
        <w:t>in the vehicle and/or the capability to repel fuel or lubricant of insulation materials used in the engine compartment and any separate heating compartment.</w:t>
      </w:r>
      <w:r w:rsidRPr="00D03076">
        <w:t>"</w:t>
      </w:r>
    </w:p>
    <w:p w14:paraId="7455F824" w14:textId="77777777" w:rsidR="00FC2DCD" w:rsidRPr="00D03076" w:rsidRDefault="00FC2DCD" w:rsidP="00FC2DCD">
      <w:pPr>
        <w:spacing w:after="120" w:line="240" w:lineRule="auto"/>
        <w:ind w:left="2268" w:right="1134" w:hanging="1134"/>
        <w:jc w:val="both"/>
        <w:rPr>
          <w:iCs/>
          <w:lang w:eastAsia="ar-SA"/>
        </w:rPr>
      </w:pPr>
      <w:r w:rsidRPr="008C44D9">
        <w:rPr>
          <w:i/>
          <w:lang w:eastAsia="ar-SA"/>
        </w:rPr>
        <w:t>Paragraph</w:t>
      </w:r>
      <w:r>
        <w:rPr>
          <w:i/>
          <w:lang w:eastAsia="ar-SA"/>
        </w:rPr>
        <w:t>s</w:t>
      </w:r>
      <w:r w:rsidRPr="008C44D9">
        <w:rPr>
          <w:i/>
          <w:lang w:eastAsia="ar-SA"/>
        </w:rPr>
        <w:t xml:space="preserve"> 1.2.</w:t>
      </w:r>
      <w:r>
        <w:rPr>
          <w:i/>
          <w:lang w:eastAsia="ar-SA"/>
        </w:rPr>
        <w:t xml:space="preserve"> and 1.3.</w:t>
      </w:r>
      <w:r w:rsidRPr="008C44D9">
        <w:rPr>
          <w:i/>
          <w:lang w:eastAsia="ar-SA"/>
        </w:rPr>
        <w:t>,</w:t>
      </w:r>
      <w:r w:rsidRPr="008C44D9">
        <w:rPr>
          <w:iCs/>
          <w:lang w:eastAsia="ar-SA"/>
        </w:rPr>
        <w:t xml:space="preserve"> amend to read</w:t>
      </w:r>
      <w:r w:rsidRPr="00D03076">
        <w:rPr>
          <w:iCs/>
          <w:lang w:eastAsia="ar-SA"/>
        </w:rPr>
        <w:t>:</w:t>
      </w:r>
    </w:p>
    <w:p w14:paraId="211D6E26" w14:textId="77777777" w:rsidR="00FC2DCD" w:rsidRPr="00C61BA2" w:rsidRDefault="00FC2DCD" w:rsidP="00FC2DCD">
      <w:pPr>
        <w:tabs>
          <w:tab w:val="left" w:pos="2835"/>
          <w:tab w:val="left" w:pos="8505"/>
        </w:tabs>
        <w:spacing w:before="120" w:after="120" w:line="240" w:lineRule="auto"/>
        <w:ind w:left="2268" w:right="1134" w:hanging="1134"/>
        <w:jc w:val="both"/>
      </w:pPr>
      <w:r w:rsidRPr="00D03076">
        <w:t>"1.2.</w:t>
      </w:r>
      <w:r w:rsidRPr="00D03076">
        <w:tab/>
      </w:r>
      <w:r w:rsidRPr="00C61BA2">
        <w:t>Part I - Approval of a vehicle type with regard to the burning behaviour and/or the capability to repel fuel or lubricant of the components used in the interior compartment, the engine compartment and any separate heating compartment and with regard to the burning behaviour of electric cables used in the vehicle.</w:t>
      </w:r>
    </w:p>
    <w:p w14:paraId="01175F08" w14:textId="77777777" w:rsidR="00FC2DCD" w:rsidRPr="00D03076" w:rsidRDefault="00FC2DCD" w:rsidP="00FC2DCD">
      <w:pPr>
        <w:tabs>
          <w:tab w:val="left" w:pos="2835"/>
          <w:tab w:val="left" w:pos="8505"/>
        </w:tabs>
        <w:spacing w:before="120" w:after="120" w:line="240" w:lineRule="auto"/>
        <w:ind w:left="2268" w:right="1134" w:hanging="1134"/>
        <w:jc w:val="both"/>
      </w:pPr>
      <w:r w:rsidRPr="00D03076">
        <w:t>1.3.</w:t>
      </w:r>
      <w:r w:rsidRPr="00D03076">
        <w:tab/>
        <w:t>Part II - Approval of a component with regard to its burning behaviour and/or its capability to repel fuel or lubricant."</w:t>
      </w:r>
    </w:p>
    <w:p w14:paraId="78A5645C" w14:textId="77777777" w:rsidR="00FC2DCD" w:rsidRPr="00D03076" w:rsidRDefault="00FC2DCD" w:rsidP="00FC2DCD">
      <w:pPr>
        <w:spacing w:after="120" w:line="240" w:lineRule="auto"/>
        <w:ind w:left="2268" w:right="1134" w:hanging="1134"/>
        <w:jc w:val="both"/>
        <w:rPr>
          <w:iCs/>
          <w:lang w:eastAsia="ar-SA"/>
        </w:rPr>
      </w:pPr>
      <w:r w:rsidRPr="00D03076">
        <w:rPr>
          <w:i/>
          <w:lang w:eastAsia="ar-SA"/>
        </w:rPr>
        <w:t>Paragraphs 5.2. to 5.2.2.,</w:t>
      </w:r>
      <w:r w:rsidRPr="00D03076">
        <w:rPr>
          <w:iCs/>
          <w:lang w:eastAsia="ar-SA"/>
        </w:rPr>
        <w:t xml:space="preserve"> amend to read:</w:t>
      </w:r>
    </w:p>
    <w:p w14:paraId="7C080EF0" w14:textId="77777777" w:rsidR="00FC2DCD" w:rsidRPr="00D03076" w:rsidRDefault="00FC2DCD" w:rsidP="00FC2DCD">
      <w:pPr>
        <w:tabs>
          <w:tab w:val="left" w:pos="2835"/>
          <w:tab w:val="left" w:pos="8505"/>
        </w:tabs>
        <w:spacing w:before="120" w:after="120" w:line="240" w:lineRule="auto"/>
        <w:ind w:left="2268" w:right="1134" w:hanging="1134"/>
        <w:jc w:val="both"/>
      </w:pPr>
      <w:r w:rsidRPr="00D03076">
        <w:t>"5.2.</w:t>
      </w:r>
      <w:r w:rsidRPr="00D03076">
        <w:tab/>
        <w:t>Specifications</w:t>
      </w:r>
    </w:p>
    <w:p w14:paraId="5C31F9C2" w14:textId="77777777" w:rsidR="00FC2DCD" w:rsidRPr="00D03076" w:rsidRDefault="00FC2DCD" w:rsidP="00FC2DCD">
      <w:pPr>
        <w:tabs>
          <w:tab w:val="left" w:pos="2835"/>
          <w:tab w:val="left" w:pos="8505"/>
        </w:tabs>
        <w:spacing w:before="120" w:after="120" w:line="240" w:lineRule="auto"/>
        <w:ind w:left="2268" w:right="1134" w:hanging="1134"/>
        <w:jc w:val="both"/>
      </w:pPr>
      <w:r w:rsidRPr="00D03076">
        <w:t>5.2.1.</w:t>
      </w:r>
      <w:r w:rsidRPr="00D03076">
        <w:tab/>
        <w:t>The materials inside and no more than 13 mm beyond the interior compartment, materials of the engine compartment, materials of any separate heating compartment and electric cables used in the vehicle to be type approved shall meet the requirements of Part II of this Regulation.</w:t>
      </w:r>
    </w:p>
    <w:p w14:paraId="044768F6" w14:textId="77777777" w:rsidR="00FC2DCD" w:rsidRPr="00D03076" w:rsidRDefault="00FC2DCD" w:rsidP="00FC2DCD">
      <w:pPr>
        <w:tabs>
          <w:tab w:val="left" w:pos="2835"/>
          <w:tab w:val="left" w:pos="8505"/>
        </w:tabs>
        <w:spacing w:before="120" w:after="120" w:line="240" w:lineRule="auto"/>
        <w:ind w:left="2268" w:right="1134" w:hanging="1134"/>
        <w:jc w:val="both"/>
      </w:pPr>
      <w:r w:rsidRPr="00D03076">
        <w:t>5.2.2.</w:t>
      </w:r>
      <w:r w:rsidRPr="00D03076">
        <w:tab/>
        <w:t>The materials and/or equipment used in the interior compartment, the engine compartment and any separate heating compartment and/or in devices approved as components, electric cables used in the vehicle shall be so installed as to minimize the risk of flame development and flame propagation."</w:t>
      </w:r>
    </w:p>
    <w:p w14:paraId="429264E8" w14:textId="77777777" w:rsidR="00FC2DCD" w:rsidRPr="00D03076" w:rsidRDefault="00FC2DCD" w:rsidP="00FC2DCD">
      <w:pPr>
        <w:spacing w:after="120" w:line="240" w:lineRule="auto"/>
        <w:ind w:left="2268" w:right="1134" w:hanging="1134"/>
        <w:jc w:val="both"/>
        <w:rPr>
          <w:iCs/>
          <w:lang w:eastAsia="ar-SA"/>
        </w:rPr>
      </w:pPr>
      <w:r w:rsidRPr="00D03076">
        <w:rPr>
          <w:i/>
          <w:lang w:eastAsia="ar-SA"/>
        </w:rPr>
        <w:t>Part II, paragraph 6.2.6.,</w:t>
      </w:r>
      <w:r w:rsidRPr="00D03076">
        <w:rPr>
          <w:iCs/>
          <w:lang w:eastAsia="ar-SA"/>
        </w:rPr>
        <w:t xml:space="preserve"> amend to read:</w:t>
      </w:r>
    </w:p>
    <w:p w14:paraId="0535F353" w14:textId="77777777" w:rsidR="00FC2DCD" w:rsidRPr="00D03076" w:rsidRDefault="00FC2DCD" w:rsidP="00FC2DCD">
      <w:pPr>
        <w:tabs>
          <w:tab w:val="left" w:pos="2835"/>
          <w:tab w:val="left" w:pos="8505"/>
        </w:tabs>
        <w:spacing w:before="120" w:after="120" w:line="240" w:lineRule="auto"/>
        <w:ind w:left="2268" w:right="1134" w:hanging="1134"/>
        <w:jc w:val="both"/>
      </w:pPr>
      <w:r w:rsidRPr="00D03076">
        <w:t>"6.2.6.</w:t>
      </w:r>
      <w:r w:rsidRPr="00D03076">
        <w:tab/>
        <w:t>Any electric cable (e.g. single-core, multi-core, screened, unscreened, sheathed cables) exceeding a length of 100 mm used in the vehicle shall undergo the resistance to flame propagation test described in ISO 6722-1:2011, paragraph 5.22.</w:t>
      </w:r>
    </w:p>
    <w:p w14:paraId="01C45EDE" w14:textId="77777777" w:rsidR="00FC2DCD" w:rsidRPr="00D03076" w:rsidRDefault="00FC2DCD" w:rsidP="00FC2DCD">
      <w:pPr>
        <w:tabs>
          <w:tab w:val="left" w:pos="2835"/>
          <w:tab w:val="left" w:pos="8505"/>
        </w:tabs>
        <w:spacing w:before="120" w:after="120" w:line="240" w:lineRule="auto"/>
        <w:ind w:left="2268" w:right="1134" w:hanging="1134"/>
        <w:jc w:val="both"/>
      </w:pPr>
      <w:r w:rsidRPr="00D03076">
        <w:tab/>
        <w:t>The exposure to the test flame shall be finished, when the conductor (in case of single-core cables) or the first conductor (in case of multi-core cables) becomes visible, or after 15 s for cables with conductor sizes of each less or equal than 2.5 mm</w:t>
      </w:r>
      <w:r w:rsidRPr="00D03076">
        <w:rPr>
          <w:vertAlign w:val="superscript"/>
        </w:rPr>
        <w:t>2</w:t>
      </w:r>
      <w:r w:rsidRPr="00D03076">
        <w:t xml:space="preserve"> and 30 s for cables with conductor sizes greater than 2.5</w:t>
      </w:r>
      <w:r>
        <w:t xml:space="preserve"> </w:t>
      </w:r>
      <w:r w:rsidRPr="00D03076">
        <w:t>mm</w:t>
      </w:r>
      <w:r w:rsidRPr="00D03076">
        <w:rPr>
          <w:vertAlign w:val="superscript"/>
        </w:rPr>
        <w:t>2</w:t>
      </w:r>
      <w:r w:rsidRPr="00D03076">
        <w:t xml:space="preserve"> or multi-core cables with at least one conductor size greater than 2.5 mm</w:t>
      </w:r>
      <w:r w:rsidRPr="00D03076">
        <w:rPr>
          <w:vertAlign w:val="superscript"/>
        </w:rPr>
        <w:t>2</w:t>
      </w:r>
      <w:r w:rsidRPr="00D03076">
        <w:t>.</w:t>
      </w:r>
    </w:p>
    <w:p w14:paraId="65782876" w14:textId="77777777" w:rsidR="00FC2DCD" w:rsidRPr="00D03076" w:rsidRDefault="00FC2DCD" w:rsidP="00FC2DCD">
      <w:pPr>
        <w:tabs>
          <w:tab w:val="left" w:pos="2835"/>
          <w:tab w:val="left" w:pos="8505"/>
        </w:tabs>
        <w:spacing w:before="120" w:after="120" w:line="240" w:lineRule="auto"/>
        <w:ind w:left="2268" w:right="1134" w:hanging="1134"/>
        <w:jc w:val="both"/>
        <w:rPr>
          <w:lang w:eastAsia="ar-SA"/>
        </w:rPr>
      </w:pPr>
      <w:r w:rsidRPr="00D03076">
        <w:tab/>
        <w:t>The</w:t>
      </w:r>
      <w:r w:rsidRPr="00D03076">
        <w:rPr>
          <w:lang w:eastAsia="ar-SA"/>
        </w:rPr>
        <w:t xml:space="preserve"> result of the test shall be </w:t>
      </w:r>
      <w:r>
        <w:rPr>
          <w:lang w:eastAsia="ar-SA"/>
        </w:rPr>
        <w:t xml:space="preserve">… … </w:t>
      </w:r>
      <w:r w:rsidRPr="00D03076">
        <w:rPr>
          <w:lang w:eastAsia="ar-SA"/>
        </w:rPr>
        <w:t>test sample shall remain unburned.</w:t>
      </w:r>
      <w:r>
        <w:rPr>
          <w:lang w:eastAsia="ar-SA"/>
        </w:rPr>
        <w:t>"</w:t>
      </w:r>
    </w:p>
    <w:p w14:paraId="4DB53174" w14:textId="77777777" w:rsidR="00FC2DCD" w:rsidRPr="00D03076" w:rsidRDefault="00FC2DCD" w:rsidP="00FC2DCD">
      <w:pPr>
        <w:tabs>
          <w:tab w:val="left" w:pos="2835"/>
          <w:tab w:val="left" w:pos="8505"/>
        </w:tabs>
        <w:spacing w:before="120" w:after="120" w:line="240" w:lineRule="auto"/>
        <w:ind w:left="2268" w:right="1134" w:hanging="1134"/>
        <w:jc w:val="both"/>
        <w:rPr>
          <w:lang w:eastAsia="ar-SA"/>
        </w:rPr>
      </w:pPr>
      <w:r w:rsidRPr="00D03076">
        <w:rPr>
          <w:i/>
          <w:lang w:eastAsia="ar-SA"/>
        </w:rPr>
        <w:t>Part II, paragraph 6.2.7.4.,</w:t>
      </w:r>
      <w:r w:rsidRPr="00D03076">
        <w:rPr>
          <w:lang w:eastAsia="ar-SA"/>
        </w:rPr>
        <w:t xml:space="preserve"> amend to read:</w:t>
      </w:r>
    </w:p>
    <w:p w14:paraId="3B36FFEA" w14:textId="77777777" w:rsidR="00FC2DCD" w:rsidRPr="00D03076" w:rsidRDefault="00FC2DCD" w:rsidP="00FC2DCD">
      <w:pPr>
        <w:tabs>
          <w:tab w:val="left" w:pos="2268"/>
        </w:tabs>
        <w:suppressAutoHyphens w:val="0"/>
        <w:spacing w:before="120" w:after="120" w:line="240" w:lineRule="auto"/>
        <w:ind w:left="2268" w:right="1134" w:hanging="1134"/>
        <w:jc w:val="both"/>
        <w:rPr>
          <w:lang w:eastAsia="ar-SA"/>
        </w:rPr>
      </w:pPr>
      <w:r w:rsidRPr="00D03076">
        <w:rPr>
          <w:lang w:eastAsia="ar-SA"/>
        </w:rPr>
        <w:t>"6.2.7.4.</w:t>
      </w:r>
      <w:r w:rsidRPr="00D03076">
        <w:rPr>
          <w:lang w:eastAsia="ar-SA"/>
        </w:rPr>
        <w:tab/>
        <w:t>Elements for which it is not possible to extract a sample in the prescribed dimensions as specified in paragraph 3.1. of Annex 6, paragraph 3. of Annex 7, and paragraph 3.1. of Annex 8."</w:t>
      </w:r>
    </w:p>
    <w:p w14:paraId="48048681" w14:textId="77777777" w:rsidR="00FC2DCD" w:rsidRPr="00D03076" w:rsidRDefault="00FC2DCD" w:rsidP="00FC2DCD">
      <w:pPr>
        <w:tabs>
          <w:tab w:val="left" w:pos="2835"/>
          <w:tab w:val="left" w:pos="8505"/>
        </w:tabs>
        <w:spacing w:before="120" w:after="120" w:line="240" w:lineRule="auto"/>
        <w:ind w:left="1134" w:right="1134"/>
        <w:jc w:val="both"/>
        <w:rPr>
          <w:lang w:eastAsia="ar-SA"/>
        </w:rPr>
      </w:pPr>
      <w:r w:rsidRPr="00D03076">
        <w:rPr>
          <w:i/>
          <w:lang w:eastAsia="ar-SA"/>
        </w:rPr>
        <w:t>Annex 4, Appendix 1, paragraph 1.1.2.,</w:t>
      </w:r>
      <w:r w:rsidRPr="00D03076">
        <w:rPr>
          <w:lang w:eastAsia="ar-SA"/>
        </w:rPr>
        <w:t xml:space="preserve"> correct </w:t>
      </w:r>
      <w:r>
        <w:rPr>
          <w:lang w:eastAsia="ar-SA"/>
        </w:rPr>
        <w:t>the reference to paragraph 6.6.2. to read paragraph 6.2.2.</w:t>
      </w:r>
    </w:p>
    <w:p w14:paraId="211A6BB3" w14:textId="191397F8" w:rsidR="00392829" w:rsidRPr="00392829" w:rsidRDefault="00FC2DCD" w:rsidP="00FC2DCD">
      <w:pPr>
        <w:spacing w:before="240"/>
        <w:ind w:left="1134" w:right="1134"/>
        <w:jc w:val="center"/>
        <w:rPr>
          <w:u w:val="single"/>
        </w:rPr>
      </w:pPr>
      <w:r w:rsidRPr="00EB72C9">
        <w:rPr>
          <w:u w:val="single"/>
        </w:rPr>
        <w:tab/>
      </w:r>
      <w:r w:rsidRPr="00EB72C9">
        <w:rPr>
          <w:u w:val="single"/>
        </w:rPr>
        <w:tab/>
      </w:r>
      <w:r w:rsidRPr="00EB72C9">
        <w:rPr>
          <w:u w:val="single"/>
        </w:rPr>
        <w:tab/>
      </w:r>
    </w:p>
    <w:sectPr w:rsidR="00392829" w:rsidRPr="00392829"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08EEA6D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95915">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2201A3B8"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C2DCD">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190692"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1816DF53" w:rsidR="00B701B3" w:rsidRDefault="00B701B3">
    <w:pPr>
      <w:pStyle w:val="Header"/>
    </w:pPr>
    <w:r w:rsidRPr="00D623A7">
      <w:t>E/ECE/324</w:t>
    </w:r>
    <w:r w:rsidRPr="00841EB5">
      <w:t>/</w:t>
    </w:r>
    <w:r w:rsidR="00144CB6" w:rsidRPr="00144CB6">
      <w:t>Rev.2/Add.117/Rev.1/Amend.2</w:t>
    </w:r>
    <w:r>
      <w:br/>
    </w:r>
    <w:r w:rsidRPr="00D623A7">
      <w:t>E/ECE/TRANS/505</w:t>
    </w:r>
    <w:r w:rsidRPr="00841EB5">
      <w:t>/</w:t>
    </w:r>
    <w:r w:rsidR="00144CB6" w:rsidRPr="00144CB6">
      <w:t>Rev.2/Add.117/Rev.1/Amend.2</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8B6F" w14:textId="62B63686" w:rsidR="00C65E9F" w:rsidRDefault="008A20A0" w:rsidP="00C65E9F">
    <w:pPr>
      <w:pStyle w:val="Header"/>
      <w:jc w:val="right"/>
    </w:pPr>
    <w:r w:rsidRPr="008A20A0">
      <w:t>E/ECE/324/Rev.2/Add.109/Rev.3/Amend.4</w:t>
    </w:r>
    <w:r w:rsidRPr="008A20A0">
      <w:br/>
      <w:t>E/ECE/TRANS/505/Rev.2/Add.109/Rev.3/Amend.4</w:t>
    </w:r>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BA"/>
    <w:rsid w:val="00050F6B"/>
    <w:rsid w:val="00072C8C"/>
    <w:rsid w:val="00086287"/>
    <w:rsid w:val="000931C0"/>
    <w:rsid w:val="00095915"/>
    <w:rsid w:val="000B175B"/>
    <w:rsid w:val="000B3A0F"/>
    <w:rsid w:val="000D3A4F"/>
    <w:rsid w:val="000E0415"/>
    <w:rsid w:val="001220B8"/>
    <w:rsid w:val="00134B40"/>
    <w:rsid w:val="001352D9"/>
    <w:rsid w:val="00144CB6"/>
    <w:rsid w:val="001650AA"/>
    <w:rsid w:val="00165E82"/>
    <w:rsid w:val="00174F92"/>
    <w:rsid w:val="00190692"/>
    <w:rsid w:val="001B4B04"/>
    <w:rsid w:val="001C24A3"/>
    <w:rsid w:val="001C6663"/>
    <w:rsid w:val="001C7895"/>
    <w:rsid w:val="001D26DF"/>
    <w:rsid w:val="00211E0B"/>
    <w:rsid w:val="002405A7"/>
    <w:rsid w:val="00241C23"/>
    <w:rsid w:val="00243948"/>
    <w:rsid w:val="00266D63"/>
    <w:rsid w:val="00271A7F"/>
    <w:rsid w:val="002A1E3A"/>
    <w:rsid w:val="002B0ECC"/>
    <w:rsid w:val="003107FA"/>
    <w:rsid w:val="00312E48"/>
    <w:rsid w:val="003229D8"/>
    <w:rsid w:val="0033745A"/>
    <w:rsid w:val="003852F5"/>
    <w:rsid w:val="0039277A"/>
    <w:rsid w:val="00392829"/>
    <w:rsid w:val="003972E0"/>
    <w:rsid w:val="00397ED3"/>
    <w:rsid w:val="003C2CC4"/>
    <w:rsid w:val="003C3936"/>
    <w:rsid w:val="003D4B23"/>
    <w:rsid w:val="003F1ED3"/>
    <w:rsid w:val="004325CB"/>
    <w:rsid w:val="00433331"/>
    <w:rsid w:val="00440758"/>
    <w:rsid w:val="00445C26"/>
    <w:rsid w:val="00446DE4"/>
    <w:rsid w:val="00453010"/>
    <w:rsid w:val="004A0EF7"/>
    <w:rsid w:val="004A41CA"/>
    <w:rsid w:val="004E3FEB"/>
    <w:rsid w:val="00502DF2"/>
    <w:rsid w:val="00503228"/>
    <w:rsid w:val="00505384"/>
    <w:rsid w:val="00516F1B"/>
    <w:rsid w:val="005420F2"/>
    <w:rsid w:val="0054561B"/>
    <w:rsid w:val="00582B38"/>
    <w:rsid w:val="00586D41"/>
    <w:rsid w:val="005B3DB3"/>
    <w:rsid w:val="005E1409"/>
    <w:rsid w:val="005E505F"/>
    <w:rsid w:val="00611FC4"/>
    <w:rsid w:val="006176FB"/>
    <w:rsid w:val="00627ED0"/>
    <w:rsid w:val="00640B26"/>
    <w:rsid w:val="0064636E"/>
    <w:rsid w:val="00665595"/>
    <w:rsid w:val="0069341E"/>
    <w:rsid w:val="00694209"/>
    <w:rsid w:val="006A7392"/>
    <w:rsid w:val="006B6177"/>
    <w:rsid w:val="006E564B"/>
    <w:rsid w:val="006F4BA5"/>
    <w:rsid w:val="00701502"/>
    <w:rsid w:val="00713BD8"/>
    <w:rsid w:val="00723859"/>
    <w:rsid w:val="0072632A"/>
    <w:rsid w:val="00743CD6"/>
    <w:rsid w:val="00750602"/>
    <w:rsid w:val="00762B0D"/>
    <w:rsid w:val="00776D12"/>
    <w:rsid w:val="007B6BA5"/>
    <w:rsid w:val="007C3390"/>
    <w:rsid w:val="007C4F4B"/>
    <w:rsid w:val="007F0B83"/>
    <w:rsid w:val="007F6611"/>
    <w:rsid w:val="00810163"/>
    <w:rsid w:val="008175E9"/>
    <w:rsid w:val="008242D7"/>
    <w:rsid w:val="00827E05"/>
    <w:rsid w:val="008311A3"/>
    <w:rsid w:val="00841EB5"/>
    <w:rsid w:val="00871FD5"/>
    <w:rsid w:val="008979B1"/>
    <w:rsid w:val="008A20A0"/>
    <w:rsid w:val="008A6B25"/>
    <w:rsid w:val="008A6C4F"/>
    <w:rsid w:val="008C3804"/>
    <w:rsid w:val="008C68E9"/>
    <w:rsid w:val="008E0E46"/>
    <w:rsid w:val="0090576C"/>
    <w:rsid w:val="00907AD2"/>
    <w:rsid w:val="009131B1"/>
    <w:rsid w:val="00914DC2"/>
    <w:rsid w:val="00963CBA"/>
    <w:rsid w:val="00974A8D"/>
    <w:rsid w:val="00991261"/>
    <w:rsid w:val="009F3A17"/>
    <w:rsid w:val="00A1427D"/>
    <w:rsid w:val="00A370B7"/>
    <w:rsid w:val="00A4060A"/>
    <w:rsid w:val="00A41529"/>
    <w:rsid w:val="00A569D6"/>
    <w:rsid w:val="00A72F22"/>
    <w:rsid w:val="00A748A6"/>
    <w:rsid w:val="00A857BA"/>
    <w:rsid w:val="00A85956"/>
    <w:rsid w:val="00A879A4"/>
    <w:rsid w:val="00AF726E"/>
    <w:rsid w:val="00B109EC"/>
    <w:rsid w:val="00B30179"/>
    <w:rsid w:val="00B32121"/>
    <w:rsid w:val="00B33EC0"/>
    <w:rsid w:val="00B701B3"/>
    <w:rsid w:val="00B81E12"/>
    <w:rsid w:val="00B85E52"/>
    <w:rsid w:val="00BA3D23"/>
    <w:rsid w:val="00BC2683"/>
    <w:rsid w:val="00BC358D"/>
    <w:rsid w:val="00BC74E9"/>
    <w:rsid w:val="00BD2146"/>
    <w:rsid w:val="00BD538F"/>
    <w:rsid w:val="00BE1AD2"/>
    <w:rsid w:val="00BE4F74"/>
    <w:rsid w:val="00BE618E"/>
    <w:rsid w:val="00BE6666"/>
    <w:rsid w:val="00BF4A36"/>
    <w:rsid w:val="00C105A5"/>
    <w:rsid w:val="00C17699"/>
    <w:rsid w:val="00C41A28"/>
    <w:rsid w:val="00C463DD"/>
    <w:rsid w:val="00C65E9F"/>
    <w:rsid w:val="00C711C7"/>
    <w:rsid w:val="00C71A58"/>
    <w:rsid w:val="00C745C3"/>
    <w:rsid w:val="00C752DC"/>
    <w:rsid w:val="00C84414"/>
    <w:rsid w:val="00CC36F8"/>
    <w:rsid w:val="00CE4A8F"/>
    <w:rsid w:val="00CE5E33"/>
    <w:rsid w:val="00D06710"/>
    <w:rsid w:val="00D129D9"/>
    <w:rsid w:val="00D2031B"/>
    <w:rsid w:val="00D25FE2"/>
    <w:rsid w:val="00D317BB"/>
    <w:rsid w:val="00D43252"/>
    <w:rsid w:val="00D5540C"/>
    <w:rsid w:val="00D623A7"/>
    <w:rsid w:val="00D6614F"/>
    <w:rsid w:val="00D911B4"/>
    <w:rsid w:val="00D978C6"/>
    <w:rsid w:val="00DA67AD"/>
    <w:rsid w:val="00DB5D0F"/>
    <w:rsid w:val="00DC3F07"/>
    <w:rsid w:val="00DF12F7"/>
    <w:rsid w:val="00DF3A2D"/>
    <w:rsid w:val="00E02C81"/>
    <w:rsid w:val="00E130AB"/>
    <w:rsid w:val="00E23200"/>
    <w:rsid w:val="00E506F0"/>
    <w:rsid w:val="00E508B3"/>
    <w:rsid w:val="00E51A6C"/>
    <w:rsid w:val="00E7260F"/>
    <w:rsid w:val="00E87921"/>
    <w:rsid w:val="00E96630"/>
    <w:rsid w:val="00EA0ED6"/>
    <w:rsid w:val="00EA264E"/>
    <w:rsid w:val="00ED75C8"/>
    <w:rsid w:val="00ED7A2A"/>
    <w:rsid w:val="00EE75D2"/>
    <w:rsid w:val="00EF1D7F"/>
    <w:rsid w:val="00F53EDA"/>
    <w:rsid w:val="00F7753D"/>
    <w:rsid w:val="00F85F34"/>
    <w:rsid w:val="00F91419"/>
    <w:rsid w:val="00FA06F7"/>
    <w:rsid w:val="00FB171A"/>
    <w:rsid w:val="00FC2DCD"/>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AEE35"/>
  <w15:docId w15:val="{70671AAA-7DF4-483C-B6CC-FE600D5F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2B0E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34</TotalTime>
  <Pages>2</Pages>
  <Words>545</Words>
  <Characters>3107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7</cp:revision>
  <cp:lastPrinted>2015-05-06T11:39:00Z</cp:lastPrinted>
  <dcterms:created xsi:type="dcterms:W3CDTF">2016-08-11T09:54:00Z</dcterms:created>
  <dcterms:modified xsi:type="dcterms:W3CDTF">2016-10-28T07:53:00Z</dcterms:modified>
</cp:coreProperties>
</file>