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317A35">
            <w:pPr>
              <w:jc w:val="right"/>
            </w:pPr>
            <w:r w:rsidRPr="00014D07">
              <w:rPr>
                <w:sz w:val="40"/>
              </w:rPr>
              <w:t>E</w:t>
            </w:r>
            <w:r>
              <w:t>/ECE/324/</w:t>
            </w:r>
            <w:r w:rsidR="00841EB5">
              <w:t>Rev.</w:t>
            </w:r>
            <w:r w:rsidR="00317A35">
              <w:t>2</w:t>
            </w:r>
            <w:r w:rsidR="00841EB5">
              <w:t>/</w:t>
            </w:r>
            <w:r>
              <w:t>Add.</w:t>
            </w:r>
            <w:r w:rsidR="00317A35">
              <w:t>116</w:t>
            </w:r>
            <w:r>
              <w:t>/Rev.</w:t>
            </w:r>
            <w:r w:rsidR="00317A35">
              <w:t>3</w:t>
            </w:r>
            <w:r>
              <w:t>/</w:t>
            </w:r>
            <w:r w:rsidR="00D623A7">
              <w:t>Amend.</w:t>
            </w:r>
            <w:r w:rsidR="00317A35">
              <w:t>4</w:t>
            </w:r>
            <w:r>
              <w:t>−</w:t>
            </w:r>
            <w:r w:rsidRPr="00014D07">
              <w:rPr>
                <w:sz w:val="40"/>
              </w:rPr>
              <w:t>E</w:t>
            </w:r>
            <w:r>
              <w:t>/ECE/TRANS/505</w:t>
            </w:r>
            <w:r w:rsidR="00317A35">
              <w:t>/Rev.2/Add.116/Rev.3/Amend.4</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0E1272" w:rsidP="003C3936">
            <w:pPr>
              <w:spacing w:before="120"/>
            </w:pPr>
            <w:r>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317A35">
        <w:t>116</w:t>
      </w:r>
      <w:r>
        <w:t xml:space="preserve"> – Regulation No.</w:t>
      </w:r>
      <w:r w:rsidR="00271A7F">
        <w:t xml:space="preserve"> </w:t>
      </w:r>
      <w:r w:rsidR="00317A35">
        <w:t>117</w:t>
      </w:r>
    </w:p>
    <w:p w:rsidR="0064636E" w:rsidRPr="00014D07" w:rsidRDefault="0064636E" w:rsidP="00A41529">
      <w:pPr>
        <w:pStyle w:val="H1G"/>
        <w:spacing w:before="240"/>
      </w:pPr>
      <w:r>
        <w:tab/>
      </w:r>
      <w:r>
        <w:tab/>
      </w:r>
      <w:r w:rsidRPr="00014D07">
        <w:t xml:space="preserve">Revision </w:t>
      </w:r>
      <w:r w:rsidR="00317A35">
        <w:t>3</w:t>
      </w:r>
      <w:r w:rsidRPr="00014D07">
        <w:t xml:space="preserve"> - </w:t>
      </w:r>
      <w:r w:rsidR="00D623A7">
        <w:t>Amendment</w:t>
      </w:r>
      <w:r w:rsidRPr="00014D07">
        <w:t xml:space="preserve"> </w:t>
      </w:r>
      <w:r w:rsidR="00317A35">
        <w:t>4</w:t>
      </w:r>
    </w:p>
    <w:p w:rsidR="0064636E" w:rsidRPr="00272880" w:rsidRDefault="00D623A7" w:rsidP="0064636E">
      <w:pPr>
        <w:pStyle w:val="SingleTxtG"/>
        <w:spacing w:after="360"/>
        <w:rPr>
          <w:spacing w:val="-2"/>
        </w:rPr>
      </w:pPr>
      <w:r>
        <w:rPr>
          <w:spacing w:val="-2"/>
        </w:rPr>
        <w:t xml:space="preserve">Supplement </w:t>
      </w:r>
      <w:r w:rsidR="00317A35">
        <w:rPr>
          <w:spacing w:val="-2"/>
        </w:rPr>
        <w:t>8</w:t>
      </w:r>
      <w:r>
        <w:rPr>
          <w:spacing w:val="-2"/>
        </w:rPr>
        <w:t xml:space="preserve"> to </w:t>
      </w:r>
      <w:r w:rsidR="00271A7F">
        <w:rPr>
          <w:spacing w:val="-2"/>
        </w:rPr>
        <w:t xml:space="preserve">the </w:t>
      </w:r>
      <w:r w:rsidR="00317A35">
        <w:rPr>
          <w:spacing w:val="-2"/>
        </w:rPr>
        <w:t>02</w:t>
      </w:r>
      <w:r>
        <w:rPr>
          <w:spacing w:val="-2"/>
        </w:rPr>
        <w:t xml:space="preserve"> series of amendments</w:t>
      </w:r>
      <w:r w:rsidR="0064636E" w:rsidRPr="00272880">
        <w:rPr>
          <w:spacing w:val="-2"/>
        </w:rPr>
        <w:t xml:space="preserve"> – Date of entry into force: </w:t>
      </w:r>
      <w:r w:rsidR="00317A35">
        <w:t>20 January 2016</w:t>
      </w:r>
    </w:p>
    <w:p w:rsidR="0064636E" w:rsidRDefault="0064636E" w:rsidP="00A41529">
      <w:pPr>
        <w:pStyle w:val="H1G"/>
        <w:spacing w:before="120" w:after="120" w:line="240" w:lineRule="exact"/>
        <w:rPr>
          <w:lang w:val="en-US"/>
        </w:rPr>
      </w:pPr>
      <w:r>
        <w:rPr>
          <w:lang w:val="en-US"/>
        </w:rPr>
        <w:tab/>
      </w:r>
      <w:r>
        <w:rPr>
          <w:lang w:val="en-US"/>
        </w:rPr>
        <w:tab/>
      </w:r>
      <w:r w:rsidR="00317A35" w:rsidRPr="00317A35">
        <w:rPr>
          <w:lang w:val="en-US"/>
        </w:rPr>
        <w:t xml:space="preserve">Uniform provisions concerning the approval of </w:t>
      </w:r>
      <w:proofErr w:type="spellStart"/>
      <w:r w:rsidR="00317A35" w:rsidRPr="00317A35">
        <w:rPr>
          <w:lang w:val="en-US"/>
        </w:rPr>
        <w:t>tyres</w:t>
      </w:r>
      <w:proofErr w:type="spellEnd"/>
      <w:r w:rsidR="00317A35" w:rsidRPr="00317A35">
        <w:rPr>
          <w:lang w:val="en-US"/>
        </w:rPr>
        <w:t xml:space="preserve"> with regard to rolling sound emissions and/or to adhesion on wet surfaces and/or to </w:t>
      </w:r>
      <w:proofErr w:type="gramStart"/>
      <w:r w:rsidR="00317A35" w:rsidRPr="00317A35">
        <w:rPr>
          <w:lang w:val="en-US"/>
        </w:rPr>
        <w:t>rolling</w:t>
      </w:r>
      <w:proofErr w:type="gramEnd"/>
      <w:r w:rsidR="00317A35" w:rsidRPr="00317A35">
        <w:rPr>
          <w:lang w:val="en-US"/>
        </w:rPr>
        <w:t xml:space="preserve"> resistance</w:t>
      </w:r>
    </w:p>
    <w:p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317A35">
        <w:rPr>
          <w:spacing w:val="-6"/>
          <w:lang w:eastAsia="en-GB"/>
        </w:rPr>
        <w:t>65</w:t>
      </w:r>
      <w:r w:rsidR="00A41529">
        <w:rPr>
          <w:spacing w:val="-6"/>
          <w:lang w:eastAsia="en-GB"/>
        </w:rPr>
        <w:t xml:space="preserve"> </w:t>
      </w:r>
      <w:r>
        <w:rPr>
          <w:spacing w:val="-6"/>
          <w:lang w:eastAsia="en-GB"/>
        </w:rPr>
        <w:t xml:space="preserve">(as amended by paragraph </w:t>
      </w:r>
      <w:r w:rsidR="00317A35">
        <w:rPr>
          <w:spacing w:val="-6"/>
          <w:lang w:eastAsia="en-GB"/>
        </w:rPr>
        <w:t>66</w:t>
      </w:r>
      <w:r>
        <w:rPr>
          <w:spacing w:val="-6"/>
          <w:lang w:eastAsia="en-GB"/>
        </w:rPr>
        <w:t xml:space="preserve"> of the report </w:t>
      </w:r>
      <w:proofErr w:type="spellStart"/>
      <w:r w:rsidRPr="00B32121">
        <w:rPr>
          <w:lang w:eastAsia="en-GB"/>
        </w:rPr>
        <w:t>ECE</w:t>
      </w:r>
      <w:proofErr w:type="spellEnd"/>
      <w:r w:rsidRPr="00B32121">
        <w:rPr>
          <w:lang w:eastAsia="en-GB"/>
        </w:rPr>
        <w:t>/TRANS/WP.29/</w:t>
      </w:r>
      <w:r w:rsidR="00317A35">
        <w:rPr>
          <w:lang w:eastAsia="en-GB"/>
        </w:rPr>
        <w:t>1116</w:t>
      </w:r>
      <w:r w:rsidR="00A41529">
        <w:rPr>
          <w:lang w:eastAsia="en-GB"/>
        </w:rPr>
        <w:t>)</w:t>
      </w:r>
      <w:r w:rsidR="00317A35">
        <w:rPr>
          <w:lang w:eastAsia="en-GB"/>
        </w:rPr>
        <w:t>.</w:t>
      </w:r>
    </w:p>
    <w:p w:rsidR="000D3A4F" w:rsidRPr="000D3A4F" w:rsidRDefault="000E1272"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317A35" w:rsidRPr="00317A35" w:rsidRDefault="00D5540C" w:rsidP="00317A35">
      <w:pPr>
        <w:spacing w:after="120"/>
        <w:ind w:left="1134" w:right="1134"/>
        <w:jc w:val="both"/>
        <w:rPr>
          <w:lang w:eastAsia="en-GB"/>
        </w:rPr>
      </w:pPr>
      <w:r>
        <w:br w:type="page"/>
      </w:r>
      <w:r w:rsidR="00317A35" w:rsidRPr="00317A35">
        <w:rPr>
          <w:i/>
          <w:iCs/>
        </w:rPr>
        <w:lastRenderedPageBreak/>
        <w:t>Insert new paragraph 12.8.</w:t>
      </w:r>
      <w:r w:rsidR="00317A35" w:rsidRPr="00317A35">
        <w:t>, to read:</w:t>
      </w:r>
    </w:p>
    <w:p w:rsidR="00317A35" w:rsidRPr="00317A35" w:rsidRDefault="00317A35" w:rsidP="00317A35">
      <w:pPr>
        <w:spacing w:after="120"/>
        <w:ind w:left="2268" w:right="1134" w:hanging="1134"/>
        <w:jc w:val="both"/>
        <w:rPr>
          <w:bCs/>
          <w:lang w:eastAsia="en-GB"/>
        </w:rPr>
      </w:pPr>
      <w:r w:rsidRPr="00317A35">
        <w:rPr>
          <w:bCs/>
          <w:lang w:eastAsia="en-GB"/>
        </w:rPr>
        <w:t>"12.8.</w:t>
      </w:r>
      <w:r w:rsidRPr="00317A35">
        <w:rPr>
          <w:bCs/>
          <w:lang w:eastAsia="en-GB"/>
        </w:rPr>
        <w:tab/>
        <w:t>Until 13 February 2019 (60 months after the entry into force of Supplement 4 to the 02 series of amendments of this Regulation) Contracting Parties applying this Regulation may continue to grant type approvals according to the 02 series of amendments to this Regulation, based on the provisions of Annex 4 to this Regulation."</w:t>
      </w:r>
    </w:p>
    <w:p w:rsidR="004E7FC6" w:rsidRDefault="00317A35" w:rsidP="00317A35">
      <w:pPr>
        <w:spacing w:before="120" w:after="120"/>
        <w:ind w:left="2268" w:right="1134" w:hanging="1134"/>
        <w:jc w:val="both"/>
        <w:rPr>
          <w:i/>
        </w:rPr>
      </w:pPr>
      <w:r w:rsidRPr="00317A35">
        <w:rPr>
          <w:i/>
        </w:rPr>
        <w:t xml:space="preserve">Annex 3, </w:t>
      </w:r>
    </w:p>
    <w:p w:rsidR="00317A35" w:rsidRPr="00317A35" w:rsidRDefault="004E7FC6" w:rsidP="00317A35">
      <w:pPr>
        <w:spacing w:before="120" w:after="120"/>
        <w:ind w:left="2268" w:right="1134" w:hanging="1134"/>
        <w:jc w:val="both"/>
      </w:pPr>
      <w:proofErr w:type="gramStart"/>
      <w:r>
        <w:rPr>
          <w:i/>
        </w:rPr>
        <w:t>P</w:t>
      </w:r>
      <w:r w:rsidRPr="00317A35">
        <w:rPr>
          <w:i/>
        </w:rPr>
        <w:t xml:space="preserve">aragraph </w:t>
      </w:r>
      <w:r w:rsidR="00317A35" w:rsidRPr="00317A35">
        <w:rPr>
          <w:i/>
        </w:rPr>
        <w:t xml:space="preserve">2.1., second indent, </w:t>
      </w:r>
      <w:r w:rsidR="00317A35" w:rsidRPr="00317A35">
        <w:t>amend</w:t>
      </w:r>
      <w:proofErr w:type="gramEnd"/>
      <w:r w:rsidR="00317A35" w:rsidRPr="00317A35">
        <w:t xml:space="preserve"> to read:</w:t>
      </w:r>
    </w:p>
    <w:p w:rsidR="00317A35" w:rsidRPr="00317A35" w:rsidRDefault="00317A35" w:rsidP="00317A35">
      <w:pPr>
        <w:spacing w:after="120"/>
        <w:ind w:left="2268" w:right="1134" w:hanging="1134"/>
        <w:jc w:val="both"/>
        <w:rPr>
          <w:bCs/>
        </w:rPr>
      </w:pPr>
      <w:r w:rsidRPr="00317A35">
        <w:rPr>
          <w:bCs/>
        </w:rPr>
        <w:t>"2.1.</w:t>
      </w:r>
      <w:r w:rsidRPr="00317A35">
        <w:rPr>
          <w:bCs/>
        </w:rPr>
        <w:tab/>
        <w:t>...</w:t>
      </w:r>
    </w:p>
    <w:p w:rsidR="00317A35" w:rsidRPr="00317A35" w:rsidRDefault="00317A35" w:rsidP="00317A35">
      <w:pPr>
        <w:spacing w:after="120"/>
        <w:ind w:left="2268" w:right="1134"/>
        <w:jc w:val="both"/>
        <w:rPr>
          <w:bCs/>
        </w:rPr>
      </w:pPr>
      <w:r w:rsidRPr="00317A35">
        <w:rPr>
          <w:bCs/>
        </w:rPr>
        <w:t>The test track shall be such that the conditions of a free sound field between the sound source and the microphone are attained to within 1 </w:t>
      </w:r>
      <w:proofErr w:type="gramStart"/>
      <w:r w:rsidRPr="00317A35">
        <w:rPr>
          <w:bCs/>
        </w:rPr>
        <w:t>dB(</w:t>
      </w:r>
      <w:proofErr w:type="gramEnd"/>
      <w:r w:rsidRPr="00317A35">
        <w:rPr>
          <w:bCs/>
        </w:rPr>
        <w:t>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w:t>
      </w:r>
      <w:r w:rsidRPr="00317A35">
        <w:rPr>
          <w:bCs/>
          <w:lang w:val="en-US"/>
        </w:rPr>
        <w:t> </w:t>
      </w:r>
      <w:r w:rsidRPr="00317A35">
        <w:rPr>
          <w:bCs/>
        </w:rPr>
        <w:t xml:space="preserve">10844:2014. </w:t>
      </w:r>
      <w:proofErr w:type="gramStart"/>
      <w:r w:rsidRPr="00317A35">
        <w:rPr>
          <w:bCs/>
        </w:rPr>
        <w:t xml:space="preserve">Until the </w:t>
      </w:r>
      <w:r w:rsidRPr="00317A35">
        <w:t>end of the period indicated in paragraph 12.8.</w:t>
      </w:r>
      <w:proofErr w:type="gramEnd"/>
      <w:r w:rsidRPr="00317A35">
        <w:t xml:space="preserve"> </w:t>
      </w:r>
      <w:proofErr w:type="gramStart"/>
      <w:r w:rsidRPr="00317A35">
        <w:t>of</w:t>
      </w:r>
      <w:proofErr w:type="gramEnd"/>
      <w:r w:rsidRPr="00317A35">
        <w:t xml:space="preserve"> this Regulation the specifications for the test site may be in accordance with Annex 4 to this Regulation.</w:t>
      </w:r>
    </w:p>
    <w:p w:rsidR="00317A35" w:rsidRPr="00317A35" w:rsidRDefault="00317A35" w:rsidP="00317A35">
      <w:pPr>
        <w:spacing w:after="120"/>
        <w:ind w:left="1701" w:right="1134" w:firstLine="567"/>
        <w:jc w:val="both"/>
      </w:pPr>
      <w:r w:rsidRPr="00317A35">
        <w:t>…"</w:t>
      </w:r>
    </w:p>
    <w:p w:rsidR="00317A35" w:rsidRPr="00317A35" w:rsidRDefault="00317A35" w:rsidP="00317A35">
      <w:pPr>
        <w:spacing w:before="120" w:after="120"/>
        <w:ind w:left="1134" w:right="1134"/>
        <w:jc w:val="both"/>
      </w:pPr>
      <w:r w:rsidRPr="00317A35">
        <w:rPr>
          <w:i/>
        </w:rPr>
        <w:t xml:space="preserve">Appendix 1, Part 2, item 3.1., </w:t>
      </w:r>
      <w:r w:rsidRPr="00317A35">
        <w:t xml:space="preserve">replace "ISO 10844:2011" with "ISO 10844:2014". </w:t>
      </w:r>
    </w:p>
    <w:p w:rsidR="004E7FC6" w:rsidRDefault="00317A35" w:rsidP="00317A35">
      <w:pPr>
        <w:spacing w:before="120" w:after="120"/>
        <w:ind w:left="2268" w:right="1134" w:hanging="1134"/>
        <w:jc w:val="both"/>
        <w:rPr>
          <w:i/>
        </w:rPr>
      </w:pPr>
      <w:r w:rsidRPr="00317A35">
        <w:rPr>
          <w:i/>
        </w:rPr>
        <w:t xml:space="preserve">Annex 4, </w:t>
      </w:r>
    </w:p>
    <w:p w:rsidR="00317A35" w:rsidRPr="00317A35" w:rsidRDefault="004E7FC6" w:rsidP="00317A35">
      <w:pPr>
        <w:spacing w:before="120" w:after="120"/>
        <w:ind w:left="2268" w:right="1134" w:hanging="1134"/>
        <w:jc w:val="both"/>
      </w:pPr>
      <w:r>
        <w:rPr>
          <w:i/>
        </w:rPr>
        <w:t>T</w:t>
      </w:r>
      <w:r w:rsidR="00317A35" w:rsidRPr="00317A35">
        <w:rPr>
          <w:i/>
        </w:rPr>
        <w:t xml:space="preserve">he </w:t>
      </w:r>
      <w:proofErr w:type="gramStart"/>
      <w:r w:rsidR="00317A35" w:rsidRPr="00317A35">
        <w:rPr>
          <w:i/>
        </w:rPr>
        <w:t>title, footnote 1,</w:t>
      </w:r>
      <w:r w:rsidR="00317A35" w:rsidRPr="00317A35">
        <w:t xml:space="preserve"> replace</w:t>
      </w:r>
      <w:proofErr w:type="gramEnd"/>
      <w:r w:rsidR="00317A35" w:rsidRPr="00317A35">
        <w:t xml:space="preserve"> "paragraph 12.</w:t>
      </w:r>
      <w:r>
        <w:t>9</w:t>
      </w:r>
      <w:r w:rsidR="00317A35" w:rsidRPr="00317A35">
        <w:t>." with "paragraph 12.</w:t>
      </w:r>
      <w:r>
        <w:t>8</w:t>
      </w:r>
      <w:r w:rsidR="00317A35" w:rsidRPr="00317A35">
        <w:t xml:space="preserve">." </w:t>
      </w:r>
    </w:p>
    <w:p w:rsidR="00317A35" w:rsidRPr="00317A35" w:rsidRDefault="00317A35" w:rsidP="00317A35">
      <w:pPr>
        <w:spacing w:after="120"/>
        <w:ind w:left="1134" w:right="1134"/>
        <w:jc w:val="both"/>
        <w:rPr>
          <w:i/>
        </w:rPr>
      </w:pPr>
      <w:r w:rsidRPr="00317A35">
        <w:rPr>
          <w:i/>
        </w:rPr>
        <w:t xml:space="preserve">Annex 6, </w:t>
      </w:r>
    </w:p>
    <w:p w:rsidR="004E7FC6" w:rsidRDefault="00317A35" w:rsidP="00317A35">
      <w:pPr>
        <w:spacing w:after="120"/>
        <w:ind w:left="1134" w:right="1134"/>
        <w:jc w:val="both"/>
        <w:rPr>
          <w:i/>
        </w:rPr>
      </w:pPr>
      <w:r w:rsidRPr="00317A35">
        <w:rPr>
          <w:i/>
        </w:rPr>
        <w:t xml:space="preserve">Appendix 1, </w:t>
      </w:r>
    </w:p>
    <w:p w:rsidR="00317A35" w:rsidRPr="00317A35" w:rsidRDefault="004E7FC6" w:rsidP="00317A35">
      <w:pPr>
        <w:spacing w:after="120"/>
        <w:ind w:left="1134" w:right="1134"/>
        <w:jc w:val="both"/>
      </w:pPr>
      <w:r>
        <w:rPr>
          <w:i/>
        </w:rPr>
        <w:t>P</w:t>
      </w:r>
      <w:r w:rsidRPr="00317A35">
        <w:rPr>
          <w:i/>
        </w:rPr>
        <w:t xml:space="preserve">aragraph </w:t>
      </w:r>
      <w:proofErr w:type="gramStart"/>
      <w:r w:rsidR="00317A35" w:rsidRPr="00317A35">
        <w:rPr>
          <w:i/>
        </w:rPr>
        <w:t>4</w:t>
      </w:r>
      <w:r>
        <w:rPr>
          <w:i/>
        </w:rPr>
        <w:t>.</w:t>
      </w:r>
      <w:r w:rsidR="00317A35" w:rsidRPr="00317A35">
        <w:t>,</w:t>
      </w:r>
      <w:proofErr w:type="gramEnd"/>
      <w:r w:rsidR="00317A35" w:rsidRPr="00317A35">
        <w:t xml:space="preserve"> </w:t>
      </w:r>
      <w:r w:rsidR="00317A35" w:rsidRPr="00317A35">
        <w:rPr>
          <w:i/>
        </w:rPr>
        <w:t>subparagraph (d)</w:t>
      </w:r>
      <w:r w:rsidR="00317A35" w:rsidRPr="00317A35">
        <w:t xml:space="preserve"> amend to read:</w:t>
      </w:r>
    </w:p>
    <w:p w:rsidR="00317A35" w:rsidRPr="00317A35" w:rsidRDefault="00317A35" w:rsidP="00317A35">
      <w:pPr>
        <w:spacing w:after="120" w:line="240" w:lineRule="exact"/>
        <w:ind w:left="1134" w:right="1134"/>
        <w:jc w:val="both"/>
      </w:pPr>
      <w:r w:rsidRPr="00317A35">
        <w:t xml:space="preserve">"4. </w:t>
      </w:r>
      <w:r w:rsidRPr="00317A35">
        <w:tab/>
        <w:t>Control accuracy</w:t>
      </w:r>
    </w:p>
    <w:p w:rsidR="00317A35" w:rsidRPr="00317A35" w:rsidRDefault="00317A35" w:rsidP="00317A35">
      <w:pPr>
        <w:spacing w:after="120" w:line="240" w:lineRule="exact"/>
        <w:ind w:left="1701" w:right="1134"/>
        <w:jc w:val="both"/>
      </w:pPr>
      <w:r w:rsidRPr="00317A35">
        <w:t>…</w:t>
      </w:r>
    </w:p>
    <w:p w:rsidR="00317A35" w:rsidRPr="00317A35" w:rsidRDefault="00317A35" w:rsidP="00317A35">
      <w:pPr>
        <w:spacing w:after="120" w:line="240" w:lineRule="exact"/>
        <w:ind w:left="2268" w:right="1134" w:hanging="567"/>
        <w:rPr>
          <w:lang w:eastAsia="ja-JP"/>
        </w:rPr>
      </w:pPr>
      <w:r w:rsidRPr="00317A35">
        <w:t>(d)</w:t>
      </w:r>
      <w:r w:rsidRPr="00317A35">
        <w:tab/>
        <w:t xml:space="preserve">Time: </w:t>
      </w:r>
    </w:p>
    <w:p w:rsidR="00317A35" w:rsidRPr="00317A35" w:rsidRDefault="00317A35" w:rsidP="00317A35">
      <w:pPr>
        <w:spacing w:after="120" w:line="240" w:lineRule="exact"/>
        <w:ind w:leftChars="1133" w:left="2832" w:right="1134" w:hangingChars="283" w:hanging="566"/>
        <w:jc w:val="both"/>
        <w:rPr>
          <w:lang w:eastAsia="ja-JP"/>
        </w:rPr>
      </w:pPr>
      <w:r w:rsidRPr="00317A35">
        <w:rPr>
          <w:lang w:eastAsia="ja-JP"/>
        </w:rPr>
        <w:t>(</w:t>
      </w:r>
      <w:proofErr w:type="spellStart"/>
      <w:r w:rsidRPr="00317A35">
        <w:rPr>
          <w:lang w:eastAsia="ja-JP"/>
        </w:rPr>
        <w:t>i</w:t>
      </w:r>
      <w:proofErr w:type="spellEnd"/>
      <w:r w:rsidRPr="00317A35">
        <w:rPr>
          <w:lang w:eastAsia="ja-JP"/>
        </w:rPr>
        <w:t>)</w:t>
      </w:r>
      <w:r w:rsidRPr="00317A35">
        <w:rPr>
          <w:lang w:eastAsia="ja-JP"/>
        </w:rPr>
        <w:tab/>
        <w:t>±</w:t>
      </w:r>
      <w:r w:rsidRPr="00317A35">
        <w:rPr>
          <w:rFonts w:hint="eastAsia"/>
          <w:lang w:eastAsia="ja-JP"/>
        </w:rPr>
        <w:t xml:space="preserve">0.02 s </w:t>
      </w:r>
      <w:r w:rsidRPr="00317A35">
        <w:rPr>
          <w:lang w:eastAsia="ja-JP"/>
        </w:rPr>
        <w:t xml:space="preserve">for the time increments specified in Annex 6, </w:t>
      </w:r>
      <w:r w:rsidR="004E7FC6" w:rsidRPr="00317A35">
        <w:rPr>
          <w:lang w:eastAsia="ja-JP"/>
        </w:rPr>
        <w:t>paragraph</w:t>
      </w:r>
      <w:r w:rsidR="004E7FC6">
        <w:rPr>
          <w:lang w:eastAsia="ja-JP"/>
        </w:rPr>
        <w:t> </w:t>
      </w:r>
      <w:r w:rsidRPr="00317A35">
        <w:rPr>
          <w:lang w:eastAsia="ja-JP"/>
        </w:rPr>
        <w:t>3.5</w:t>
      </w:r>
      <w:proofErr w:type="gramStart"/>
      <w:r w:rsidRPr="00317A35">
        <w:rPr>
          <w:lang w:eastAsia="ja-JP"/>
        </w:rPr>
        <w:t>.(</w:t>
      </w:r>
      <w:proofErr w:type="gramEnd"/>
      <w:r w:rsidRPr="00317A35">
        <w:rPr>
          <w:rFonts w:hint="eastAsia"/>
          <w:lang w:eastAsia="ja-JP"/>
        </w:rPr>
        <w:t>b</w:t>
      </w:r>
      <w:r w:rsidRPr="00317A35">
        <w:rPr>
          <w:lang w:eastAsia="ja-JP"/>
        </w:rPr>
        <w:t>) for the data acquisition in the deceleration method in ∆ω/∆t</w:t>
      </w:r>
      <w:r w:rsidRPr="00317A35">
        <w:rPr>
          <w:rFonts w:hint="eastAsia"/>
          <w:lang w:eastAsia="ja-JP"/>
        </w:rPr>
        <w:t xml:space="preserve"> </w:t>
      </w:r>
      <w:r w:rsidRPr="00317A35">
        <w:rPr>
          <w:lang w:eastAsia="ja-JP"/>
        </w:rPr>
        <w:t xml:space="preserve">form; </w:t>
      </w:r>
    </w:p>
    <w:p w:rsidR="00317A35" w:rsidRPr="00317A35" w:rsidRDefault="00317A35" w:rsidP="00317A35">
      <w:pPr>
        <w:spacing w:after="120" w:line="240" w:lineRule="exact"/>
        <w:ind w:leftChars="1133" w:left="2832" w:right="1134" w:hangingChars="283" w:hanging="566"/>
        <w:jc w:val="both"/>
        <w:rPr>
          <w:lang w:eastAsia="ja-JP"/>
        </w:rPr>
      </w:pPr>
      <w:r w:rsidRPr="00317A35">
        <w:rPr>
          <w:rFonts w:hint="eastAsia"/>
          <w:lang w:eastAsia="ja-JP"/>
        </w:rPr>
        <w:t>(ii)</w:t>
      </w:r>
      <w:r w:rsidRPr="00317A35">
        <w:rPr>
          <w:lang w:eastAsia="ja-JP"/>
        </w:rPr>
        <w:tab/>
      </w:r>
      <w:r w:rsidRPr="00317A35">
        <w:t xml:space="preserve">±0.2 per cent for the time increments specified in Annex 6, </w:t>
      </w:r>
      <w:r w:rsidR="004E7FC6" w:rsidRPr="00317A35">
        <w:t>paragraph</w:t>
      </w:r>
      <w:r w:rsidR="004E7FC6">
        <w:t> </w:t>
      </w:r>
      <w:r w:rsidRPr="00317A35">
        <w:t>3.5</w:t>
      </w:r>
      <w:proofErr w:type="gramStart"/>
      <w:r w:rsidRPr="00317A35">
        <w:t>.(</w:t>
      </w:r>
      <w:proofErr w:type="gramEnd"/>
      <w:r w:rsidRPr="00317A35">
        <w:t xml:space="preserve">a) for the data acquisition in the deceleration method in </w:t>
      </w:r>
      <w:proofErr w:type="spellStart"/>
      <w:r w:rsidRPr="00317A35">
        <w:t>dω</w:t>
      </w:r>
      <w:proofErr w:type="spellEnd"/>
      <w:r w:rsidRPr="00317A35">
        <w:t>/</w:t>
      </w:r>
      <w:proofErr w:type="spellStart"/>
      <w:r w:rsidRPr="00317A35">
        <w:t>dt</w:t>
      </w:r>
      <w:proofErr w:type="spellEnd"/>
      <w:r w:rsidRPr="00317A35">
        <w:t xml:space="preserve"> form; </w:t>
      </w:r>
    </w:p>
    <w:p w:rsidR="00317A35" w:rsidRPr="00317A35" w:rsidRDefault="00317A35" w:rsidP="00317A35">
      <w:pPr>
        <w:spacing w:after="120" w:line="240" w:lineRule="exact"/>
        <w:ind w:left="2835" w:right="1134" w:hanging="591"/>
        <w:jc w:val="both"/>
      </w:pPr>
      <w:proofErr w:type="gramStart"/>
      <w:r w:rsidRPr="00317A35">
        <w:rPr>
          <w:rFonts w:hint="eastAsia"/>
          <w:lang w:eastAsia="ja-JP"/>
        </w:rPr>
        <w:t>(iii)</w:t>
      </w:r>
      <w:r w:rsidRPr="00317A35">
        <w:tab/>
        <w:t>±5 per cent for the other time durations specified in Annex 6."</w:t>
      </w:r>
      <w:proofErr w:type="gramEnd"/>
    </w:p>
    <w:p w:rsidR="00317A35" w:rsidRPr="00317A35" w:rsidRDefault="004E7FC6" w:rsidP="00317A35">
      <w:pPr>
        <w:spacing w:after="120"/>
        <w:ind w:left="1134" w:right="1134"/>
        <w:jc w:val="both"/>
        <w:rPr>
          <w:i/>
        </w:rPr>
      </w:pPr>
      <w:r>
        <w:rPr>
          <w:i/>
          <w:lang w:eastAsia="ja-JP"/>
        </w:rPr>
        <w:t>P</w:t>
      </w:r>
      <w:r w:rsidRPr="00317A35">
        <w:rPr>
          <w:i/>
        </w:rPr>
        <w:t xml:space="preserve">aragraph </w:t>
      </w:r>
      <w:proofErr w:type="gramStart"/>
      <w:r w:rsidR="00317A35" w:rsidRPr="00317A35">
        <w:rPr>
          <w:i/>
        </w:rPr>
        <w:t>5</w:t>
      </w:r>
      <w:r>
        <w:rPr>
          <w:i/>
        </w:rPr>
        <w:t>.</w:t>
      </w:r>
      <w:r w:rsidR="00317A35" w:rsidRPr="00317A35">
        <w:rPr>
          <w:i/>
        </w:rPr>
        <w:t>,</w:t>
      </w:r>
      <w:proofErr w:type="gramEnd"/>
      <w:r w:rsidR="00317A35" w:rsidRPr="00317A35">
        <w:rPr>
          <w:i/>
        </w:rPr>
        <w:t xml:space="preserve"> </w:t>
      </w:r>
      <w:r w:rsidR="00317A35" w:rsidRPr="00317A35">
        <w:t>amend to read:</w:t>
      </w:r>
    </w:p>
    <w:p w:rsidR="00317A35" w:rsidRPr="00317A35" w:rsidRDefault="00317A35" w:rsidP="00317A35">
      <w:pPr>
        <w:spacing w:before="120" w:after="120"/>
        <w:ind w:left="2268" w:right="1134" w:hanging="1134"/>
        <w:jc w:val="both"/>
      </w:pPr>
      <w:r w:rsidRPr="00317A35">
        <w:t>"5.</w:t>
      </w:r>
      <w:r w:rsidRPr="00317A35">
        <w:tab/>
        <w:t>Instrumentation accuracy</w:t>
      </w:r>
    </w:p>
    <w:p w:rsidR="00317A35" w:rsidRDefault="00317A35" w:rsidP="00317A35">
      <w:pPr>
        <w:spacing w:before="120" w:after="120"/>
        <w:ind w:left="2268" w:right="1134" w:hanging="1134"/>
        <w:jc w:val="both"/>
      </w:pPr>
      <w:r w:rsidRPr="00317A35">
        <w:tab/>
        <w:t>The instrumentation used for readout and recording of test data shall be accurate within the tolerances stated below:</w:t>
      </w:r>
    </w:p>
    <w:p w:rsidR="00B207BA" w:rsidRDefault="00B207BA" w:rsidP="00317A35">
      <w:pPr>
        <w:spacing w:before="120" w:after="120"/>
        <w:ind w:left="2268" w:right="1134" w:hanging="1134"/>
        <w:jc w:val="both"/>
      </w:pPr>
    </w:p>
    <w:p w:rsidR="00B207BA" w:rsidRPr="00317A35" w:rsidRDefault="00B207BA" w:rsidP="00317A35">
      <w:pPr>
        <w:spacing w:before="120" w:after="120"/>
        <w:ind w:left="2268" w:right="1134" w:hanging="1134"/>
        <w:jc w:val="both"/>
        <w:rPr>
          <w:lang w:eastAsia="ja-JP"/>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1"/>
        <w:gridCol w:w="2660"/>
        <w:gridCol w:w="2809"/>
      </w:tblGrid>
      <w:tr w:rsidR="00317A35" w:rsidRPr="00317A35" w:rsidTr="00125D9E">
        <w:trPr>
          <w:trHeight w:val="427"/>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rsidR="00317A35" w:rsidRPr="00317A35" w:rsidRDefault="00317A35" w:rsidP="00317A35">
            <w:pPr>
              <w:suppressAutoHyphens w:val="0"/>
              <w:spacing w:before="100" w:beforeAutospacing="1" w:after="80" w:line="240" w:lineRule="exact"/>
              <w:ind w:left="57" w:right="113"/>
              <w:rPr>
                <w:i/>
                <w:sz w:val="16"/>
                <w:szCs w:val="16"/>
              </w:rPr>
            </w:pPr>
            <w:r w:rsidRPr="00317A35">
              <w:rPr>
                <w:i/>
                <w:sz w:val="16"/>
                <w:szCs w:val="16"/>
              </w:rPr>
              <w:lastRenderedPageBreak/>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rsidR="00317A35" w:rsidRPr="00317A35" w:rsidRDefault="00317A35" w:rsidP="00317A35">
            <w:pPr>
              <w:suppressAutoHyphens w:val="0"/>
              <w:spacing w:before="100" w:beforeAutospacing="1" w:after="80" w:line="240" w:lineRule="exact"/>
              <w:ind w:left="57" w:right="113"/>
              <w:jc w:val="right"/>
              <w:rPr>
                <w:i/>
                <w:sz w:val="16"/>
                <w:szCs w:val="16"/>
              </w:rPr>
            </w:pPr>
            <w:r w:rsidRPr="00317A35">
              <w:rPr>
                <w:i/>
                <w:sz w:val="16"/>
                <w:szCs w:val="16"/>
              </w:rPr>
              <w:t xml:space="preserve">Load Index </w:t>
            </w:r>
            <w:r w:rsidRPr="00317A35">
              <w:rPr>
                <w:bCs/>
                <w:i/>
                <w:sz w:val="16"/>
                <w:szCs w:val="16"/>
                <w:lang w:bidi="th-TH"/>
              </w:rPr>
              <w:t xml:space="preserve">≤ </w:t>
            </w:r>
            <w:r w:rsidRPr="00317A35">
              <w:rPr>
                <w:i/>
                <w:sz w:val="16"/>
                <w:szCs w:val="16"/>
              </w:rPr>
              <w:t>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rsidR="00317A35" w:rsidRPr="00317A35" w:rsidRDefault="00317A35" w:rsidP="00317A35">
            <w:pPr>
              <w:suppressAutoHyphens w:val="0"/>
              <w:spacing w:before="100" w:beforeAutospacing="1" w:after="80" w:line="240" w:lineRule="exact"/>
              <w:ind w:left="57" w:right="113"/>
              <w:jc w:val="right"/>
              <w:rPr>
                <w:i/>
                <w:sz w:val="16"/>
                <w:szCs w:val="16"/>
              </w:rPr>
            </w:pPr>
            <w:r w:rsidRPr="00317A35">
              <w:rPr>
                <w:i/>
                <w:sz w:val="16"/>
                <w:szCs w:val="16"/>
              </w:rPr>
              <w:t>Load Index &gt; 121</w:t>
            </w:r>
          </w:p>
        </w:tc>
      </w:tr>
      <w:tr w:rsidR="00317A35" w:rsidRPr="00317A35" w:rsidTr="00125D9E">
        <w:tc>
          <w:tcPr>
            <w:tcW w:w="1901" w:type="dxa"/>
            <w:tcBorders>
              <w:top w:val="single" w:sz="12"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 xml:space="preserve">±10 N or ±0.5 % </w:t>
            </w:r>
            <w:r w:rsidRPr="00317A35">
              <w:rPr>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 xml:space="preserve">±30 N or ±0.5 % </w:t>
            </w:r>
            <w:r w:rsidRPr="00317A35">
              <w:rPr>
                <w:szCs w:val="18"/>
                <w:vertAlign w:val="superscript"/>
              </w:rPr>
              <w:t>(a)</w:t>
            </w:r>
          </w:p>
        </w:tc>
      </w:tr>
      <w:tr w:rsidR="00317A35" w:rsidRPr="00317A35" w:rsidTr="00125D9E">
        <w:tc>
          <w:tcPr>
            <w:tcW w:w="1901"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±1 </w:t>
            </w:r>
            <w:proofErr w:type="spellStart"/>
            <w:r w:rsidRPr="00317A35">
              <w:rPr>
                <w:szCs w:val="18"/>
              </w:rPr>
              <w:t>kPa</w:t>
            </w:r>
            <w:proofErr w:type="spellEnd"/>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±1.5 </w:t>
            </w:r>
            <w:proofErr w:type="spellStart"/>
            <w:r w:rsidRPr="00317A35">
              <w:rPr>
                <w:szCs w:val="18"/>
              </w:rPr>
              <w:t>kPa</w:t>
            </w:r>
            <w:proofErr w:type="spellEnd"/>
          </w:p>
        </w:tc>
      </w:tr>
      <w:tr w:rsidR="00317A35" w:rsidRPr="00317A35" w:rsidTr="00125D9E">
        <w:tc>
          <w:tcPr>
            <w:tcW w:w="1901"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 xml:space="preserve">±0.5 N or ±0.5 % </w:t>
            </w:r>
            <w:r w:rsidRPr="00317A35">
              <w:rPr>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 xml:space="preserve">±1.0 N or ±0.5 % </w:t>
            </w:r>
            <w:r w:rsidRPr="00317A35">
              <w:rPr>
                <w:szCs w:val="18"/>
                <w:vertAlign w:val="superscript"/>
              </w:rPr>
              <w:t>(a)</w:t>
            </w:r>
          </w:p>
        </w:tc>
      </w:tr>
      <w:tr w:rsidR="00317A35" w:rsidRPr="00317A35" w:rsidTr="00125D9E">
        <w:tc>
          <w:tcPr>
            <w:tcW w:w="1901"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 xml:space="preserve">±0.5 Nm or ±0.5 % </w:t>
            </w:r>
            <w:r w:rsidRPr="00317A35">
              <w:rPr>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 xml:space="preserve">±1.0 Nm or ±0.5 % </w:t>
            </w:r>
            <w:r w:rsidRPr="00317A35">
              <w:rPr>
                <w:szCs w:val="18"/>
                <w:vertAlign w:val="superscript"/>
              </w:rPr>
              <w:t>(a)</w:t>
            </w:r>
          </w:p>
        </w:tc>
      </w:tr>
      <w:tr w:rsidR="00317A35" w:rsidRPr="00317A35" w:rsidTr="00125D9E">
        <w:tc>
          <w:tcPr>
            <w:tcW w:w="1901"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±1 mm</w:t>
            </w:r>
          </w:p>
        </w:tc>
      </w:tr>
      <w:tr w:rsidR="00317A35" w:rsidRPr="00317A35" w:rsidTr="00125D9E">
        <w:tc>
          <w:tcPr>
            <w:tcW w:w="1901"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right"/>
              <w:rPr>
                <w:szCs w:val="18"/>
              </w:rPr>
            </w:pPr>
            <w:r w:rsidRPr="00317A35">
              <w:rPr>
                <w:szCs w:val="18"/>
              </w:rPr>
              <w:t>±20 W</w:t>
            </w:r>
          </w:p>
        </w:tc>
      </w:tr>
      <w:tr w:rsidR="00317A35" w:rsidRPr="00317A35" w:rsidTr="00125D9E">
        <w:tc>
          <w:tcPr>
            <w:tcW w:w="1901" w:type="dxa"/>
            <w:tcBorders>
              <w:top w:val="single" w:sz="4" w:space="0" w:color="auto"/>
              <w:left w:val="single" w:sz="4" w:space="0" w:color="auto"/>
              <w:bottom w:val="nil"/>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center"/>
              <w:rPr>
                <w:szCs w:val="18"/>
              </w:rPr>
            </w:pPr>
            <w:r w:rsidRPr="00317A35">
              <w:rPr>
                <w:szCs w:val="18"/>
              </w:rPr>
              <w:t>±0.2 °C</w:t>
            </w:r>
          </w:p>
        </w:tc>
      </w:tr>
      <w:tr w:rsidR="00317A35" w:rsidRPr="00317A35" w:rsidTr="00125D9E">
        <w:tc>
          <w:tcPr>
            <w:tcW w:w="1901" w:type="dxa"/>
            <w:tcBorders>
              <w:top w:val="nil"/>
              <w:left w:val="single" w:sz="4" w:space="0" w:color="auto"/>
              <w:bottom w:val="nil"/>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Surface speed</w:t>
            </w:r>
          </w:p>
        </w:tc>
        <w:tc>
          <w:tcPr>
            <w:tcW w:w="5469" w:type="dxa"/>
            <w:gridSpan w:val="2"/>
            <w:tcBorders>
              <w:top w:val="nil"/>
              <w:left w:val="single" w:sz="4" w:space="0" w:color="auto"/>
              <w:bottom w:val="nil"/>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center"/>
              <w:rPr>
                <w:szCs w:val="18"/>
              </w:rPr>
            </w:pPr>
            <w:r w:rsidRPr="00317A35">
              <w:rPr>
                <w:szCs w:val="18"/>
              </w:rPr>
              <w:t>±0.1 km/h</w:t>
            </w:r>
          </w:p>
        </w:tc>
      </w:tr>
      <w:tr w:rsidR="00317A35" w:rsidRPr="00317A35" w:rsidTr="00125D9E">
        <w:tc>
          <w:tcPr>
            <w:tcW w:w="1901" w:type="dxa"/>
            <w:tcBorders>
              <w:top w:val="nil"/>
              <w:left w:val="single" w:sz="4" w:space="0" w:color="auto"/>
              <w:bottom w:val="nil"/>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Time</w:t>
            </w:r>
          </w:p>
        </w:tc>
        <w:tc>
          <w:tcPr>
            <w:tcW w:w="5469" w:type="dxa"/>
            <w:gridSpan w:val="2"/>
            <w:tcBorders>
              <w:top w:val="nil"/>
              <w:left w:val="single" w:sz="4" w:space="0" w:color="auto"/>
              <w:bottom w:val="nil"/>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center"/>
              <w:rPr>
                <w:b/>
                <w:szCs w:val="18"/>
              </w:rPr>
            </w:pPr>
            <w:r w:rsidRPr="00317A35">
              <w:rPr>
                <w:szCs w:val="18"/>
              </w:rPr>
              <w:t xml:space="preserve">±0.01 s </w:t>
            </w:r>
            <w:r w:rsidRPr="00317A35">
              <w:rPr>
                <w:rFonts w:hint="eastAsia"/>
                <w:szCs w:val="18"/>
                <w:lang w:eastAsia="ja-JP"/>
              </w:rPr>
              <w:t>-</w:t>
            </w:r>
            <w:r w:rsidRPr="00317A35">
              <w:rPr>
                <w:rFonts w:hint="eastAsia"/>
                <w:b/>
                <w:szCs w:val="18"/>
                <w:lang w:eastAsia="ja-JP"/>
              </w:rPr>
              <w:t xml:space="preserve"> </w:t>
            </w:r>
            <w:r w:rsidRPr="00317A35">
              <w:rPr>
                <w:szCs w:val="18"/>
              </w:rPr>
              <w:t>± 0.1 % - ± 10 s</w:t>
            </w:r>
            <w:r w:rsidRPr="00317A35">
              <w:rPr>
                <w:szCs w:val="18"/>
                <w:vertAlign w:val="superscript"/>
              </w:rPr>
              <w:t xml:space="preserve">(b) </w:t>
            </w:r>
          </w:p>
        </w:tc>
      </w:tr>
      <w:tr w:rsidR="00317A35" w:rsidRPr="00317A35" w:rsidTr="00125D9E">
        <w:tc>
          <w:tcPr>
            <w:tcW w:w="1901" w:type="dxa"/>
            <w:tcBorders>
              <w:top w:val="nil"/>
              <w:left w:val="single" w:sz="4" w:space="0" w:color="auto"/>
              <w:bottom w:val="single" w:sz="12"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rPr>
                <w:szCs w:val="18"/>
              </w:rPr>
            </w:pPr>
            <w:r w:rsidRPr="00317A35">
              <w:rPr>
                <w:szCs w:val="18"/>
              </w:rPr>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rsidR="00317A35" w:rsidRPr="00317A35" w:rsidRDefault="00317A35" w:rsidP="00317A35">
            <w:pPr>
              <w:suppressAutoHyphens w:val="0"/>
              <w:spacing w:before="100" w:beforeAutospacing="1" w:after="120" w:line="240" w:lineRule="exact"/>
              <w:ind w:left="57" w:right="113"/>
              <w:jc w:val="center"/>
              <w:rPr>
                <w:szCs w:val="18"/>
              </w:rPr>
            </w:pPr>
            <w:r w:rsidRPr="00317A35">
              <w:rPr>
                <w:szCs w:val="18"/>
              </w:rPr>
              <w:t>±0.1 %</w:t>
            </w:r>
          </w:p>
        </w:tc>
      </w:tr>
    </w:tbl>
    <w:p w:rsidR="00317A35" w:rsidRPr="00317A35" w:rsidRDefault="00317A35" w:rsidP="00867FD4">
      <w:pPr>
        <w:tabs>
          <w:tab w:val="left" w:pos="1500"/>
        </w:tabs>
        <w:spacing w:before="120" w:line="240" w:lineRule="exact"/>
        <w:ind w:left="1134"/>
        <w:rPr>
          <w:sz w:val="18"/>
          <w:szCs w:val="18"/>
        </w:rPr>
      </w:pPr>
      <w:r w:rsidRPr="00317A35">
        <w:rPr>
          <w:sz w:val="18"/>
          <w:szCs w:val="18"/>
          <w:vertAlign w:val="superscript"/>
        </w:rPr>
        <w:t>(a)</w:t>
      </w:r>
      <w:r w:rsidR="00867FD4">
        <w:rPr>
          <w:sz w:val="18"/>
          <w:szCs w:val="18"/>
          <w:vertAlign w:val="superscript"/>
        </w:rPr>
        <w:t xml:space="preserve">  </w:t>
      </w:r>
      <w:r w:rsidRPr="00317A35">
        <w:rPr>
          <w:sz w:val="18"/>
          <w:szCs w:val="18"/>
        </w:rPr>
        <w:t xml:space="preserve">Whichever is </w:t>
      </w:r>
      <w:proofErr w:type="gramStart"/>
      <w:r w:rsidRPr="00317A35">
        <w:rPr>
          <w:sz w:val="18"/>
          <w:szCs w:val="18"/>
        </w:rPr>
        <w:t>greater.</w:t>
      </w:r>
      <w:proofErr w:type="gramEnd"/>
    </w:p>
    <w:p w:rsidR="00317A35" w:rsidRPr="00317A35" w:rsidRDefault="00317A35" w:rsidP="00867FD4">
      <w:pPr>
        <w:tabs>
          <w:tab w:val="left" w:pos="1560"/>
        </w:tabs>
        <w:suppressAutoHyphens w:val="0"/>
        <w:spacing w:line="240" w:lineRule="exact"/>
        <w:ind w:left="1134" w:right="1134"/>
        <w:contextualSpacing/>
        <w:rPr>
          <w:sz w:val="18"/>
          <w:szCs w:val="18"/>
          <w:lang w:eastAsia="ja-JP"/>
        </w:rPr>
      </w:pPr>
      <w:r w:rsidRPr="00317A35">
        <w:rPr>
          <w:rFonts w:eastAsia="NewsGoth for Porsche Com"/>
          <w:sz w:val="18"/>
          <w:szCs w:val="18"/>
          <w:vertAlign w:val="superscript"/>
        </w:rPr>
        <w:t>(b)</w:t>
      </w:r>
      <w:r w:rsidR="00867FD4">
        <w:rPr>
          <w:rFonts w:eastAsia="NewsGoth for Porsche Com"/>
          <w:sz w:val="18"/>
          <w:szCs w:val="18"/>
          <w:vertAlign w:val="superscript"/>
        </w:rPr>
        <w:t xml:space="preserve">  </w:t>
      </w:r>
      <w:r w:rsidRPr="00317A35">
        <w:rPr>
          <w:sz w:val="18"/>
          <w:szCs w:val="18"/>
        </w:rPr>
        <w:t>±</w:t>
      </w:r>
      <w:r w:rsidRPr="00317A35">
        <w:rPr>
          <w:rFonts w:hint="eastAsia"/>
          <w:sz w:val="18"/>
          <w:szCs w:val="18"/>
          <w:lang w:eastAsia="ja-JP"/>
        </w:rPr>
        <w:t>0.01 s</w:t>
      </w:r>
      <w:r w:rsidRPr="00317A35">
        <w:rPr>
          <w:sz w:val="18"/>
          <w:szCs w:val="18"/>
        </w:rPr>
        <w:t xml:space="preserve"> for the time increments specified in Annex 6, paragraph 3.5</w:t>
      </w:r>
      <w:proofErr w:type="gramStart"/>
      <w:r w:rsidRPr="00317A35">
        <w:rPr>
          <w:sz w:val="18"/>
          <w:szCs w:val="18"/>
        </w:rPr>
        <w:t>.(</w:t>
      </w:r>
      <w:proofErr w:type="gramEnd"/>
      <w:r w:rsidRPr="00317A35">
        <w:rPr>
          <w:rFonts w:hint="eastAsia"/>
          <w:sz w:val="18"/>
          <w:szCs w:val="18"/>
          <w:lang w:eastAsia="ja-JP"/>
        </w:rPr>
        <w:t>b</w:t>
      </w:r>
      <w:r w:rsidRPr="00317A35">
        <w:rPr>
          <w:sz w:val="18"/>
          <w:szCs w:val="18"/>
        </w:rPr>
        <w:t>) for the data acquisition in the deceleration method in ∆ω/∆t form</w:t>
      </w:r>
    </w:p>
    <w:p w:rsidR="00317A35" w:rsidRPr="00317A35" w:rsidRDefault="00317A35" w:rsidP="00867FD4">
      <w:pPr>
        <w:tabs>
          <w:tab w:val="left" w:pos="1560"/>
        </w:tabs>
        <w:suppressAutoHyphens w:val="0"/>
        <w:spacing w:line="240" w:lineRule="exact"/>
        <w:ind w:left="1134" w:right="1134"/>
        <w:contextualSpacing/>
        <w:rPr>
          <w:rFonts w:eastAsia="NewsGoth for Porsche Com"/>
          <w:sz w:val="18"/>
          <w:szCs w:val="18"/>
          <w:u w:val="single"/>
          <w:lang w:eastAsia="ja-JP"/>
        </w:rPr>
      </w:pPr>
      <w:r w:rsidRPr="00317A35">
        <w:t>±</w:t>
      </w:r>
      <w:r w:rsidRPr="00317A35">
        <w:rPr>
          <w:sz w:val="18"/>
          <w:szCs w:val="18"/>
        </w:rPr>
        <w:t xml:space="preserve">0.1 per cent for the time increments specified in Annex 6, paragraph 3.5.(a) for the data acquisition in the deceleration method in </w:t>
      </w:r>
      <w:proofErr w:type="spellStart"/>
      <w:r w:rsidRPr="00317A35">
        <w:rPr>
          <w:sz w:val="18"/>
          <w:szCs w:val="18"/>
        </w:rPr>
        <w:t>dω</w:t>
      </w:r>
      <w:proofErr w:type="spellEnd"/>
      <w:r w:rsidRPr="00317A35">
        <w:rPr>
          <w:sz w:val="18"/>
          <w:szCs w:val="18"/>
        </w:rPr>
        <w:t>/</w:t>
      </w:r>
      <w:proofErr w:type="spellStart"/>
      <w:r w:rsidRPr="00317A35">
        <w:rPr>
          <w:sz w:val="18"/>
          <w:szCs w:val="18"/>
        </w:rPr>
        <w:t>dt</w:t>
      </w:r>
      <w:proofErr w:type="spellEnd"/>
      <w:r w:rsidRPr="00317A35">
        <w:rPr>
          <w:sz w:val="18"/>
          <w:szCs w:val="18"/>
        </w:rPr>
        <w:t xml:space="preserve"> form</w:t>
      </w:r>
      <w:r w:rsidRPr="00317A35">
        <w:rPr>
          <w:sz w:val="18"/>
          <w:szCs w:val="18"/>
        </w:rPr>
        <w:br/>
      </w:r>
      <w:r w:rsidRPr="00317A35">
        <w:t>±</w:t>
      </w:r>
      <w:r w:rsidRPr="00317A35">
        <w:rPr>
          <w:sz w:val="18"/>
          <w:szCs w:val="18"/>
        </w:rPr>
        <w:t xml:space="preserve"> 10 sec for the other time durations specified in Annex 6.</w:t>
      </w:r>
      <w:r w:rsidRPr="00317A35">
        <w:rPr>
          <w:sz w:val="18"/>
          <w:szCs w:val="18"/>
          <w:lang w:eastAsia="ja-JP"/>
        </w:rPr>
        <w:t>"</w:t>
      </w:r>
    </w:p>
    <w:p w:rsidR="00317A35" w:rsidRPr="00317A35" w:rsidRDefault="00317A35" w:rsidP="00317A35">
      <w:pPr>
        <w:spacing w:before="240"/>
        <w:ind w:left="1134" w:right="1134"/>
        <w:jc w:val="center"/>
        <w:rPr>
          <w:u w:val="single"/>
        </w:rPr>
      </w:pPr>
      <w:r w:rsidRPr="00317A35">
        <w:rPr>
          <w:u w:val="single"/>
        </w:rPr>
        <w:tab/>
      </w:r>
      <w:r w:rsidRPr="00317A35">
        <w:rPr>
          <w:u w:val="single"/>
        </w:rPr>
        <w:tab/>
      </w:r>
      <w:r w:rsidRPr="00317A35">
        <w:rPr>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35" w:rsidRDefault="00317A35"/>
  </w:endnote>
  <w:endnote w:type="continuationSeparator" w:id="0">
    <w:p w:rsidR="00317A35" w:rsidRDefault="00317A35"/>
  </w:endnote>
  <w:endnote w:type="continuationNotice" w:id="1">
    <w:p w:rsidR="00317A35" w:rsidRDefault="00317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Goth for Porsche Com">
    <w:charset w:val="00"/>
    <w:family w:val="swiss"/>
    <w:pitch w:val="variable"/>
    <w:sig w:usb0="20000287" w:usb1="10000001"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E127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E1272">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9C11FD" w:rsidRDefault="00B701B3" w:rsidP="009C1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35" w:rsidRPr="000B175B" w:rsidRDefault="00317A35" w:rsidP="000B175B">
      <w:pPr>
        <w:tabs>
          <w:tab w:val="right" w:pos="2155"/>
        </w:tabs>
        <w:spacing w:after="80"/>
        <w:ind w:left="680"/>
        <w:rPr>
          <w:u w:val="single"/>
        </w:rPr>
      </w:pPr>
      <w:r>
        <w:rPr>
          <w:u w:val="single"/>
        </w:rPr>
        <w:tab/>
      </w:r>
    </w:p>
  </w:footnote>
  <w:footnote w:type="continuationSeparator" w:id="0">
    <w:p w:rsidR="00317A35" w:rsidRPr="00FC68B7" w:rsidRDefault="00317A35" w:rsidP="00FC68B7">
      <w:pPr>
        <w:tabs>
          <w:tab w:val="left" w:pos="2155"/>
        </w:tabs>
        <w:spacing w:after="80"/>
        <w:ind w:left="680"/>
        <w:rPr>
          <w:u w:val="single"/>
        </w:rPr>
      </w:pPr>
      <w:r>
        <w:rPr>
          <w:u w:val="single"/>
        </w:rPr>
        <w:tab/>
      </w:r>
    </w:p>
  </w:footnote>
  <w:footnote w:type="continuationNotice" w:id="1">
    <w:p w:rsidR="00317A35" w:rsidRDefault="00317A35"/>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317A35">
    <w:pPr>
      <w:pStyle w:val="Header"/>
    </w:pPr>
    <w:r w:rsidRPr="00D623A7">
      <w:t>E/</w:t>
    </w:r>
    <w:proofErr w:type="spellStart"/>
    <w:r w:rsidRPr="00D623A7">
      <w:t>ECE</w:t>
    </w:r>
    <w:proofErr w:type="spellEnd"/>
    <w:r w:rsidRPr="00D623A7">
      <w:t>/324</w:t>
    </w:r>
    <w:r w:rsidR="00317A35">
      <w:t>/Rev.2/Add.116/Rev.3/Amend.4</w:t>
    </w:r>
    <w:r>
      <w:br/>
    </w:r>
    <w:r w:rsidRPr="00D623A7">
      <w:t>E/</w:t>
    </w:r>
    <w:proofErr w:type="spellStart"/>
    <w:r w:rsidRPr="00D623A7">
      <w:t>ECE</w:t>
    </w:r>
    <w:proofErr w:type="spellEnd"/>
    <w:r w:rsidRPr="00D623A7">
      <w:t>/TRANS/505</w:t>
    </w:r>
    <w:r w:rsidR="00317A35">
      <w:t>/Rev.2/Add.116/Rev.3/Amend.4</w:t>
    </w:r>
  </w:p>
  <w:p w:rsidR="00317A35" w:rsidRPr="00317A35" w:rsidRDefault="00317A35" w:rsidP="00317A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r w:rsidR="00317A35">
      <w:t>/Rev.2/Add.116/Rev.3/Amend.4</w:t>
    </w:r>
    <w:r>
      <w:br/>
    </w:r>
    <w:r w:rsidRPr="00D623A7">
      <w:t>E/</w:t>
    </w:r>
    <w:proofErr w:type="spellStart"/>
    <w:r w:rsidRPr="00D623A7">
      <w:t>ECE</w:t>
    </w:r>
    <w:proofErr w:type="spellEnd"/>
    <w:r w:rsidRPr="00D623A7">
      <w:t>/TRANS/505</w:t>
    </w:r>
    <w:r w:rsidR="00317A35">
      <w:t>/Rev.2/Add.116/Rev.3/Amend.4</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FD" w:rsidRDefault="009C1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A35"/>
    <w:rsid w:val="00050F6B"/>
    <w:rsid w:val="00072C8C"/>
    <w:rsid w:val="000931C0"/>
    <w:rsid w:val="000B175B"/>
    <w:rsid w:val="000B3A0F"/>
    <w:rsid w:val="000D3A4F"/>
    <w:rsid w:val="000E0415"/>
    <w:rsid w:val="000E1272"/>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17A35"/>
    <w:rsid w:val="003229D8"/>
    <w:rsid w:val="0033745A"/>
    <w:rsid w:val="0039277A"/>
    <w:rsid w:val="003972E0"/>
    <w:rsid w:val="003C2CC4"/>
    <w:rsid w:val="003C3936"/>
    <w:rsid w:val="003D4B23"/>
    <w:rsid w:val="003F1ED3"/>
    <w:rsid w:val="004325CB"/>
    <w:rsid w:val="00445C26"/>
    <w:rsid w:val="00446DE4"/>
    <w:rsid w:val="004A41CA"/>
    <w:rsid w:val="004E3FEB"/>
    <w:rsid w:val="004E7FC6"/>
    <w:rsid w:val="00503228"/>
    <w:rsid w:val="00505384"/>
    <w:rsid w:val="005420F2"/>
    <w:rsid w:val="0054561B"/>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67FD4"/>
    <w:rsid w:val="00871FD5"/>
    <w:rsid w:val="008979B1"/>
    <w:rsid w:val="008A6B25"/>
    <w:rsid w:val="008A6C4F"/>
    <w:rsid w:val="008C3804"/>
    <w:rsid w:val="008E0E46"/>
    <w:rsid w:val="00907AD2"/>
    <w:rsid w:val="00963CBA"/>
    <w:rsid w:val="00974A8D"/>
    <w:rsid w:val="00991261"/>
    <w:rsid w:val="009C11FD"/>
    <w:rsid w:val="009F3A17"/>
    <w:rsid w:val="00A1427D"/>
    <w:rsid w:val="00A41529"/>
    <w:rsid w:val="00A569D6"/>
    <w:rsid w:val="00A72F22"/>
    <w:rsid w:val="00A748A6"/>
    <w:rsid w:val="00A85956"/>
    <w:rsid w:val="00A879A4"/>
    <w:rsid w:val="00B207BA"/>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13</TotalTime>
  <Pages>3</Pages>
  <Words>543</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Rev.24</cp:lastModifiedBy>
  <cp:revision>6</cp:revision>
  <cp:lastPrinted>2016-02-04T14:47:00Z</cp:lastPrinted>
  <dcterms:created xsi:type="dcterms:W3CDTF">2015-08-26T08:05:00Z</dcterms:created>
  <dcterms:modified xsi:type="dcterms:W3CDTF">2016-02-04T14:47:00Z</dcterms:modified>
</cp:coreProperties>
</file>