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C37E5C" w:rsidP="002C5B16">
            <w:pPr>
              <w:jc w:val="right"/>
            </w:pPr>
            <w:r w:rsidRPr="00014D07">
              <w:rPr>
                <w:sz w:val="40"/>
              </w:rPr>
              <w:t>E</w:t>
            </w:r>
            <w:r>
              <w:t>/ECE/324/Rev.1/Add.82/Rev.4/Amend.5−</w:t>
            </w:r>
            <w:r w:rsidRPr="00014D07">
              <w:rPr>
                <w:sz w:val="40"/>
              </w:rPr>
              <w:t>E</w:t>
            </w:r>
            <w:r>
              <w:t>/ECE/TRANS/505/Rev.1/Add.82/Rev.4/Amend.5</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B7635F" w:rsidRPr="00DB58B5" w:rsidRDefault="00B7635F" w:rsidP="00495A7B">
            <w:pPr>
              <w:spacing w:before="480" w:line="240" w:lineRule="exact"/>
            </w:pPr>
            <w:r w:rsidRPr="00B7635F">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C37E5C">
        <w:t>82</w:t>
      </w:r>
      <w:r w:rsidR="00421A10" w:rsidRPr="006549FF">
        <w:t>: Règlement</w:t>
      </w:r>
      <w:r w:rsidR="00421A10">
        <w:t xml:space="preserve"> </w:t>
      </w:r>
      <w:r w:rsidR="00421A10" w:rsidRPr="00B371BF">
        <w:t>n</w:t>
      </w:r>
      <w:r w:rsidR="00421A10" w:rsidRPr="00B371BF">
        <w:rPr>
          <w:vertAlign w:val="superscript"/>
        </w:rPr>
        <w:t>o</w:t>
      </w:r>
      <w:r w:rsidR="00421A10">
        <w:t> </w:t>
      </w:r>
      <w:r w:rsidR="00C37E5C">
        <w:t>83</w:t>
      </w:r>
    </w:p>
    <w:p w:rsidR="00421A10" w:rsidRPr="006549FF" w:rsidRDefault="0029791D" w:rsidP="00242268">
      <w:pPr>
        <w:pStyle w:val="H1G"/>
        <w:spacing w:before="220" w:after="100" w:line="240" w:lineRule="exact"/>
      </w:pPr>
      <w:r>
        <w:tab/>
      </w:r>
      <w:r>
        <w:tab/>
      </w:r>
      <w:r w:rsidR="00421A10" w:rsidRPr="006549FF">
        <w:t xml:space="preserve">Révision </w:t>
      </w:r>
      <w:r w:rsidR="00C37E5C">
        <w:t>4</w:t>
      </w:r>
      <w:r w:rsidR="000314C7">
        <w:t xml:space="preserve"> − Amendement </w:t>
      </w:r>
      <w:r w:rsidR="00C37E5C">
        <w:t>5</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C37E5C">
        <w:rPr>
          <w:spacing w:val="-2"/>
        </w:rPr>
        <w:t>5</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C37E5C">
        <w:rPr>
          <w:spacing w:val="-2"/>
        </w:rPr>
        <w:t>06</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C37E5C" w:rsidRPr="00C37E5C">
        <w:rPr>
          <w:spacing w:val="-2"/>
        </w:rPr>
        <w:t>2</w:t>
      </w:r>
      <w:r w:rsidR="00C37E5C">
        <w:rPr>
          <w:spacing w:val="-2"/>
        </w:rPr>
        <w:t>9</w:t>
      </w:r>
      <w:r w:rsidR="00C37E5C" w:rsidRPr="00C37E5C">
        <w:rPr>
          <w:spacing w:val="-2"/>
        </w:rPr>
        <w:t xml:space="preserve"> janvier 2016</w:t>
      </w:r>
    </w:p>
    <w:p w:rsidR="00DD1ED8" w:rsidRPr="00242268" w:rsidRDefault="00DD1ED8" w:rsidP="00242268">
      <w:pPr>
        <w:pStyle w:val="H1G"/>
        <w:spacing w:line="260" w:lineRule="exact"/>
        <w:rPr>
          <w:spacing w:val="-2"/>
        </w:rPr>
      </w:pPr>
      <w:r>
        <w:tab/>
      </w:r>
      <w:r>
        <w:tab/>
      </w:r>
      <w:r w:rsidR="00C37E5C" w:rsidRPr="00C37E5C">
        <w:rPr>
          <w:spacing w:val="-2"/>
        </w:rPr>
        <w:t>Prescriptions uniformes relatives à l'homologation des véhicules en ce qui concerne l'émission de polluants selon les exigences du moteur en matière de carburant</w:t>
      </w:r>
    </w:p>
    <w:p w:rsidR="00D5218B" w:rsidRDefault="001D3393" w:rsidP="00FC2CA9">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C37E5C">
        <w:rPr>
          <w:lang w:val="en-GB" w:eastAsia="en-GB"/>
        </w:rPr>
        <w:t xml:space="preserve">56 </w:t>
      </w:r>
      <w:r w:rsidR="00D5218B" w:rsidRPr="00D5218B">
        <w:rPr>
          <w:lang w:val="en-GB" w:eastAsia="en-GB"/>
        </w:rPr>
        <w:t>(</w:t>
      </w:r>
      <w:proofErr w:type="spellStart"/>
      <w:r w:rsidR="00D5218B" w:rsidRPr="00D5218B">
        <w:rPr>
          <w:lang w:val="en-GB" w:eastAsia="en-GB"/>
        </w:rPr>
        <w:t>tel</w:t>
      </w:r>
      <w:proofErr w:type="spellEnd"/>
      <w:r w:rsidR="00D5218B" w:rsidRPr="00D5218B">
        <w:rPr>
          <w:lang w:val="en-GB" w:eastAsia="en-GB"/>
        </w:rPr>
        <w:t xml:space="preserve"> </w:t>
      </w:r>
      <w:proofErr w:type="spellStart"/>
      <w:r w:rsidR="00D5218B" w:rsidRPr="00D5218B">
        <w:rPr>
          <w:lang w:val="en-GB" w:eastAsia="en-GB"/>
        </w:rPr>
        <w:t>que</w:t>
      </w:r>
      <w:proofErr w:type="spellEnd"/>
      <w:r w:rsidR="00D5218B" w:rsidRPr="00D5218B">
        <w:rPr>
          <w:lang w:val="en-GB" w:eastAsia="en-GB"/>
        </w:rPr>
        <w:t xml:space="preserve"> </w:t>
      </w:r>
      <w:proofErr w:type="spellStart"/>
      <w:r w:rsidR="00D5218B" w:rsidRPr="00D5218B">
        <w:rPr>
          <w:lang w:val="en-GB" w:eastAsia="en-GB"/>
        </w:rPr>
        <w:t>modifié</w:t>
      </w:r>
      <w:proofErr w:type="spellEnd"/>
      <w:r w:rsidR="00D5218B" w:rsidRPr="00D5218B">
        <w:rPr>
          <w:lang w:val="en-GB" w:eastAsia="en-GB"/>
        </w:rPr>
        <w:t xml:space="preserve"> par le </w:t>
      </w:r>
      <w:proofErr w:type="spellStart"/>
      <w:r w:rsidR="00D5218B" w:rsidRPr="00D5218B">
        <w:rPr>
          <w:lang w:val="en-GB" w:eastAsia="en-GB"/>
        </w:rPr>
        <w:t>paragraphe</w:t>
      </w:r>
      <w:proofErr w:type="spellEnd"/>
      <w:r w:rsidR="00D5218B" w:rsidRPr="00D5218B">
        <w:rPr>
          <w:lang w:val="en-GB" w:eastAsia="en-GB"/>
        </w:rPr>
        <w:t xml:space="preserve"> 6</w:t>
      </w:r>
      <w:r w:rsidR="00C37E5C">
        <w:rPr>
          <w:lang w:val="en-GB" w:eastAsia="en-GB"/>
        </w:rPr>
        <w:t>4</w:t>
      </w:r>
      <w:r w:rsidR="00D5218B" w:rsidRPr="00D5218B">
        <w:rPr>
          <w:lang w:val="en-GB" w:eastAsia="en-GB"/>
        </w:rPr>
        <w:t xml:space="preserve"> du rapport </w:t>
      </w:r>
      <w:proofErr w:type="spellStart"/>
      <w:r w:rsidR="00D5218B" w:rsidRPr="00D5218B">
        <w:rPr>
          <w:lang w:val="en-GB" w:eastAsia="en-GB"/>
        </w:rPr>
        <w:t>ECE</w:t>
      </w:r>
      <w:proofErr w:type="spellEnd"/>
      <w:r w:rsidR="00D5218B" w:rsidRPr="00D5218B">
        <w:rPr>
          <w:lang w:val="en-GB" w:eastAsia="en-GB"/>
        </w:rPr>
        <w:t>/TRANS/WP.29/111</w:t>
      </w:r>
      <w:r w:rsidR="00C37E5C">
        <w:rPr>
          <w:lang w:val="en-GB" w:eastAsia="en-GB"/>
        </w:rPr>
        <w:t>6</w:t>
      </w:r>
      <w:r w:rsidR="00D5218B" w:rsidRPr="00D5218B">
        <w:rPr>
          <w:lang w:val="en-GB" w:eastAsia="en-GB"/>
        </w:rPr>
        <w:t>)</w:t>
      </w:r>
    </w:p>
    <w:p w:rsidR="00C37E5C" w:rsidRPr="00C37E5C" w:rsidRDefault="00DD1ED8" w:rsidP="00C37E5C">
      <w:pPr>
        <w:pStyle w:val="SingleTxtG"/>
      </w:pPr>
      <w:r>
        <w:br w:type="page"/>
      </w:r>
      <w:r w:rsidR="00C37E5C" w:rsidRPr="00C37E5C">
        <w:rPr>
          <w:i/>
        </w:rPr>
        <w:lastRenderedPageBreak/>
        <w:t>Paragraphe 2.4</w:t>
      </w:r>
      <w:r w:rsidR="00C37E5C" w:rsidRPr="00C37E5C">
        <w:t xml:space="preserve">, </w:t>
      </w:r>
      <w:proofErr w:type="gramStart"/>
      <w:r w:rsidR="00C37E5C" w:rsidRPr="00C37E5C">
        <w:t>modifier</w:t>
      </w:r>
      <w:proofErr w:type="gramEnd"/>
      <w:r w:rsidR="00C37E5C" w:rsidRPr="00C37E5C">
        <w:t xml:space="preserve"> comme suit:</w:t>
      </w:r>
    </w:p>
    <w:p w:rsidR="00C37E5C" w:rsidRPr="00C37E5C" w:rsidRDefault="00C37E5C" w:rsidP="00C37E5C">
      <w:pPr>
        <w:kinsoku w:val="0"/>
        <w:overflowPunct w:val="0"/>
        <w:autoSpaceDE w:val="0"/>
        <w:autoSpaceDN w:val="0"/>
        <w:adjustRightInd w:val="0"/>
        <w:snapToGrid w:val="0"/>
        <w:spacing w:after="120"/>
        <w:ind w:left="2268" w:right="1134" w:hanging="1134"/>
        <w:jc w:val="both"/>
      </w:pPr>
      <w:r w:rsidRPr="00C37E5C">
        <w:t>«2.4</w:t>
      </w:r>
      <w:r w:rsidRPr="00C37E5C">
        <w:tab/>
        <w:t>Par “</w:t>
      </w:r>
      <w:r w:rsidRPr="00C37E5C">
        <w:rPr>
          <w:i/>
          <w:iCs/>
        </w:rPr>
        <w:t>gaz polluants</w:t>
      </w:r>
      <w:r w:rsidRPr="00C37E5C">
        <w:t>”, le monoxyde de carbone, les oxydes d’azote (exprimés en équivalent de dioxyde d’azote NO</w:t>
      </w:r>
      <w:r w:rsidRPr="00C37E5C">
        <w:rPr>
          <w:vertAlign w:val="subscript"/>
        </w:rPr>
        <w:t>2</w:t>
      </w:r>
      <w:r w:rsidRPr="00C37E5C">
        <w:t>) et les hydrocarbures présents dans les gaz d’échappement, en supposant les rapports suivants:</w:t>
      </w:r>
    </w:p>
    <w:p w:rsidR="00C37E5C" w:rsidRPr="00C37E5C" w:rsidRDefault="00C37E5C" w:rsidP="00C37E5C">
      <w:pPr>
        <w:kinsoku w:val="0"/>
        <w:overflowPunct w:val="0"/>
        <w:autoSpaceDE w:val="0"/>
        <w:autoSpaceDN w:val="0"/>
        <w:adjustRightInd w:val="0"/>
        <w:snapToGrid w:val="0"/>
        <w:spacing w:after="120"/>
        <w:ind w:left="2835" w:right="1134" w:hanging="567"/>
        <w:jc w:val="both"/>
      </w:pPr>
      <w:r w:rsidRPr="00C37E5C">
        <w:t>a)</w:t>
      </w:r>
      <w:r w:rsidRPr="00C37E5C">
        <w:tab/>
        <w:t>C</w:t>
      </w:r>
      <w:r w:rsidRPr="00C37E5C">
        <w:rPr>
          <w:vertAlign w:val="subscript"/>
        </w:rPr>
        <w:t>1</w:t>
      </w:r>
      <w:r w:rsidRPr="00C37E5C">
        <w:t>H</w:t>
      </w:r>
      <w:r w:rsidRPr="00C37E5C">
        <w:rPr>
          <w:vertAlign w:val="subscript"/>
        </w:rPr>
        <w:t>2</w:t>
      </w:r>
      <w:proofErr w:type="gramStart"/>
      <w:r w:rsidRPr="00C37E5C">
        <w:rPr>
          <w:vertAlign w:val="subscript"/>
        </w:rPr>
        <w:t>,525</w:t>
      </w:r>
      <w:proofErr w:type="gramEnd"/>
      <w:r w:rsidRPr="00C37E5C">
        <w:t xml:space="preserve"> pour le gaz de pétrole liquéfié (GPL);</w:t>
      </w:r>
    </w:p>
    <w:p w:rsidR="00C37E5C" w:rsidRPr="00C37E5C" w:rsidRDefault="00C37E5C" w:rsidP="00C37E5C">
      <w:pPr>
        <w:kinsoku w:val="0"/>
        <w:overflowPunct w:val="0"/>
        <w:autoSpaceDE w:val="0"/>
        <w:autoSpaceDN w:val="0"/>
        <w:adjustRightInd w:val="0"/>
        <w:snapToGrid w:val="0"/>
        <w:spacing w:after="120"/>
        <w:ind w:left="2835" w:right="1134" w:hanging="567"/>
        <w:jc w:val="both"/>
      </w:pPr>
      <w:r w:rsidRPr="00C37E5C">
        <w:t>b)</w:t>
      </w:r>
      <w:r w:rsidRPr="00C37E5C">
        <w:tab/>
        <w:t>C</w:t>
      </w:r>
      <w:r w:rsidRPr="00C37E5C">
        <w:rPr>
          <w:vertAlign w:val="subscript"/>
        </w:rPr>
        <w:t>1</w:t>
      </w:r>
      <w:r w:rsidRPr="00C37E5C">
        <w:t>H</w:t>
      </w:r>
      <w:r w:rsidRPr="00C37E5C">
        <w:rPr>
          <w:vertAlign w:val="subscript"/>
        </w:rPr>
        <w:t>4</w:t>
      </w:r>
      <w:r w:rsidRPr="00C37E5C">
        <w:t xml:space="preserve"> pour le gaz naturel (</w:t>
      </w:r>
      <w:proofErr w:type="spellStart"/>
      <w:r w:rsidRPr="00C37E5C">
        <w:t>GN</w:t>
      </w:r>
      <w:proofErr w:type="spellEnd"/>
      <w:r w:rsidRPr="00C37E5C">
        <w:t xml:space="preserve">) et le </w:t>
      </w:r>
      <w:proofErr w:type="spellStart"/>
      <w:r w:rsidRPr="00C37E5C">
        <w:t>biométhane</w:t>
      </w:r>
      <w:proofErr w:type="spellEnd"/>
      <w:r w:rsidRPr="00C37E5C">
        <w:t>;</w:t>
      </w:r>
    </w:p>
    <w:p w:rsidR="00C37E5C" w:rsidRPr="00C37E5C" w:rsidRDefault="00C37E5C" w:rsidP="00C37E5C">
      <w:pPr>
        <w:kinsoku w:val="0"/>
        <w:overflowPunct w:val="0"/>
        <w:autoSpaceDE w:val="0"/>
        <w:autoSpaceDN w:val="0"/>
        <w:adjustRightInd w:val="0"/>
        <w:snapToGrid w:val="0"/>
        <w:spacing w:after="120"/>
        <w:ind w:left="2835" w:right="1134" w:hanging="567"/>
        <w:jc w:val="both"/>
        <w:rPr>
          <w:szCs w:val="24"/>
        </w:rPr>
      </w:pPr>
      <w:r w:rsidRPr="00C37E5C">
        <w:rPr>
          <w:szCs w:val="24"/>
        </w:rPr>
        <w:t>c)</w:t>
      </w:r>
      <w:r w:rsidRPr="00C37E5C">
        <w:rPr>
          <w:szCs w:val="24"/>
        </w:rPr>
        <w:tab/>
        <w:t>C</w:t>
      </w:r>
      <w:r w:rsidRPr="00C37E5C">
        <w:rPr>
          <w:szCs w:val="24"/>
          <w:vertAlign w:val="subscript"/>
        </w:rPr>
        <w:t>1</w:t>
      </w:r>
      <w:r w:rsidRPr="00C37E5C">
        <w:rPr>
          <w:szCs w:val="24"/>
        </w:rPr>
        <w:t>H</w:t>
      </w:r>
      <w:r w:rsidRPr="00C37E5C">
        <w:rPr>
          <w:szCs w:val="24"/>
          <w:vertAlign w:val="subscript"/>
        </w:rPr>
        <w:t>1</w:t>
      </w:r>
      <w:proofErr w:type="gramStart"/>
      <w:r w:rsidRPr="00C37E5C">
        <w:rPr>
          <w:szCs w:val="24"/>
          <w:vertAlign w:val="subscript"/>
        </w:rPr>
        <w:t>,89</w:t>
      </w:r>
      <w:r w:rsidRPr="00C37E5C">
        <w:rPr>
          <w:szCs w:val="24"/>
        </w:rPr>
        <w:t>O</w:t>
      </w:r>
      <w:r w:rsidRPr="00C37E5C">
        <w:rPr>
          <w:szCs w:val="24"/>
          <w:vertAlign w:val="subscript"/>
        </w:rPr>
        <w:t>0,016</w:t>
      </w:r>
      <w:proofErr w:type="gramEnd"/>
      <w:r w:rsidRPr="00C37E5C">
        <w:rPr>
          <w:szCs w:val="24"/>
        </w:rPr>
        <w:t xml:space="preserve"> pour l’essence (E5);</w:t>
      </w:r>
    </w:p>
    <w:p w:rsidR="00C37E5C" w:rsidRPr="00C37E5C" w:rsidRDefault="00C37E5C" w:rsidP="00C37E5C">
      <w:pPr>
        <w:kinsoku w:val="0"/>
        <w:overflowPunct w:val="0"/>
        <w:autoSpaceDE w:val="0"/>
        <w:autoSpaceDN w:val="0"/>
        <w:adjustRightInd w:val="0"/>
        <w:snapToGrid w:val="0"/>
        <w:spacing w:after="120"/>
        <w:ind w:left="2835" w:right="1134" w:hanging="567"/>
        <w:jc w:val="both"/>
        <w:rPr>
          <w:szCs w:val="24"/>
        </w:rPr>
      </w:pPr>
      <w:r w:rsidRPr="00C37E5C">
        <w:rPr>
          <w:szCs w:val="24"/>
        </w:rPr>
        <w:t>d)</w:t>
      </w:r>
      <w:r w:rsidRPr="00C37E5C">
        <w:rPr>
          <w:szCs w:val="24"/>
        </w:rPr>
        <w:tab/>
        <w:t>C</w:t>
      </w:r>
      <w:r w:rsidRPr="00C37E5C">
        <w:rPr>
          <w:szCs w:val="24"/>
          <w:vertAlign w:val="subscript"/>
        </w:rPr>
        <w:t>1</w:t>
      </w:r>
      <w:r w:rsidRPr="00C37E5C">
        <w:rPr>
          <w:szCs w:val="24"/>
        </w:rPr>
        <w:t>H</w:t>
      </w:r>
      <w:r w:rsidRPr="00C37E5C">
        <w:rPr>
          <w:szCs w:val="24"/>
          <w:vertAlign w:val="subscript"/>
        </w:rPr>
        <w:t>1</w:t>
      </w:r>
      <w:proofErr w:type="gramStart"/>
      <w:r w:rsidRPr="00C37E5C">
        <w:rPr>
          <w:szCs w:val="24"/>
          <w:vertAlign w:val="subscript"/>
        </w:rPr>
        <w:t>,93</w:t>
      </w:r>
      <w:r w:rsidRPr="00C37E5C">
        <w:rPr>
          <w:szCs w:val="24"/>
        </w:rPr>
        <w:t>O</w:t>
      </w:r>
      <w:r w:rsidRPr="00C37E5C">
        <w:rPr>
          <w:szCs w:val="24"/>
          <w:vertAlign w:val="subscript"/>
        </w:rPr>
        <w:t>0,033</w:t>
      </w:r>
      <w:proofErr w:type="gramEnd"/>
      <w:r w:rsidRPr="00C37E5C">
        <w:rPr>
          <w:szCs w:val="24"/>
        </w:rPr>
        <w:t xml:space="preserve"> pour l’essence (E10);</w:t>
      </w:r>
    </w:p>
    <w:p w:rsidR="00C37E5C" w:rsidRPr="00C37E5C" w:rsidRDefault="00C37E5C" w:rsidP="00C37E5C">
      <w:pPr>
        <w:kinsoku w:val="0"/>
        <w:overflowPunct w:val="0"/>
        <w:autoSpaceDE w:val="0"/>
        <w:autoSpaceDN w:val="0"/>
        <w:adjustRightInd w:val="0"/>
        <w:snapToGrid w:val="0"/>
        <w:spacing w:after="120"/>
        <w:ind w:left="2835" w:right="1134" w:hanging="567"/>
        <w:jc w:val="both"/>
        <w:rPr>
          <w:szCs w:val="24"/>
        </w:rPr>
      </w:pPr>
      <w:r w:rsidRPr="00C37E5C">
        <w:rPr>
          <w:szCs w:val="24"/>
        </w:rPr>
        <w:t>e)</w:t>
      </w:r>
      <w:r w:rsidRPr="00C37E5C">
        <w:rPr>
          <w:szCs w:val="24"/>
        </w:rPr>
        <w:tab/>
        <w:t>C</w:t>
      </w:r>
      <w:r w:rsidRPr="00C37E5C">
        <w:rPr>
          <w:szCs w:val="24"/>
          <w:vertAlign w:val="subscript"/>
        </w:rPr>
        <w:t>1</w:t>
      </w:r>
      <w:r w:rsidRPr="00C37E5C">
        <w:rPr>
          <w:szCs w:val="24"/>
        </w:rPr>
        <w:t>H</w:t>
      </w:r>
      <w:r w:rsidRPr="00C37E5C">
        <w:rPr>
          <w:szCs w:val="24"/>
          <w:vertAlign w:val="subscript"/>
        </w:rPr>
        <w:t>1</w:t>
      </w:r>
      <w:proofErr w:type="gramStart"/>
      <w:r w:rsidRPr="00C37E5C">
        <w:rPr>
          <w:szCs w:val="24"/>
          <w:vertAlign w:val="subscript"/>
        </w:rPr>
        <w:t>,86</w:t>
      </w:r>
      <w:r w:rsidRPr="00C37E5C">
        <w:rPr>
          <w:szCs w:val="24"/>
        </w:rPr>
        <w:t>O</w:t>
      </w:r>
      <w:r w:rsidRPr="00C37E5C">
        <w:rPr>
          <w:szCs w:val="24"/>
          <w:vertAlign w:val="subscript"/>
        </w:rPr>
        <w:t>0,005</w:t>
      </w:r>
      <w:proofErr w:type="gramEnd"/>
      <w:r w:rsidRPr="00C37E5C">
        <w:rPr>
          <w:szCs w:val="24"/>
        </w:rPr>
        <w:t xml:space="preserve"> pour le gazole (B5);</w:t>
      </w:r>
    </w:p>
    <w:p w:rsidR="00C37E5C" w:rsidRPr="00C37E5C" w:rsidRDefault="00C37E5C" w:rsidP="00C37E5C">
      <w:pPr>
        <w:kinsoku w:val="0"/>
        <w:overflowPunct w:val="0"/>
        <w:autoSpaceDE w:val="0"/>
        <w:autoSpaceDN w:val="0"/>
        <w:adjustRightInd w:val="0"/>
        <w:snapToGrid w:val="0"/>
        <w:spacing w:after="120"/>
        <w:ind w:left="2835" w:right="1134" w:hanging="567"/>
        <w:jc w:val="both"/>
        <w:rPr>
          <w:szCs w:val="24"/>
        </w:rPr>
      </w:pPr>
      <w:r w:rsidRPr="00C37E5C">
        <w:rPr>
          <w:szCs w:val="24"/>
        </w:rPr>
        <w:t>f)</w:t>
      </w:r>
      <w:r w:rsidRPr="00C37E5C">
        <w:rPr>
          <w:szCs w:val="24"/>
        </w:rPr>
        <w:tab/>
        <w:t>C</w:t>
      </w:r>
      <w:r w:rsidRPr="00C37E5C">
        <w:rPr>
          <w:szCs w:val="24"/>
          <w:vertAlign w:val="subscript"/>
        </w:rPr>
        <w:t>1</w:t>
      </w:r>
      <w:r w:rsidRPr="00C37E5C">
        <w:rPr>
          <w:szCs w:val="24"/>
        </w:rPr>
        <w:t>H</w:t>
      </w:r>
      <w:r w:rsidRPr="00C37E5C">
        <w:rPr>
          <w:szCs w:val="24"/>
          <w:vertAlign w:val="subscript"/>
        </w:rPr>
        <w:t>1</w:t>
      </w:r>
      <w:proofErr w:type="gramStart"/>
      <w:r w:rsidRPr="00C37E5C">
        <w:rPr>
          <w:szCs w:val="24"/>
          <w:vertAlign w:val="subscript"/>
        </w:rPr>
        <w:t>,86</w:t>
      </w:r>
      <w:r w:rsidRPr="00C37E5C">
        <w:rPr>
          <w:szCs w:val="24"/>
        </w:rPr>
        <w:t>O</w:t>
      </w:r>
      <w:r w:rsidRPr="00C37E5C">
        <w:rPr>
          <w:szCs w:val="24"/>
          <w:vertAlign w:val="subscript"/>
        </w:rPr>
        <w:t>0,007</w:t>
      </w:r>
      <w:proofErr w:type="gramEnd"/>
      <w:r w:rsidRPr="00C37E5C">
        <w:rPr>
          <w:szCs w:val="24"/>
        </w:rPr>
        <w:t xml:space="preserve"> pour le gazole (B7);</w:t>
      </w:r>
    </w:p>
    <w:p w:rsidR="00C37E5C" w:rsidRPr="00C37E5C" w:rsidRDefault="00C37E5C" w:rsidP="00C37E5C">
      <w:pPr>
        <w:kinsoku w:val="0"/>
        <w:overflowPunct w:val="0"/>
        <w:autoSpaceDE w:val="0"/>
        <w:autoSpaceDN w:val="0"/>
        <w:adjustRightInd w:val="0"/>
        <w:snapToGrid w:val="0"/>
        <w:spacing w:after="120"/>
        <w:ind w:left="2835" w:right="1134" w:hanging="567"/>
        <w:jc w:val="both"/>
        <w:rPr>
          <w:szCs w:val="24"/>
        </w:rPr>
      </w:pPr>
      <w:r w:rsidRPr="00C37E5C">
        <w:rPr>
          <w:szCs w:val="24"/>
        </w:rPr>
        <w:t>g)</w:t>
      </w:r>
      <w:r w:rsidRPr="00C37E5C">
        <w:rPr>
          <w:szCs w:val="24"/>
        </w:rPr>
        <w:tab/>
        <w:t>C</w:t>
      </w:r>
      <w:r w:rsidRPr="00C37E5C">
        <w:rPr>
          <w:szCs w:val="24"/>
          <w:vertAlign w:val="subscript"/>
        </w:rPr>
        <w:t>1</w:t>
      </w:r>
      <w:r w:rsidRPr="00C37E5C">
        <w:rPr>
          <w:szCs w:val="24"/>
        </w:rPr>
        <w:t>H</w:t>
      </w:r>
      <w:r w:rsidRPr="00C37E5C">
        <w:rPr>
          <w:szCs w:val="24"/>
          <w:vertAlign w:val="subscript"/>
        </w:rPr>
        <w:t>2</w:t>
      </w:r>
      <w:proofErr w:type="gramStart"/>
      <w:r w:rsidRPr="00C37E5C">
        <w:rPr>
          <w:szCs w:val="24"/>
          <w:vertAlign w:val="subscript"/>
        </w:rPr>
        <w:t>,74</w:t>
      </w:r>
      <w:r w:rsidRPr="00C37E5C">
        <w:rPr>
          <w:szCs w:val="24"/>
        </w:rPr>
        <w:t>O</w:t>
      </w:r>
      <w:r w:rsidRPr="00C37E5C">
        <w:rPr>
          <w:szCs w:val="24"/>
          <w:vertAlign w:val="subscript"/>
        </w:rPr>
        <w:t>0,385</w:t>
      </w:r>
      <w:proofErr w:type="gramEnd"/>
      <w:r w:rsidRPr="00C37E5C">
        <w:rPr>
          <w:szCs w:val="24"/>
        </w:rPr>
        <w:t xml:space="preserve"> pour l’éthanol (</w:t>
      </w:r>
      <w:r w:rsidRPr="00C37E5C">
        <w:t>E85</w:t>
      </w:r>
      <w:r w:rsidRPr="00C37E5C">
        <w:rPr>
          <w:szCs w:val="24"/>
        </w:rPr>
        <w:t>);</w:t>
      </w:r>
    </w:p>
    <w:p w:rsidR="00C37E5C" w:rsidRPr="00C37E5C" w:rsidRDefault="00C37E5C" w:rsidP="00C37E5C">
      <w:pPr>
        <w:kinsoku w:val="0"/>
        <w:overflowPunct w:val="0"/>
        <w:autoSpaceDE w:val="0"/>
        <w:autoSpaceDN w:val="0"/>
        <w:adjustRightInd w:val="0"/>
        <w:snapToGrid w:val="0"/>
        <w:spacing w:after="120"/>
        <w:ind w:left="2835" w:right="1134" w:hanging="567"/>
        <w:jc w:val="both"/>
        <w:rPr>
          <w:szCs w:val="24"/>
        </w:rPr>
      </w:pPr>
      <w:r w:rsidRPr="00C37E5C">
        <w:rPr>
          <w:szCs w:val="24"/>
        </w:rPr>
        <w:t>h)</w:t>
      </w:r>
      <w:r w:rsidRPr="00C37E5C">
        <w:rPr>
          <w:szCs w:val="24"/>
        </w:rPr>
        <w:tab/>
        <w:t>C</w:t>
      </w:r>
      <w:r w:rsidRPr="00C37E5C">
        <w:rPr>
          <w:szCs w:val="24"/>
          <w:vertAlign w:val="subscript"/>
        </w:rPr>
        <w:t>1</w:t>
      </w:r>
      <w:r w:rsidRPr="00C37E5C">
        <w:rPr>
          <w:szCs w:val="24"/>
        </w:rPr>
        <w:t>H</w:t>
      </w:r>
      <w:r w:rsidRPr="00C37E5C">
        <w:rPr>
          <w:szCs w:val="24"/>
          <w:vertAlign w:val="subscript"/>
        </w:rPr>
        <w:t>2</w:t>
      </w:r>
      <w:proofErr w:type="gramStart"/>
      <w:r w:rsidRPr="00C37E5C">
        <w:rPr>
          <w:szCs w:val="24"/>
          <w:vertAlign w:val="subscript"/>
        </w:rPr>
        <w:t>,61</w:t>
      </w:r>
      <w:r w:rsidRPr="00C37E5C">
        <w:rPr>
          <w:szCs w:val="24"/>
        </w:rPr>
        <w:t>O</w:t>
      </w:r>
      <w:r w:rsidRPr="00C37E5C">
        <w:rPr>
          <w:szCs w:val="24"/>
          <w:vertAlign w:val="subscript"/>
        </w:rPr>
        <w:t>0,329</w:t>
      </w:r>
      <w:proofErr w:type="gramEnd"/>
      <w:r w:rsidRPr="00C37E5C">
        <w:rPr>
          <w:szCs w:val="24"/>
        </w:rPr>
        <w:t xml:space="preserve"> pour l’éthanol (</w:t>
      </w:r>
      <w:r w:rsidRPr="00C37E5C">
        <w:t>E75</w:t>
      </w:r>
      <w:r w:rsidRPr="00C37E5C">
        <w:rPr>
          <w:szCs w:val="24"/>
        </w:rPr>
        <w:t>).».</w:t>
      </w:r>
    </w:p>
    <w:p w:rsidR="00C37E5C" w:rsidRPr="00C37E5C" w:rsidRDefault="00F54BF0" w:rsidP="00C37E5C">
      <w:pPr>
        <w:kinsoku w:val="0"/>
        <w:overflowPunct w:val="0"/>
        <w:autoSpaceDE w:val="0"/>
        <w:autoSpaceDN w:val="0"/>
        <w:adjustRightInd w:val="0"/>
        <w:snapToGrid w:val="0"/>
        <w:spacing w:after="120"/>
        <w:ind w:left="1134" w:right="1134"/>
        <w:jc w:val="both"/>
        <w:rPr>
          <w:szCs w:val="24"/>
        </w:rPr>
      </w:pPr>
      <w:r>
        <w:rPr>
          <w:i/>
          <w:szCs w:val="24"/>
        </w:rPr>
        <w:br w:type="page"/>
      </w:r>
      <w:r w:rsidR="00C37E5C" w:rsidRPr="00C37E5C">
        <w:rPr>
          <w:i/>
          <w:szCs w:val="24"/>
        </w:rPr>
        <w:lastRenderedPageBreak/>
        <w:t>Paragraphe 5.2.3, tableau A</w:t>
      </w:r>
      <w:r w:rsidR="00C37E5C" w:rsidRPr="00C37E5C">
        <w:rPr>
          <w:szCs w:val="24"/>
        </w:rPr>
        <w:t xml:space="preserve">, </w:t>
      </w:r>
      <w:proofErr w:type="gramStart"/>
      <w:r w:rsidR="00C37E5C" w:rsidRPr="00C37E5C">
        <w:rPr>
          <w:szCs w:val="24"/>
        </w:rPr>
        <w:t>modifier</w:t>
      </w:r>
      <w:proofErr w:type="gramEnd"/>
      <w:r w:rsidR="00C37E5C" w:rsidRPr="00C37E5C">
        <w:rPr>
          <w:szCs w:val="24"/>
        </w:rPr>
        <w:t xml:space="preserve"> comme suit: </w:t>
      </w:r>
    </w:p>
    <w:p w:rsidR="00C37E5C" w:rsidRPr="00C37E5C" w:rsidRDefault="00C37E5C" w:rsidP="00C37E5C">
      <w:pPr>
        <w:keepNext/>
        <w:keepLines/>
        <w:kinsoku w:val="0"/>
        <w:overflowPunct w:val="0"/>
        <w:autoSpaceDE w:val="0"/>
        <w:autoSpaceDN w:val="0"/>
        <w:adjustRightInd w:val="0"/>
        <w:snapToGrid w:val="0"/>
        <w:spacing w:after="120" w:line="240" w:lineRule="auto"/>
        <w:outlineLvl w:val="0"/>
        <w:rPr>
          <w:b/>
          <w:bCs/>
        </w:rPr>
      </w:pPr>
      <w:r w:rsidRPr="00C37E5C">
        <w:t>«Tableau A. Prescriptions</w:t>
      </w:r>
      <w:r w:rsidRPr="00C37E5C">
        <w:br/>
      </w:r>
      <w:r w:rsidRPr="00C37E5C">
        <w:rPr>
          <w:b/>
          <w:bCs/>
        </w:rPr>
        <w:t>Application des prescriptions d’essai pour l’homologation de type et les extensions</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0" w:type="dxa"/>
          <w:right w:w="0" w:type="dxa"/>
        </w:tblCellMar>
        <w:tblLook w:val="0000" w:firstRow="0" w:lastRow="0" w:firstColumn="0" w:lastColumn="0" w:noHBand="0" w:noVBand="0"/>
      </w:tblPr>
      <w:tblGrid>
        <w:gridCol w:w="1247"/>
        <w:gridCol w:w="794"/>
        <w:gridCol w:w="397"/>
        <w:gridCol w:w="850"/>
        <w:gridCol w:w="794"/>
        <w:gridCol w:w="794"/>
        <w:gridCol w:w="964"/>
        <w:gridCol w:w="794"/>
        <w:gridCol w:w="1020"/>
        <w:gridCol w:w="964"/>
        <w:gridCol w:w="1020"/>
      </w:tblGrid>
      <w:tr w:rsidR="00C37E5C" w:rsidRPr="00C37E5C" w:rsidTr="00C37E5C">
        <w:trPr>
          <w:tblHeader/>
        </w:trPr>
        <w:tc>
          <w:tcPr>
            <w:tcW w:w="1247" w:type="dxa"/>
            <w:vMerge w:val="restart"/>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p>
        </w:tc>
        <w:tc>
          <w:tcPr>
            <w:tcW w:w="6407" w:type="dxa"/>
            <w:gridSpan w:val="8"/>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r w:rsidRPr="00C37E5C">
              <w:rPr>
                <w:i/>
                <w:sz w:val="14"/>
                <w:szCs w:val="14"/>
              </w:rPr>
              <w:t>Véhicules équipés d’un moteur à allumage commandé, y compris les véhicules hybrides</w:t>
            </w:r>
          </w:p>
        </w:tc>
        <w:tc>
          <w:tcPr>
            <w:tcW w:w="1984" w:type="dxa"/>
            <w:gridSpan w:val="2"/>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r w:rsidRPr="00C37E5C">
              <w:rPr>
                <w:i/>
                <w:sz w:val="14"/>
                <w:szCs w:val="14"/>
              </w:rPr>
              <w:t>Véhicules équipés d’un moteur à allumage par compression, y compris les véhicules hybrides</w:t>
            </w:r>
          </w:p>
        </w:tc>
      </w:tr>
      <w:tr w:rsidR="00C37E5C" w:rsidRPr="00C37E5C" w:rsidTr="00C37E5C">
        <w:trPr>
          <w:tblHeader/>
        </w:trPr>
        <w:tc>
          <w:tcPr>
            <w:tcW w:w="1247" w:type="dxa"/>
            <w:vMerge/>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p>
        </w:tc>
        <w:tc>
          <w:tcPr>
            <w:tcW w:w="2835" w:type="dxa"/>
            <w:gridSpan w:val="4"/>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proofErr w:type="spellStart"/>
            <w:r w:rsidRPr="00C37E5C">
              <w:rPr>
                <w:i/>
                <w:sz w:val="14"/>
                <w:szCs w:val="14"/>
              </w:rPr>
              <w:t>Monocarburant</w:t>
            </w:r>
            <w:proofErr w:type="spellEnd"/>
          </w:p>
        </w:tc>
        <w:tc>
          <w:tcPr>
            <w:tcW w:w="2552" w:type="dxa"/>
            <w:gridSpan w:val="3"/>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vertAlign w:val="superscript"/>
              </w:rPr>
            </w:pPr>
            <w:r w:rsidRPr="00C37E5C">
              <w:rPr>
                <w:i/>
                <w:sz w:val="14"/>
                <w:szCs w:val="14"/>
              </w:rPr>
              <w:t>Bicarburant</w:t>
            </w:r>
            <w:r w:rsidRPr="00C37E5C">
              <w:rPr>
                <w:iCs/>
                <w:sz w:val="14"/>
                <w:szCs w:val="14"/>
                <w:vertAlign w:val="superscript"/>
              </w:rPr>
              <w:t>1</w:t>
            </w:r>
          </w:p>
        </w:tc>
        <w:tc>
          <w:tcPr>
            <w:tcW w:w="1020"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r w:rsidRPr="00C37E5C">
              <w:rPr>
                <w:i/>
                <w:sz w:val="14"/>
                <w:szCs w:val="14"/>
              </w:rPr>
              <w:t>Polycarburant</w:t>
            </w:r>
            <w:r w:rsidRPr="00C37E5C">
              <w:rPr>
                <w:iCs/>
                <w:sz w:val="14"/>
                <w:szCs w:val="14"/>
                <w:vertAlign w:val="superscript"/>
              </w:rPr>
              <w:t>1</w:t>
            </w:r>
          </w:p>
        </w:tc>
        <w:tc>
          <w:tcPr>
            <w:tcW w:w="96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proofErr w:type="spellStart"/>
            <w:r w:rsidRPr="00C37E5C">
              <w:rPr>
                <w:i/>
                <w:sz w:val="14"/>
                <w:szCs w:val="14"/>
              </w:rPr>
              <w:t>Polycarburant</w:t>
            </w:r>
            <w:proofErr w:type="spellEnd"/>
          </w:p>
        </w:tc>
        <w:tc>
          <w:tcPr>
            <w:tcW w:w="1020"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i/>
                <w:sz w:val="14"/>
                <w:szCs w:val="14"/>
              </w:rPr>
            </w:pPr>
            <w:proofErr w:type="spellStart"/>
            <w:r w:rsidRPr="00C37E5C">
              <w:rPr>
                <w:i/>
                <w:sz w:val="14"/>
                <w:szCs w:val="14"/>
              </w:rPr>
              <w:t>Monocarburant</w:t>
            </w:r>
            <w:proofErr w:type="spellEnd"/>
          </w:p>
        </w:tc>
      </w:tr>
      <w:tr w:rsidR="00C37E5C" w:rsidRPr="00C37E5C" w:rsidTr="00C37E5C">
        <w:tc>
          <w:tcPr>
            <w:tcW w:w="1247" w:type="dxa"/>
            <w:vMerge w:val="restart"/>
            <w:tcBorders>
              <w:top w:val="single" w:sz="12" w:space="0" w:color="auto"/>
            </w:tcBorders>
            <w:shd w:val="clear" w:color="auto" w:fill="auto"/>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Carburant de référence</w:t>
            </w:r>
          </w:p>
        </w:tc>
        <w:tc>
          <w:tcPr>
            <w:tcW w:w="794" w:type="dxa"/>
            <w:vMerge w:val="restart"/>
            <w:tcBorders>
              <w:top w:val="single" w:sz="12" w:space="0" w:color="auto"/>
            </w:tcBorders>
            <w:shd w:val="clear" w:color="auto" w:fill="auto"/>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vertAlign w:val="superscript"/>
              </w:rPr>
            </w:pPr>
            <w:r w:rsidRPr="00C37E5C">
              <w:rPr>
                <w:sz w:val="14"/>
                <w:szCs w:val="14"/>
              </w:rPr>
              <w:t>Essence (E5/E10)</w:t>
            </w:r>
            <w:r w:rsidRPr="00C37E5C">
              <w:rPr>
                <w:i/>
                <w:iCs/>
                <w:sz w:val="14"/>
                <w:szCs w:val="14"/>
                <w:vertAlign w:val="superscript"/>
              </w:rPr>
              <w:t>4</w:t>
            </w:r>
          </w:p>
        </w:tc>
        <w:tc>
          <w:tcPr>
            <w:tcW w:w="397" w:type="dxa"/>
            <w:vMerge w:val="restart"/>
            <w:tcBorders>
              <w:top w:val="single" w:sz="12" w:space="0" w:color="auto"/>
            </w:tcBorders>
            <w:shd w:val="clear" w:color="auto" w:fill="auto"/>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GPL</w:t>
            </w:r>
          </w:p>
        </w:tc>
        <w:tc>
          <w:tcPr>
            <w:tcW w:w="850" w:type="dxa"/>
            <w:vMerge w:val="restart"/>
            <w:tcBorders>
              <w:top w:val="single" w:sz="12" w:space="0" w:color="auto"/>
            </w:tcBorders>
            <w:shd w:val="clear" w:color="auto" w:fill="auto"/>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spellStart"/>
            <w:r w:rsidRPr="00C37E5C">
              <w:rPr>
                <w:sz w:val="14"/>
                <w:szCs w:val="14"/>
              </w:rPr>
              <w:t>GN</w:t>
            </w:r>
            <w:proofErr w:type="spellEnd"/>
            <w:r w:rsidRPr="00C37E5C">
              <w:rPr>
                <w:sz w:val="14"/>
                <w:szCs w:val="14"/>
              </w:rPr>
              <w:t xml:space="preserve">/ </w:t>
            </w:r>
            <w:proofErr w:type="spellStart"/>
            <w:r w:rsidRPr="00C37E5C">
              <w:rPr>
                <w:sz w:val="14"/>
                <w:szCs w:val="14"/>
              </w:rPr>
              <w:t>biométhane</w:t>
            </w:r>
            <w:proofErr w:type="spellEnd"/>
          </w:p>
        </w:tc>
        <w:tc>
          <w:tcPr>
            <w:tcW w:w="794" w:type="dxa"/>
            <w:vMerge w:val="restart"/>
            <w:tcBorders>
              <w:top w:val="single" w:sz="12" w:space="0" w:color="auto"/>
            </w:tcBorders>
            <w:shd w:val="clear" w:color="auto" w:fill="auto"/>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Hydrogène</w:t>
            </w:r>
          </w:p>
        </w:tc>
        <w:tc>
          <w:tcPr>
            <w:tcW w:w="794" w:type="dxa"/>
            <w:tcBorders>
              <w:top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Essence (E5/E10)</w:t>
            </w:r>
            <w:r w:rsidRPr="00C37E5C">
              <w:rPr>
                <w:i/>
                <w:iCs/>
                <w:sz w:val="14"/>
                <w:szCs w:val="14"/>
                <w:vertAlign w:val="superscript"/>
              </w:rPr>
              <w:t>4</w:t>
            </w:r>
          </w:p>
        </w:tc>
        <w:tc>
          <w:tcPr>
            <w:tcW w:w="964" w:type="dxa"/>
            <w:tcBorders>
              <w:top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Essence (E5/E10)</w:t>
            </w:r>
            <w:r w:rsidRPr="00C37E5C">
              <w:rPr>
                <w:i/>
                <w:iCs/>
                <w:sz w:val="14"/>
                <w:szCs w:val="14"/>
                <w:vertAlign w:val="superscript"/>
              </w:rPr>
              <w:t>4</w:t>
            </w:r>
          </w:p>
        </w:tc>
        <w:tc>
          <w:tcPr>
            <w:tcW w:w="794" w:type="dxa"/>
            <w:tcBorders>
              <w:top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Essence (E5/E10)</w:t>
            </w:r>
            <w:r w:rsidRPr="00C37E5C">
              <w:rPr>
                <w:i/>
                <w:iCs/>
                <w:sz w:val="14"/>
                <w:szCs w:val="14"/>
                <w:vertAlign w:val="superscript"/>
              </w:rPr>
              <w:t>4</w:t>
            </w:r>
          </w:p>
        </w:tc>
        <w:tc>
          <w:tcPr>
            <w:tcW w:w="1020" w:type="dxa"/>
            <w:tcBorders>
              <w:top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Essence (E5/E10)</w:t>
            </w:r>
            <w:r w:rsidRPr="00C37E5C">
              <w:rPr>
                <w:i/>
                <w:iCs/>
                <w:sz w:val="14"/>
                <w:szCs w:val="14"/>
                <w:vertAlign w:val="superscript"/>
              </w:rPr>
              <w:t>4</w:t>
            </w:r>
          </w:p>
        </w:tc>
        <w:tc>
          <w:tcPr>
            <w:tcW w:w="964" w:type="dxa"/>
            <w:tcBorders>
              <w:top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Gazole (B5/B7)</w:t>
            </w:r>
            <w:r w:rsidRPr="00C37E5C">
              <w:rPr>
                <w:i/>
                <w:iCs/>
                <w:sz w:val="14"/>
                <w:szCs w:val="14"/>
                <w:vertAlign w:val="superscript"/>
              </w:rPr>
              <w:t>4</w:t>
            </w:r>
          </w:p>
        </w:tc>
        <w:tc>
          <w:tcPr>
            <w:tcW w:w="1020" w:type="dxa"/>
            <w:vMerge w:val="restart"/>
            <w:tcBorders>
              <w:top w:val="single" w:sz="12" w:space="0" w:color="auto"/>
            </w:tcBorders>
            <w:shd w:val="clear" w:color="auto" w:fill="auto"/>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Gazole (B5/B7)</w:t>
            </w:r>
            <w:r w:rsidRPr="00C37E5C">
              <w:rPr>
                <w:i/>
                <w:iCs/>
                <w:sz w:val="14"/>
                <w:szCs w:val="14"/>
                <w:vertAlign w:val="superscript"/>
              </w:rPr>
              <w:t>4</w:t>
            </w:r>
          </w:p>
        </w:tc>
      </w:tr>
      <w:tr w:rsidR="00C37E5C" w:rsidRPr="00C37E5C" w:rsidTr="00C37E5C">
        <w:tc>
          <w:tcPr>
            <w:tcW w:w="1247" w:type="dxa"/>
            <w:vMerge/>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vMerge/>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397" w:type="dxa"/>
            <w:vMerge/>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850" w:type="dxa"/>
            <w:vMerge/>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vMerge/>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GPL</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spellStart"/>
            <w:r w:rsidRPr="00C37E5C">
              <w:rPr>
                <w:sz w:val="14"/>
                <w:szCs w:val="14"/>
              </w:rPr>
              <w:t>GN</w:t>
            </w:r>
            <w:proofErr w:type="spellEnd"/>
            <w:r w:rsidRPr="00C37E5C">
              <w:rPr>
                <w:sz w:val="14"/>
                <w:szCs w:val="14"/>
              </w:rPr>
              <w:t xml:space="preserve">/ </w:t>
            </w:r>
            <w:proofErr w:type="spellStart"/>
            <w:r w:rsidRPr="00C37E5C">
              <w:rPr>
                <w:sz w:val="14"/>
                <w:szCs w:val="14"/>
              </w:rPr>
              <w:t>biométhane</w:t>
            </w:r>
            <w:proofErr w:type="spellEnd"/>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Hydrogène</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Éthanol (E85)</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spellStart"/>
            <w:r w:rsidRPr="00C37E5C">
              <w:rPr>
                <w:sz w:val="14"/>
                <w:szCs w:val="14"/>
              </w:rPr>
              <w:t>Biogazole</w:t>
            </w:r>
            <w:proofErr w:type="spellEnd"/>
          </w:p>
        </w:tc>
        <w:tc>
          <w:tcPr>
            <w:tcW w:w="1020" w:type="dxa"/>
            <w:vMerge/>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Polluants </w:t>
            </w:r>
            <w:proofErr w:type="gramStart"/>
            <w:r w:rsidRPr="00C37E5C">
              <w:rPr>
                <w:sz w:val="14"/>
                <w:szCs w:val="14"/>
              </w:rPr>
              <w:t>gazeux</w:t>
            </w:r>
            <w:proofErr w:type="gramEnd"/>
            <w:r w:rsidRPr="00C37E5C">
              <w:rPr>
                <w:sz w:val="14"/>
                <w:szCs w:val="14"/>
              </w:rPr>
              <w:br/>
              <w:t>(essai du type 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Oui </w:t>
            </w:r>
            <w:r w:rsidRPr="00C37E5C">
              <w:rPr>
                <w:sz w:val="14"/>
                <w:szCs w:val="14"/>
              </w:rPr>
              <w:br/>
              <w:t>(B5/B7 seulement</w:t>
            </w:r>
            <w:proofErr w:type="gramStart"/>
            <w:r w:rsidRPr="00C37E5C">
              <w:rPr>
                <w:sz w:val="14"/>
                <w:szCs w:val="14"/>
              </w:rPr>
              <w:t>)</w:t>
            </w:r>
            <w:r w:rsidRPr="00C37E5C">
              <w:rPr>
                <w:i/>
                <w:iCs/>
                <w:sz w:val="14"/>
                <w:szCs w:val="14"/>
                <w:vertAlign w:val="superscript"/>
              </w:rPr>
              <w:t>2</w:t>
            </w:r>
            <w:r w:rsidRPr="00C37E5C">
              <w:rPr>
                <w:sz w:val="14"/>
                <w:szCs w:val="14"/>
                <w:vertAlign w:val="superscript"/>
              </w:rPr>
              <w:t>,</w:t>
            </w:r>
            <w:r w:rsidRPr="00C37E5C">
              <w:rPr>
                <w:i/>
                <w:iCs/>
                <w:sz w:val="14"/>
                <w:szCs w:val="14"/>
                <w:vertAlign w:val="superscript"/>
              </w:rPr>
              <w:t>4</w:t>
            </w:r>
            <w:proofErr w:type="gramEnd"/>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Masse des </w:t>
            </w:r>
            <w:proofErr w:type="gramStart"/>
            <w:r w:rsidRPr="00C37E5C">
              <w:rPr>
                <w:sz w:val="14"/>
                <w:szCs w:val="14"/>
              </w:rPr>
              <w:t>particules</w:t>
            </w:r>
            <w:proofErr w:type="gramEnd"/>
            <w:r w:rsidRPr="00C37E5C">
              <w:rPr>
                <w:sz w:val="14"/>
                <w:szCs w:val="14"/>
              </w:rPr>
              <w:br/>
              <w:t>(essai du type 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 (injection directe seulement)</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 (injection directe seulement</w:t>
            </w:r>
            <w:proofErr w:type="gramStart"/>
            <w:r w:rsidRPr="00C37E5C">
              <w:rPr>
                <w:sz w:val="14"/>
                <w:szCs w:val="14"/>
              </w:rPr>
              <w:t>)</w:t>
            </w:r>
            <w:proofErr w:type="gramEnd"/>
            <w:r w:rsidRPr="00C37E5C">
              <w:rPr>
                <w:sz w:val="14"/>
                <w:szCs w:val="14"/>
              </w:rPr>
              <w:br/>
              <w:t>(essence seulement)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Oui </w:t>
            </w:r>
            <w:r w:rsidRPr="00C37E5C">
              <w:rPr>
                <w:sz w:val="14"/>
                <w:szCs w:val="14"/>
              </w:rPr>
              <w:br/>
              <w:t>(injection directe seulement</w:t>
            </w:r>
            <w:proofErr w:type="gramStart"/>
            <w:r w:rsidRPr="00C37E5C">
              <w:rPr>
                <w:sz w:val="14"/>
                <w:szCs w:val="14"/>
              </w:rPr>
              <w:t>)</w:t>
            </w:r>
            <w:proofErr w:type="gramEnd"/>
            <w:r w:rsidRPr="00C37E5C">
              <w:rPr>
                <w:sz w:val="14"/>
                <w:szCs w:val="14"/>
              </w:rPr>
              <w:br/>
              <w:t>(essence seulement)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 (injection directe seulement</w:t>
            </w:r>
            <w:proofErr w:type="gramStart"/>
            <w:r w:rsidRPr="00C37E5C">
              <w:rPr>
                <w:sz w:val="14"/>
                <w:szCs w:val="14"/>
              </w:rPr>
              <w:t>)</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Oui </w:t>
            </w:r>
            <w:r w:rsidRPr="00C37E5C">
              <w:rPr>
                <w:sz w:val="14"/>
                <w:szCs w:val="14"/>
              </w:rPr>
              <w:br/>
              <w:t xml:space="preserve">(injection directe seulement) </w:t>
            </w:r>
            <w:r w:rsidRPr="00C37E5C">
              <w:rPr>
                <w:sz w:val="14"/>
                <w:szCs w:val="14"/>
              </w:rPr>
              <w:br/>
              <w:t>(les deux carburants)</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Oui </w:t>
            </w:r>
            <w:r w:rsidRPr="00C37E5C">
              <w:rPr>
                <w:sz w:val="14"/>
                <w:szCs w:val="14"/>
              </w:rPr>
              <w:br/>
              <w:t>(B5/B7 seulement</w:t>
            </w:r>
            <w:proofErr w:type="gramStart"/>
            <w:r w:rsidRPr="00C37E5C">
              <w:rPr>
                <w:sz w:val="14"/>
                <w:szCs w:val="14"/>
              </w:rPr>
              <w:t>)</w:t>
            </w:r>
            <w:r w:rsidRPr="00C37E5C">
              <w:rPr>
                <w:i/>
                <w:iCs/>
                <w:sz w:val="14"/>
                <w:szCs w:val="14"/>
                <w:vertAlign w:val="superscript"/>
              </w:rPr>
              <w:t>2</w:t>
            </w:r>
            <w:r w:rsidRPr="00C37E5C">
              <w:rPr>
                <w:sz w:val="14"/>
                <w:szCs w:val="14"/>
                <w:vertAlign w:val="superscript"/>
              </w:rPr>
              <w:t>,</w:t>
            </w:r>
            <w:r w:rsidRPr="00C37E5C">
              <w:rPr>
                <w:i/>
                <w:iCs/>
                <w:sz w:val="14"/>
                <w:szCs w:val="14"/>
                <w:vertAlign w:val="superscript"/>
              </w:rPr>
              <w:t>4</w:t>
            </w:r>
            <w:proofErr w:type="gramEnd"/>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Nombre de particules </w:t>
            </w:r>
            <w:r w:rsidRPr="00C37E5C">
              <w:rPr>
                <w:sz w:val="14"/>
                <w:szCs w:val="14"/>
              </w:rPr>
              <w:br/>
              <w:t>(essai du type 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Oui </w:t>
            </w:r>
            <w:r w:rsidRPr="00C37E5C">
              <w:rPr>
                <w:sz w:val="14"/>
                <w:szCs w:val="14"/>
              </w:rPr>
              <w:br/>
              <w:t>(B5/B7 seulement</w:t>
            </w:r>
            <w:proofErr w:type="gramStart"/>
            <w:r w:rsidRPr="00C37E5C">
              <w:rPr>
                <w:sz w:val="14"/>
                <w:szCs w:val="14"/>
              </w:rPr>
              <w:t>)</w:t>
            </w:r>
            <w:r w:rsidRPr="00C37E5C">
              <w:rPr>
                <w:i/>
                <w:iCs/>
                <w:sz w:val="14"/>
                <w:szCs w:val="14"/>
                <w:vertAlign w:val="superscript"/>
              </w:rPr>
              <w:t>2</w:t>
            </w:r>
            <w:r w:rsidRPr="00C37E5C">
              <w:rPr>
                <w:sz w:val="14"/>
                <w:szCs w:val="14"/>
                <w:vertAlign w:val="superscript"/>
              </w:rPr>
              <w:t>,</w:t>
            </w:r>
            <w:r w:rsidRPr="00C37E5C">
              <w:rPr>
                <w:i/>
                <w:iCs/>
                <w:sz w:val="14"/>
                <w:szCs w:val="14"/>
                <w:vertAlign w:val="superscript"/>
              </w:rPr>
              <w:t>4</w:t>
            </w:r>
            <w:proofErr w:type="gramEnd"/>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Émissions au ralenti </w:t>
            </w:r>
            <w:r w:rsidRPr="00C37E5C">
              <w:rPr>
                <w:sz w:val="14"/>
                <w:szCs w:val="14"/>
              </w:rPr>
              <w:br/>
              <w:t>(essai du type II)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Émissions du carter (essai du type III)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Émissions par évaporation </w:t>
            </w:r>
            <w:r w:rsidRPr="00C37E5C">
              <w:rPr>
                <w:sz w:val="14"/>
                <w:szCs w:val="14"/>
              </w:rPr>
              <w:br/>
              <w:t>(essai du type IV)</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Durabilité</w:t>
            </w:r>
            <w:proofErr w:type="gramEnd"/>
            <w:r w:rsidRPr="00C37E5C">
              <w:rPr>
                <w:sz w:val="14"/>
                <w:szCs w:val="14"/>
              </w:rPr>
              <w:br/>
              <w:t>(essai du type V)</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 (B5/B7 seulement</w:t>
            </w:r>
            <w:proofErr w:type="gramStart"/>
            <w:r w:rsidRPr="00C37E5C">
              <w:rPr>
                <w:sz w:val="14"/>
                <w:szCs w:val="14"/>
              </w:rPr>
              <w:t>)</w:t>
            </w:r>
            <w:r w:rsidRPr="00C37E5C">
              <w:rPr>
                <w:i/>
                <w:iCs/>
                <w:sz w:val="14"/>
                <w:szCs w:val="14"/>
                <w:vertAlign w:val="superscript"/>
              </w:rPr>
              <w:t>2</w:t>
            </w:r>
            <w:r w:rsidRPr="00C37E5C">
              <w:rPr>
                <w:sz w:val="14"/>
                <w:szCs w:val="14"/>
                <w:vertAlign w:val="superscript"/>
              </w:rPr>
              <w:t>,</w:t>
            </w:r>
            <w:r w:rsidRPr="00C37E5C">
              <w:rPr>
                <w:i/>
                <w:iCs/>
                <w:sz w:val="14"/>
                <w:szCs w:val="14"/>
                <w:vertAlign w:val="superscript"/>
              </w:rPr>
              <w:t>4</w:t>
            </w:r>
            <w:proofErr w:type="gramEnd"/>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r>
      <w:tr w:rsidR="00C37E5C" w:rsidRPr="00C37E5C" w:rsidTr="00C37E5C">
        <w:tc>
          <w:tcPr>
            <w:tcW w:w="124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 xml:space="preserve">Émissions à basse </w:t>
            </w:r>
            <w:proofErr w:type="gramStart"/>
            <w:r w:rsidRPr="00C37E5C">
              <w:rPr>
                <w:sz w:val="14"/>
                <w:szCs w:val="14"/>
              </w:rPr>
              <w:t>température</w:t>
            </w:r>
            <w:proofErr w:type="gramEnd"/>
            <w:r w:rsidRPr="00C37E5C">
              <w:rPr>
                <w:sz w:val="14"/>
                <w:szCs w:val="14"/>
              </w:rPr>
              <w:br/>
              <w:t>(essai du type VI)</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85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p>
        </w:tc>
        <w:tc>
          <w:tcPr>
            <w:tcW w:w="79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roofErr w:type="gramStart"/>
            <w:r w:rsidRPr="00C37E5C">
              <w:rPr>
                <w:sz w:val="14"/>
                <w:szCs w:val="14"/>
              </w:rPr>
              <w:t>)</w:t>
            </w:r>
            <w:r w:rsidRPr="00C37E5C">
              <w:rPr>
                <w:i/>
                <w:iCs/>
                <w:sz w:val="14"/>
                <w:szCs w:val="14"/>
                <w:vertAlign w:val="superscript"/>
              </w:rPr>
              <w:t>3</w:t>
            </w:r>
            <w:proofErr w:type="gramEnd"/>
          </w:p>
        </w:tc>
        <w:tc>
          <w:tcPr>
            <w:tcW w:w="964"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c>
          <w:tcPr>
            <w:tcW w:w="1020" w:type="dxa"/>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w:t>
            </w:r>
          </w:p>
        </w:tc>
      </w:tr>
      <w:tr w:rsidR="00C37E5C" w:rsidRPr="00C37E5C" w:rsidTr="00C37E5C">
        <w:tc>
          <w:tcPr>
            <w:tcW w:w="1247"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Conformité en service</w:t>
            </w:r>
          </w:p>
        </w:tc>
        <w:tc>
          <w:tcPr>
            <w:tcW w:w="794"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850"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964"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794"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roofErr w:type="gramStart"/>
            <w:r w:rsidRPr="00C37E5C">
              <w:rPr>
                <w:sz w:val="14"/>
                <w:szCs w:val="14"/>
              </w:rPr>
              <w:t>Oui</w:t>
            </w:r>
            <w:proofErr w:type="gramEnd"/>
            <w:r w:rsidRPr="00C37E5C">
              <w:rPr>
                <w:sz w:val="14"/>
                <w:szCs w:val="14"/>
              </w:rPr>
              <w:br/>
              <w:t>(essence seulement)</w:t>
            </w:r>
            <w:r w:rsidRPr="00C37E5C">
              <w:rPr>
                <w:i/>
                <w:iCs/>
                <w:sz w:val="14"/>
                <w:szCs w:val="14"/>
                <w:vertAlign w:val="superscript"/>
              </w:rPr>
              <w:t>2</w:t>
            </w:r>
          </w:p>
        </w:tc>
        <w:tc>
          <w:tcPr>
            <w:tcW w:w="1020"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r w:rsidRPr="00C37E5C">
              <w:rPr>
                <w:sz w:val="14"/>
                <w:szCs w:val="14"/>
              </w:rPr>
              <w:br/>
              <w:t>(les deux carburants)</w:t>
            </w:r>
          </w:p>
        </w:tc>
        <w:tc>
          <w:tcPr>
            <w:tcW w:w="964"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 (B5/B7 seulement</w:t>
            </w:r>
            <w:proofErr w:type="gramStart"/>
            <w:r w:rsidRPr="00C37E5C">
              <w:rPr>
                <w:sz w:val="14"/>
                <w:szCs w:val="14"/>
              </w:rPr>
              <w:t>)</w:t>
            </w:r>
            <w:r w:rsidRPr="00C37E5C">
              <w:rPr>
                <w:i/>
                <w:iCs/>
                <w:sz w:val="14"/>
                <w:szCs w:val="14"/>
                <w:vertAlign w:val="superscript"/>
              </w:rPr>
              <w:t>2</w:t>
            </w:r>
            <w:r w:rsidRPr="00C37E5C">
              <w:rPr>
                <w:sz w:val="14"/>
                <w:szCs w:val="14"/>
                <w:vertAlign w:val="superscript"/>
              </w:rPr>
              <w:t>,</w:t>
            </w:r>
            <w:r w:rsidRPr="00C37E5C">
              <w:rPr>
                <w:i/>
                <w:iCs/>
                <w:sz w:val="14"/>
                <w:szCs w:val="14"/>
                <w:vertAlign w:val="superscript"/>
              </w:rPr>
              <w:t>4</w:t>
            </w:r>
            <w:proofErr w:type="gramEnd"/>
          </w:p>
        </w:tc>
        <w:tc>
          <w:tcPr>
            <w:tcW w:w="1020" w:type="dxa"/>
            <w:tcBorders>
              <w:bottom w:val="single" w:sz="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r>
      <w:tr w:rsidR="00C37E5C" w:rsidRPr="00C37E5C" w:rsidTr="00C37E5C">
        <w:tc>
          <w:tcPr>
            <w:tcW w:w="1247"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Diagnostics embarqués</w:t>
            </w:r>
          </w:p>
        </w:tc>
        <w:tc>
          <w:tcPr>
            <w:tcW w:w="79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397"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850"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p>
        </w:tc>
        <w:tc>
          <w:tcPr>
            <w:tcW w:w="79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96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79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1020"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964"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c>
          <w:tcPr>
            <w:tcW w:w="1020" w:type="dxa"/>
            <w:tcBorders>
              <w:bottom w:val="single" w:sz="12" w:space="0" w:color="auto"/>
            </w:tcBorders>
            <w:shd w:val="clear" w:color="auto" w:fill="auto"/>
          </w:tcPr>
          <w:p w:rsidR="00C37E5C" w:rsidRPr="00C37E5C" w:rsidRDefault="00C37E5C" w:rsidP="00C37E5C">
            <w:pPr>
              <w:widowControl w:val="0"/>
              <w:suppressAutoHyphens w:val="0"/>
              <w:kinsoku w:val="0"/>
              <w:overflowPunct w:val="0"/>
              <w:autoSpaceDE w:val="0"/>
              <w:autoSpaceDN w:val="0"/>
              <w:adjustRightInd w:val="0"/>
              <w:snapToGrid w:val="0"/>
              <w:spacing w:before="60" w:after="60" w:line="200" w:lineRule="atLeast"/>
              <w:ind w:left="57" w:right="57"/>
              <w:rPr>
                <w:sz w:val="14"/>
                <w:szCs w:val="14"/>
              </w:rPr>
            </w:pPr>
            <w:r w:rsidRPr="00C37E5C">
              <w:rPr>
                <w:sz w:val="14"/>
                <w:szCs w:val="14"/>
              </w:rPr>
              <w:t>Oui</w:t>
            </w:r>
          </w:p>
        </w:tc>
      </w:tr>
    </w:tbl>
    <w:p w:rsidR="00C37E5C" w:rsidRPr="00C37E5C" w:rsidRDefault="00C37E5C" w:rsidP="00C37E5C">
      <w:pPr>
        <w:tabs>
          <w:tab w:val="right" w:pos="1021"/>
        </w:tabs>
        <w:kinsoku w:val="0"/>
        <w:overflowPunct w:val="0"/>
        <w:autoSpaceDE w:val="0"/>
        <w:autoSpaceDN w:val="0"/>
        <w:adjustRightInd w:val="0"/>
        <w:snapToGrid w:val="0"/>
        <w:spacing w:before="120" w:line="220" w:lineRule="exact"/>
        <w:ind w:firstLine="170"/>
        <w:rPr>
          <w:sz w:val="18"/>
        </w:rPr>
      </w:pPr>
      <w:r w:rsidRPr="00C37E5C">
        <w:rPr>
          <w:sz w:val="18"/>
          <w:vertAlign w:val="superscript"/>
        </w:rPr>
        <w:t>1</w:t>
      </w:r>
      <w:r w:rsidRPr="00C37E5C">
        <w:rPr>
          <w:sz w:val="18"/>
        </w:rPr>
        <w:t xml:space="preserve">  Lorsqu’un véhicule </w:t>
      </w:r>
      <w:proofErr w:type="spellStart"/>
      <w:r w:rsidRPr="00C37E5C">
        <w:rPr>
          <w:sz w:val="18"/>
        </w:rPr>
        <w:t>bicarburant</w:t>
      </w:r>
      <w:proofErr w:type="spellEnd"/>
      <w:r w:rsidRPr="00C37E5C">
        <w:rPr>
          <w:sz w:val="18"/>
        </w:rPr>
        <w:t xml:space="preserve"> est combiné à un véhicule </w:t>
      </w:r>
      <w:proofErr w:type="spellStart"/>
      <w:r w:rsidRPr="00C37E5C">
        <w:rPr>
          <w:sz w:val="18"/>
        </w:rPr>
        <w:t>polycarburant</w:t>
      </w:r>
      <w:proofErr w:type="spellEnd"/>
      <w:r w:rsidRPr="00C37E5C">
        <w:rPr>
          <w:sz w:val="18"/>
        </w:rPr>
        <w:t>, les deux prescriptions d’essai s’appliquent.</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2</w:t>
      </w:r>
      <w:r w:rsidRPr="00C37E5C">
        <w:rPr>
          <w:sz w:val="18"/>
        </w:rPr>
        <w:t xml:space="preserve">  Cette prescription est provisoire. D’autres prescriptions pour le </w:t>
      </w:r>
      <w:proofErr w:type="spellStart"/>
      <w:r w:rsidRPr="00C37E5C">
        <w:rPr>
          <w:sz w:val="18"/>
        </w:rPr>
        <w:t>biogazole</w:t>
      </w:r>
      <w:proofErr w:type="spellEnd"/>
      <w:r w:rsidRPr="00C37E5C">
        <w:rPr>
          <w:sz w:val="18"/>
        </w:rPr>
        <w:t xml:space="preserve"> et l’hydrogène seront proposées ultérieurement.</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3</w:t>
      </w:r>
      <w:r w:rsidRPr="00C37E5C">
        <w:rPr>
          <w:sz w:val="18"/>
        </w:rPr>
        <w:t xml:space="preserve">  Le carburant de référence E75 prescrit à l’annexe 10 doit être utilisé.</w:t>
      </w:r>
    </w:p>
    <w:p w:rsidR="00C37E5C" w:rsidRPr="00C37E5C" w:rsidRDefault="00C37E5C" w:rsidP="00C37E5C">
      <w:pPr>
        <w:tabs>
          <w:tab w:val="right" w:pos="1021"/>
        </w:tabs>
        <w:kinsoku w:val="0"/>
        <w:overflowPunct w:val="0"/>
        <w:autoSpaceDE w:val="0"/>
        <w:autoSpaceDN w:val="0"/>
        <w:adjustRightInd w:val="0"/>
        <w:snapToGrid w:val="0"/>
        <w:spacing w:after="240" w:line="220" w:lineRule="exact"/>
        <w:ind w:firstLine="170"/>
        <w:rPr>
          <w:sz w:val="18"/>
        </w:rPr>
      </w:pPr>
      <w:r w:rsidRPr="00C37E5C">
        <w:rPr>
          <w:sz w:val="18"/>
          <w:vertAlign w:val="superscript"/>
        </w:rPr>
        <w:t>4</w:t>
      </w:r>
      <w:r w:rsidRPr="00C37E5C">
        <w:rPr>
          <w:sz w:val="18"/>
        </w:rPr>
        <w:t xml:space="preserve">  Au choix du fabricant. Les véhicules à moteurs à allumage commandé et à allumage par compression peuvent être essayés avec soit les carburants E5 ou E10, soit les carburants B5 ou B7, respectivement.</w:t>
      </w:r>
      <w:r w:rsidRPr="00C37E5C">
        <w:t>».</w:t>
      </w:r>
    </w:p>
    <w:p w:rsidR="00C37E5C" w:rsidRPr="00C37E5C" w:rsidRDefault="00F54BF0" w:rsidP="00C37E5C">
      <w:pPr>
        <w:keepNext/>
        <w:kinsoku w:val="0"/>
        <w:overflowPunct w:val="0"/>
        <w:autoSpaceDE w:val="0"/>
        <w:autoSpaceDN w:val="0"/>
        <w:adjustRightInd w:val="0"/>
        <w:snapToGrid w:val="0"/>
        <w:spacing w:after="120"/>
        <w:ind w:left="1134" w:right="1134"/>
        <w:jc w:val="both"/>
      </w:pPr>
      <w:r>
        <w:rPr>
          <w:i/>
          <w:iCs/>
        </w:rPr>
        <w:br w:type="page"/>
      </w:r>
      <w:r w:rsidR="00C37E5C" w:rsidRPr="00C37E5C">
        <w:rPr>
          <w:i/>
          <w:iCs/>
        </w:rPr>
        <w:t>Paragraphe 5.3.7.3</w:t>
      </w:r>
      <w:r w:rsidR="00C37E5C" w:rsidRPr="00C37E5C">
        <w:t xml:space="preserve">, </w:t>
      </w:r>
      <w:proofErr w:type="gramStart"/>
      <w:r w:rsidR="00C37E5C" w:rsidRPr="00C37E5C">
        <w:t>modifier</w:t>
      </w:r>
      <w:proofErr w:type="gramEnd"/>
      <w:r w:rsidR="00C37E5C" w:rsidRPr="00C37E5C">
        <w:t xml:space="preserve"> comme suit: </w:t>
      </w:r>
    </w:p>
    <w:p w:rsidR="00C37E5C" w:rsidRPr="00C37E5C" w:rsidRDefault="00C37E5C" w:rsidP="00C37E5C">
      <w:pPr>
        <w:kinsoku w:val="0"/>
        <w:overflowPunct w:val="0"/>
        <w:autoSpaceDE w:val="0"/>
        <w:autoSpaceDN w:val="0"/>
        <w:adjustRightInd w:val="0"/>
        <w:snapToGrid w:val="0"/>
        <w:spacing w:after="120"/>
        <w:ind w:left="2268" w:right="1134" w:hanging="1134"/>
        <w:jc w:val="both"/>
        <w:rPr>
          <w:szCs w:val="24"/>
        </w:rPr>
      </w:pPr>
      <w:r w:rsidRPr="00C37E5C">
        <w:rPr>
          <w:szCs w:val="24"/>
        </w:rPr>
        <w:t>«5.3.7.3</w:t>
      </w:r>
      <w:r w:rsidRPr="00C37E5C">
        <w:rPr>
          <w:szCs w:val="24"/>
        </w:rPr>
        <w:tab/>
        <w:t>…</w:t>
      </w:r>
    </w:p>
    <w:p w:rsidR="00C37E5C" w:rsidRPr="00C37E5C" w:rsidRDefault="00F54BF0" w:rsidP="00C37E5C">
      <w:pPr>
        <w:kinsoku w:val="0"/>
        <w:overflowPunct w:val="0"/>
        <w:autoSpaceDE w:val="0"/>
        <w:autoSpaceDN w:val="0"/>
        <w:adjustRightInd w:val="0"/>
        <w:snapToGrid w:val="0"/>
        <w:spacing w:after="120"/>
        <w:ind w:left="2268" w:right="1134"/>
        <w:jc w:val="both"/>
        <w:rPr>
          <w:i/>
          <w:szCs w:val="24"/>
        </w:rPr>
      </w:pPr>
      <w:r w:rsidRPr="00C37E5C">
        <w:rPr>
          <w:position w:val="-52"/>
        </w:rPr>
        <w:object w:dxaOrig="5480"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81pt" o:ole="">
            <v:imagedata r:id="rId8" o:title=""/>
          </v:shape>
          <o:OLEObject Type="Embed" ProgID="Equation.3" ShapeID="_x0000_i1025" DrawAspect="Content" ObjectID="_1516108583" r:id="rId9"/>
        </w:object>
      </w:r>
    </w:p>
    <w:p w:rsidR="00C37E5C" w:rsidRPr="00C37E5C" w:rsidRDefault="00C37E5C" w:rsidP="00C37E5C">
      <w:pPr>
        <w:kinsoku w:val="0"/>
        <w:overflowPunct w:val="0"/>
        <w:autoSpaceDE w:val="0"/>
        <w:autoSpaceDN w:val="0"/>
        <w:adjustRightInd w:val="0"/>
        <w:snapToGrid w:val="0"/>
        <w:spacing w:after="120"/>
        <w:ind w:left="2268" w:right="1134"/>
        <w:jc w:val="both"/>
      </w:pPr>
      <w:r w:rsidRPr="00C37E5C">
        <w:t>Où:</w:t>
      </w:r>
    </w:p>
    <w:p w:rsidR="00C37E5C" w:rsidRPr="00C37E5C" w:rsidRDefault="00C37E5C" w:rsidP="00C37E5C">
      <w:pPr>
        <w:tabs>
          <w:tab w:val="left" w:pos="2608"/>
          <w:tab w:val="left" w:pos="2835"/>
        </w:tabs>
        <w:kinsoku w:val="0"/>
        <w:overflowPunct w:val="0"/>
        <w:autoSpaceDE w:val="0"/>
        <w:autoSpaceDN w:val="0"/>
        <w:adjustRightInd w:val="0"/>
        <w:snapToGrid w:val="0"/>
        <w:spacing w:after="120"/>
        <w:ind w:left="3402" w:right="1134" w:hanging="1134"/>
        <w:jc w:val="both"/>
        <w:rPr>
          <w:szCs w:val="24"/>
        </w:rPr>
      </w:pPr>
      <w:r w:rsidRPr="00C37E5C">
        <w:rPr>
          <w:szCs w:val="24"/>
        </w:rPr>
        <w:t>[ ]</w:t>
      </w:r>
      <w:r w:rsidRPr="00C37E5C">
        <w:rPr>
          <w:szCs w:val="24"/>
        </w:rPr>
        <w:tab/>
        <w:t>=</w:t>
      </w:r>
      <w:r w:rsidRPr="00C37E5C">
        <w:rPr>
          <w:szCs w:val="24"/>
        </w:rPr>
        <w:tab/>
        <w:t>concentration en % vol,</w:t>
      </w:r>
    </w:p>
    <w:p w:rsidR="00C37E5C" w:rsidRPr="00C37E5C" w:rsidRDefault="00C37E5C" w:rsidP="00C37E5C">
      <w:pPr>
        <w:tabs>
          <w:tab w:val="left" w:pos="2608"/>
          <w:tab w:val="left" w:pos="2835"/>
        </w:tabs>
        <w:kinsoku w:val="0"/>
        <w:overflowPunct w:val="0"/>
        <w:autoSpaceDE w:val="0"/>
        <w:autoSpaceDN w:val="0"/>
        <w:adjustRightInd w:val="0"/>
        <w:snapToGrid w:val="0"/>
        <w:spacing w:after="120"/>
        <w:ind w:left="2835" w:right="1134" w:hanging="567"/>
        <w:jc w:val="both"/>
        <w:rPr>
          <w:szCs w:val="24"/>
        </w:rPr>
      </w:pPr>
      <w:r w:rsidRPr="00C37E5C">
        <w:rPr>
          <w:szCs w:val="24"/>
        </w:rPr>
        <w:t>K1</w:t>
      </w:r>
      <w:r w:rsidRPr="00C37E5C">
        <w:rPr>
          <w:szCs w:val="24"/>
        </w:rPr>
        <w:tab/>
        <w:t>=</w:t>
      </w:r>
      <w:r w:rsidRPr="00C37E5C">
        <w:rPr>
          <w:szCs w:val="24"/>
        </w:rPr>
        <w:tab/>
        <w:t>facteur de conversion de la mesure au moyen d’un analyseur de gaz infrarouge non dispersif (NDIR) dans la mesure au moyen d’un détecteur à ionisation de flamme (FID) (communiqué par le fabricant de l’appareillage de mesure),</w:t>
      </w:r>
    </w:p>
    <w:p w:rsidR="00C37E5C" w:rsidRPr="00C37E5C" w:rsidRDefault="00C37E5C" w:rsidP="00C37E5C">
      <w:pPr>
        <w:tabs>
          <w:tab w:val="left" w:pos="2608"/>
          <w:tab w:val="left" w:pos="2835"/>
        </w:tabs>
        <w:kinsoku w:val="0"/>
        <w:overflowPunct w:val="0"/>
        <w:autoSpaceDE w:val="0"/>
        <w:autoSpaceDN w:val="0"/>
        <w:adjustRightInd w:val="0"/>
        <w:snapToGrid w:val="0"/>
        <w:spacing w:after="120"/>
        <w:ind w:left="3402" w:right="1134" w:hanging="1134"/>
        <w:jc w:val="both"/>
        <w:rPr>
          <w:szCs w:val="24"/>
        </w:rPr>
      </w:pPr>
      <w:r w:rsidRPr="00C37E5C">
        <w:rPr>
          <w:szCs w:val="24"/>
        </w:rPr>
        <w:t>H</w:t>
      </w:r>
      <w:r w:rsidRPr="00C37E5C">
        <w:rPr>
          <w:szCs w:val="24"/>
          <w:vertAlign w:val="subscript"/>
        </w:rPr>
        <w:t>cv</w:t>
      </w:r>
      <w:r w:rsidRPr="00C37E5C">
        <w:rPr>
          <w:szCs w:val="24"/>
          <w:vertAlign w:val="subscript"/>
        </w:rPr>
        <w:tab/>
      </w:r>
      <w:r w:rsidRPr="00C37E5C">
        <w:rPr>
          <w:szCs w:val="24"/>
        </w:rPr>
        <w:t>=</w:t>
      </w:r>
      <w:r w:rsidRPr="00C37E5C">
        <w:rPr>
          <w:szCs w:val="24"/>
          <w:vertAlign w:val="subscript"/>
        </w:rPr>
        <w:tab/>
      </w:r>
      <w:r w:rsidRPr="00C37E5C">
        <w:rPr>
          <w:szCs w:val="24"/>
        </w:rPr>
        <w:t>rapport atomique hydrogène/carbone:</w:t>
      </w:r>
    </w:p>
    <w:p w:rsidR="00C37E5C" w:rsidRPr="00C37E5C" w:rsidRDefault="00C37E5C" w:rsidP="00C37E5C">
      <w:pPr>
        <w:kinsoku w:val="0"/>
        <w:overflowPunct w:val="0"/>
        <w:autoSpaceDE w:val="0"/>
        <w:autoSpaceDN w:val="0"/>
        <w:adjustRightInd w:val="0"/>
        <w:snapToGrid w:val="0"/>
        <w:spacing w:after="120"/>
        <w:ind w:left="2835" w:right="1134"/>
        <w:jc w:val="both"/>
      </w:pPr>
      <w:r w:rsidRPr="00C37E5C">
        <w:t>a) pour l’essence (E5) 1,89;</w:t>
      </w:r>
    </w:p>
    <w:p w:rsidR="00C37E5C" w:rsidRPr="00C37E5C" w:rsidRDefault="00C37E5C" w:rsidP="00C37E5C">
      <w:pPr>
        <w:kinsoku w:val="0"/>
        <w:overflowPunct w:val="0"/>
        <w:autoSpaceDE w:val="0"/>
        <w:autoSpaceDN w:val="0"/>
        <w:adjustRightInd w:val="0"/>
        <w:snapToGrid w:val="0"/>
        <w:spacing w:after="120"/>
        <w:ind w:left="2835" w:right="1134"/>
        <w:jc w:val="both"/>
      </w:pPr>
      <w:r w:rsidRPr="00C37E5C">
        <w:t>b) pour l’essence (E10) 1,93;</w:t>
      </w:r>
    </w:p>
    <w:p w:rsidR="00C37E5C" w:rsidRPr="00C37E5C" w:rsidRDefault="00C37E5C" w:rsidP="00C37E5C">
      <w:pPr>
        <w:kinsoku w:val="0"/>
        <w:overflowPunct w:val="0"/>
        <w:autoSpaceDE w:val="0"/>
        <w:autoSpaceDN w:val="0"/>
        <w:adjustRightInd w:val="0"/>
        <w:snapToGrid w:val="0"/>
        <w:spacing w:after="120"/>
        <w:ind w:left="2835" w:right="1134"/>
        <w:jc w:val="both"/>
      </w:pPr>
      <w:r w:rsidRPr="00C37E5C">
        <w:t>c) pour le GPL 2,53;</w:t>
      </w:r>
    </w:p>
    <w:p w:rsidR="00C37E5C" w:rsidRPr="00C37E5C" w:rsidRDefault="00C37E5C" w:rsidP="00C37E5C">
      <w:pPr>
        <w:kinsoku w:val="0"/>
        <w:overflowPunct w:val="0"/>
        <w:autoSpaceDE w:val="0"/>
        <w:autoSpaceDN w:val="0"/>
        <w:adjustRightInd w:val="0"/>
        <w:snapToGrid w:val="0"/>
        <w:spacing w:after="120"/>
        <w:ind w:left="2835" w:right="1134"/>
        <w:jc w:val="both"/>
      </w:pPr>
      <w:r w:rsidRPr="00C37E5C">
        <w:t>d) pour le GN/biométhane 4,00;</w:t>
      </w:r>
    </w:p>
    <w:p w:rsidR="00C37E5C" w:rsidRPr="00C37E5C" w:rsidRDefault="00C37E5C" w:rsidP="00C37E5C">
      <w:pPr>
        <w:kinsoku w:val="0"/>
        <w:overflowPunct w:val="0"/>
        <w:autoSpaceDE w:val="0"/>
        <w:autoSpaceDN w:val="0"/>
        <w:adjustRightInd w:val="0"/>
        <w:snapToGrid w:val="0"/>
        <w:spacing w:after="120"/>
        <w:ind w:left="2835" w:right="1134"/>
        <w:jc w:val="both"/>
      </w:pPr>
      <w:r w:rsidRPr="00C37E5C">
        <w:t>e) pour l’éthanol (E85) 2,74;</w:t>
      </w:r>
    </w:p>
    <w:p w:rsidR="00C37E5C" w:rsidRPr="00C37E5C" w:rsidRDefault="00C37E5C" w:rsidP="00C37E5C">
      <w:pPr>
        <w:kinsoku w:val="0"/>
        <w:overflowPunct w:val="0"/>
        <w:autoSpaceDE w:val="0"/>
        <w:autoSpaceDN w:val="0"/>
        <w:adjustRightInd w:val="0"/>
        <w:snapToGrid w:val="0"/>
        <w:spacing w:after="120"/>
        <w:ind w:left="2835" w:right="1134"/>
        <w:jc w:val="both"/>
      </w:pPr>
      <w:r w:rsidRPr="00C37E5C">
        <w:t>f) pour l’éthanol (E75) 2,61,</w:t>
      </w:r>
    </w:p>
    <w:p w:rsidR="00C37E5C" w:rsidRPr="00C37E5C" w:rsidRDefault="00C37E5C" w:rsidP="00C37E5C">
      <w:pPr>
        <w:tabs>
          <w:tab w:val="left" w:pos="2608"/>
          <w:tab w:val="left" w:pos="2835"/>
        </w:tabs>
        <w:kinsoku w:val="0"/>
        <w:overflowPunct w:val="0"/>
        <w:autoSpaceDE w:val="0"/>
        <w:autoSpaceDN w:val="0"/>
        <w:adjustRightInd w:val="0"/>
        <w:snapToGrid w:val="0"/>
        <w:spacing w:after="120"/>
        <w:ind w:left="3402" w:right="1134" w:hanging="1134"/>
        <w:jc w:val="both"/>
        <w:rPr>
          <w:szCs w:val="24"/>
        </w:rPr>
      </w:pPr>
      <w:r w:rsidRPr="00C37E5C">
        <w:rPr>
          <w:szCs w:val="24"/>
        </w:rPr>
        <w:t>O</w:t>
      </w:r>
      <w:r w:rsidRPr="00C37E5C">
        <w:rPr>
          <w:szCs w:val="24"/>
          <w:vertAlign w:val="subscript"/>
        </w:rPr>
        <w:t>cv</w:t>
      </w:r>
      <w:r w:rsidRPr="00C37E5C">
        <w:rPr>
          <w:szCs w:val="24"/>
          <w:vertAlign w:val="subscript"/>
        </w:rPr>
        <w:tab/>
      </w:r>
      <w:r w:rsidRPr="00C37E5C">
        <w:rPr>
          <w:szCs w:val="24"/>
        </w:rPr>
        <w:t>=</w:t>
      </w:r>
      <w:r w:rsidRPr="00C37E5C">
        <w:rPr>
          <w:szCs w:val="24"/>
        </w:rPr>
        <w:tab/>
        <w:t>rapport atomique oxygène/carbone:</w:t>
      </w:r>
    </w:p>
    <w:p w:rsidR="00C37E5C" w:rsidRPr="00C37E5C" w:rsidRDefault="00C37E5C" w:rsidP="00C37E5C">
      <w:pPr>
        <w:kinsoku w:val="0"/>
        <w:overflowPunct w:val="0"/>
        <w:autoSpaceDE w:val="0"/>
        <w:autoSpaceDN w:val="0"/>
        <w:adjustRightInd w:val="0"/>
        <w:snapToGrid w:val="0"/>
        <w:spacing w:after="120"/>
        <w:ind w:left="2835" w:right="1134"/>
        <w:jc w:val="both"/>
        <w:rPr>
          <w:szCs w:val="24"/>
        </w:rPr>
      </w:pPr>
      <w:r w:rsidRPr="00C37E5C">
        <w:rPr>
          <w:szCs w:val="24"/>
        </w:rPr>
        <w:t>a) pour l’essence (E5) 0,016;</w:t>
      </w:r>
    </w:p>
    <w:p w:rsidR="00C37E5C" w:rsidRPr="00C37E5C" w:rsidRDefault="00C37E5C" w:rsidP="00C37E5C">
      <w:pPr>
        <w:kinsoku w:val="0"/>
        <w:overflowPunct w:val="0"/>
        <w:autoSpaceDE w:val="0"/>
        <w:autoSpaceDN w:val="0"/>
        <w:adjustRightInd w:val="0"/>
        <w:snapToGrid w:val="0"/>
        <w:spacing w:after="120"/>
        <w:ind w:left="2835" w:right="1134"/>
        <w:jc w:val="both"/>
        <w:rPr>
          <w:szCs w:val="24"/>
        </w:rPr>
      </w:pPr>
      <w:r w:rsidRPr="00C37E5C">
        <w:rPr>
          <w:szCs w:val="24"/>
        </w:rPr>
        <w:t>b) pour l’essence (E10) 0,033;</w:t>
      </w:r>
    </w:p>
    <w:p w:rsidR="00C37E5C" w:rsidRPr="00C37E5C" w:rsidRDefault="00C37E5C" w:rsidP="00C37E5C">
      <w:pPr>
        <w:kinsoku w:val="0"/>
        <w:overflowPunct w:val="0"/>
        <w:autoSpaceDE w:val="0"/>
        <w:autoSpaceDN w:val="0"/>
        <w:adjustRightInd w:val="0"/>
        <w:snapToGrid w:val="0"/>
        <w:spacing w:after="120"/>
        <w:ind w:left="2835" w:right="1134"/>
        <w:jc w:val="both"/>
        <w:rPr>
          <w:szCs w:val="24"/>
        </w:rPr>
      </w:pPr>
      <w:r w:rsidRPr="00C37E5C">
        <w:rPr>
          <w:szCs w:val="24"/>
        </w:rPr>
        <w:t>c) pour le GPL 0,00;</w:t>
      </w:r>
    </w:p>
    <w:p w:rsidR="00C37E5C" w:rsidRPr="00C37E5C" w:rsidRDefault="00C37E5C" w:rsidP="00C37E5C">
      <w:pPr>
        <w:kinsoku w:val="0"/>
        <w:overflowPunct w:val="0"/>
        <w:autoSpaceDE w:val="0"/>
        <w:autoSpaceDN w:val="0"/>
        <w:adjustRightInd w:val="0"/>
        <w:snapToGrid w:val="0"/>
        <w:spacing w:after="120"/>
        <w:ind w:left="2835" w:right="1134"/>
        <w:jc w:val="both"/>
        <w:rPr>
          <w:szCs w:val="24"/>
        </w:rPr>
      </w:pPr>
      <w:r w:rsidRPr="00C37E5C">
        <w:rPr>
          <w:szCs w:val="24"/>
        </w:rPr>
        <w:t>d) pour le GN/biométhane 0,00;</w:t>
      </w:r>
    </w:p>
    <w:p w:rsidR="00C37E5C" w:rsidRPr="00C37E5C" w:rsidRDefault="00C37E5C" w:rsidP="00C37E5C">
      <w:pPr>
        <w:kinsoku w:val="0"/>
        <w:overflowPunct w:val="0"/>
        <w:autoSpaceDE w:val="0"/>
        <w:autoSpaceDN w:val="0"/>
        <w:adjustRightInd w:val="0"/>
        <w:snapToGrid w:val="0"/>
        <w:spacing w:after="120"/>
        <w:ind w:left="2835" w:right="1134"/>
        <w:jc w:val="both"/>
        <w:rPr>
          <w:szCs w:val="24"/>
        </w:rPr>
      </w:pPr>
      <w:r w:rsidRPr="00C37E5C">
        <w:rPr>
          <w:szCs w:val="24"/>
        </w:rPr>
        <w:t>e) pour l’éthanol (E85) 0,39;</w:t>
      </w:r>
    </w:p>
    <w:p w:rsidR="00C37E5C" w:rsidRPr="00C37E5C" w:rsidRDefault="00C37E5C" w:rsidP="00C37E5C">
      <w:pPr>
        <w:kinsoku w:val="0"/>
        <w:overflowPunct w:val="0"/>
        <w:autoSpaceDE w:val="0"/>
        <w:autoSpaceDN w:val="0"/>
        <w:adjustRightInd w:val="0"/>
        <w:snapToGrid w:val="0"/>
        <w:spacing w:after="120"/>
        <w:ind w:left="2835" w:right="1134"/>
        <w:jc w:val="both"/>
        <w:rPr>
          <w:szCs w:val="24"/>
        </w:rPr>
      </w:pPr>
      <w:r w:rsidRPr="00C37E5C">
        <w:rPr>
          <w:szCs w:val="24"/>
        </w:rPr>
        <w:t>f) pour l’éthanol (E75) 0,329.».</w:t>
      </w:r>
    </w:p>
    <w:p w:rsidR="00F54BF0" w:rsidRPr="00C37E5C" w:rsidRDefault="00F54BF0" w:rsidP="00F54BF0">
      <w:pPr>
        <w:keepNext/>
        <w:kinsoku w:val="0"/>
        <w:overflowPunct w:val="0"/>
        <w:autoSpaceDE w:val="0"/>
        <w:autoSpaceDN w:val="0"/>
        <w:adjustRightInd w:val="0"/>
        <w:snapToGrid w:val="0"/>
        <w:spacing w:after="120"/>
        <w:ind w:left="1134" w:right="1134"/>
        <w:jc w:val="both"/>
      </w:pPr>
      <w:r w:rsidRPr="00C37E5C">
        <w:rPr>
          <w:i/>
        </w:rPr>
        <w:t>Paragraphe 9.3.5.2</w:t>
      </w:r>
      <w:r w:rsidRPr="00C37E5C">
        <w:t>, modifier comme suit:</w:t>
      </w:r>
    </w:p>
    <w:p w:rsidR="00F54BF0" w:rsidRPr="00C37E5C" w:rsidRDefault="00F54BF0" w:rsidP="00F54BF0">
      <w:pPr>
        <w:kinsoku w:val="0"/>
        <w:overflowPunct w:val="0"/>
        <w:autoSpaceDE w:val="0"/>
        <w:autoSpaceDN w:val="0"/>
        <w:adjustRightInd w:val="0"/>
        <w:snapToGrid w:val="0"/>
        <w:spacing w:after="120"/>
        <w:ind w:left="2268" w:right="1134" w:hanging="1134"/>
        <w:jc w:val="both"/>
      </w:pPr>
      <w:r w:rsidRPr="00C37E5C">
        <w:t>«9.3.5.2</w:t>
      </w:r>
      <w:r w:rsidRPr="00C37E5C">
        <w:tab/>
        <w:t>Pour l’IUPR, le nombre de lots d’échantillons à prélever figure dans le tableau 4 et dépend du nombre de véhicules d’une famille de systèmes OBD qui sont homologués avec l’IUPR (soumis à échantillonnage).</w:t>
      </w:r>
    </w:p>
    <w:p w:rsidR="00F54BF0" w:rsidRPr="00C37E5C" w:rsidRDefault="00F54BF0" w:rsidP="00F54BF0">
      <w:pPr>
        <w:kinsoku w:val="0"/>
        <w:overflowPunct w:val="0"/>
        <w:autoSpaceDE w:val="0"/>
        <w:autoSpaceDN w:val="0"/>
        <w:adjustRightInd w:val="0"/>
        <w:snapToGrid w:val="0"/>
        <w:spacing w:after="120"/>
        <w:ind w:left="2268" w:right="1134"/>
        <w:jc w:val="both"/>
      </w:pPr>
      <w:r w:rsidRPr="00C37E5C">
        <w:t>Pour la première période d’échantillonnage d’une famille de systèmes OBD, tous les types de véhicules de la famille qui sont homologués avec l’IUPR sont susceptibles d’être soumis à échantillonnage. Pour les périodes d’échantillonnage ultérieures, seuls les types de véhicules n’ayant pas encore été mis à l’essai, ou les types de véhicules couverts par des homologations concernant les émissions qui ont été étendues depuis la période précédente, doivent être pris en considération pour l’échantillonnage.</w:t>
      </w:r>
    </w:p>
    <w:p w:rsidR="00F54BF0" w:rsidRPr="00C37E5C" w:rsidRDefault="00F54BF0" w:rsidP="00F54BF0">
      <w:pPr>
        <w:keepNext/>
        <w:keepLines/>
        <w:kinsoku w:val="0"/>
        <w:overflowPunct w:val="0"/>
        <w:autoSpaceDE w:val="0"/>
        <w:autoSpaceDN w:val="0"/>
        <w:adjustRightInd w:val="0"/>
        <w:snapToGrid w:val="0"/>
        <w:spacing w:after="120"/>
        <w:ind w:left="2268" w:right="1134"/>
        <w:jc w:val="both"/>
        <w:rPr>
          <w:szCs w:val="24"/>
        </w:rPr>
      </w:pPr>
      <w:r w:rsidRPr="00C37E5C">
        <w:rPr>
          <w:szCs w:val="24"/>
        </w:rPr>
        <w:t>Pour les familles comptant moins de 5 000 immatriculations soumises à échantillonnage au cours de la période considérée, le nombre minimum de véhicules par lot d’échantillons est de six. Pour toutes les autres familles, le nombre minimum de véhicules par lot d’échantillons est de 15.</w:t>
      </w:r>
    </w:p>
    <w:p w:rsidR="00F54BF0" w:rsidRPr="00C37E5C" w:rsidRDefault="00F54BF0" w:rsidP="00F54BF0">
      <w:pPr>
        <w:kinsoku w:val="0"/>
        <w:overflowPunct w:val="0"/>
        <w:autoSpaceDE w:val="0"/>
        <w:autoSpaceDN w:val="0"/>
        <w:adjustRightInd w:val="0"/>
        <w:snapToGrid w:val="0"/>
        <w:spacing w:after="120"/>
        <w:ind w:left="2268" w:right="1134"/>
        <w:jc w:val="both"/>
        <w:rPr>
          <w:szCs w:val="24"/>
        </w:rPr>
      </w:pPr>
      <w:r w:rsidRPr="00C37E5C">
        <w:rPr>
          <w:szCs w:val="24"/>
        </w:rPr>
        <w:t>Chaque lot d’échantillons doit rendre correctement compte de la répartition des ventes, de telle sorte qu’au moins les types de véhicules les plus vendus (au moins 20 % de l’ensemble des ventes de la famille) soient représentés.</w:t>
      </w:r>
    </w:p>
    <w:p w:rsidR="00F54BF0" w:rsidRPr="00C37E5C" w:rsidRDefault="00F54BF0" w:rsidP="00F54BF0">
      <w:pPr>
        <w:kinsoku w:val="0"/>
        <w:overflowPunct w:val="0"/>
        <w:autoSpaceDE w:val="0"/>
        <w:autoSpaceDN w:val="0"/>
        <w:adjustRightInd w:val="0"/>
        <w:snapToGrid w:val="0"/>
        <w:spacing w:after="120"/>
        <w:ind w:left="2268" w:right="1134"/>
        <w:jc w:val="both"/>
        <w:rPr>
          <w:szCs w:val="24"/>
        </w:rPr>
      </w:pPr>
      <w:r w:rsidRPr="00C37E5C">
        <w:rPr>
          <w:szCs w:val="24"/>
        </w:rPr>
        <w:t>Pour les véhicules produits en séries limitées de moins de 1 000 unités par famille de systèmes OBD, il n’est pas nécessaire de satisfaire aux exigences minimales de l’IUPR ni à l’obligation de le démontrer à l’autorité d’homologation.».</w:t>
      </w:r>
    </w:p>
    <w:p w:rsidR="00C37E5C" w:rsidRPr="00C37E5C" w:rsidRDefault="00C37E5C" w:rsidP="00C37E5C">
      <w:pPr>
        <w:keepNext/>
        <w:kinsoku w:val="0"/>
        <w:overflowPunct w:val="0"/>
        <w:autoSpaceDE w:val="0"/>
        <w:autoSpaceDN w:val="0"/>
        <w:adjustRightInd w:val="0"/>
        <w:snapToGrid w:val="0"/>
        <w:spacing w:after="120"/>
        <w:ind w:left="1134" w:right="1134"/>
        <w:jc w:val="both"/>
        <w:rPr>
          <w:i/>
          <w:szCs w:val="24"/>
        </w:rPr>
      </w:pPr>
      <w:r w:rsidRPr="00C37E5C">
        <w:rPr>
          <w:i/>
          <w:szCs w:val="24"/>
        </w:rPr>
        <w:t xml:space="preserve">Annexe </w:t>
      </w:r>
      <w:r w:rsidRPr="00C37E5C">
        <w:rPr>
          <w:i/>
          <w:iCs/>
        </w:rPr>
        <w:t>4A</w:t>
      </w:r>
      <w:r w:rsidRPr="00C37E5C">
        <w:t>,</w:t>
      </w:r>
    </w:p>
    <w:p w:rsidR="00C37E5C" w:rsidRPr="00C37E5C" w:rsidRDefault="00C37E5C" w:rsidP="00C37E5C">
      <w:pPr>
        <w:kinsoku w:val="0"/>
        <w:overflowPunct w:val="0"/>
        <w:autoSpaceDE w:val="0"/>
        <w:autoSpaceDN w:val="0"/>
        <w:adjustRightInd w:val="0"/>
        <w:snapToGrid w:val="0"/>
        <w:spacing w:after="120"/>
        <w:ind w:left="1134" w:right="1134"/>
        <w:jc w:val="both"/>
        <w:rPr>
          <w:szCs w:val="24"/>
        </w:rPr>
      </w:pPr>
      <w:r w:rsidRPr="00C37E5C">
        <w:rPr>
          <w:i/>
          <w:szCs w:val="24"/>
        </w:rPr>
        <w:t>Paragraphe 6.6.2</w:t>
      </w:r>
      <w:r w:rsidRPr="00C37E5C">
        <w:rPr>
          <w:szCs w:val="24"/>
        </w:rPr>
        <w:t xml:space="preserve">, modifier comme </w:t>
      </w:r>
      <w:r w:rsidRPr="00C37E5C">
        <w:t>suit</w:t>
      </w:r>
      <w:r w:rsidRPr="00C37E5C">
        <w:rPr>
          <w:szCs w:val="24"/>
        </w:rPr>
        <w:t xml:space="preserve">: </w:t>
      </w:r>
    </w:p>
    <w:p w:rsidR="00C37E5C" w:rsidRPr="00C37E5C" w:rsidRDefault="00C37E5C" w:rsidP="00C37E5C">
      <w:pPr>
        <w:kinsoku w:val="0"/>
        <w:overflowPunct w:val="0"/>
        <w:autoSpaceDE w:val="0"/>
        <w:autoSpaceDN w:val="0"/>
        <w:adjustRightInd w:val="0"/>
        <w:snapToGrid w:val="0"/>
        <w:spacing w:after="120"/>
        <w:ind w:left="2268" w:right="1134" w:hanging="1134"/>
        <w:jc w:val="both"/>
        <w:rPr>
          <w:szCs w:val="24"/>
        </w:rPr>
      </w:pPr>
      <w:r w:rsidRPr="00C37E5C">
        <w:rPr>
          <w:szCs w:val="24"/>
        </w:rPr>
        <w:t>«6.6.2</w:t>
      </w:r>
      <w:r w:rsidRPr="00C37E5C">
        <w:rPr>
          <w:szCs w:val="24"/>
        </w:rPr>
        <w:tab/>
      </w:r>
      <w:r w:rsidRPr="00C37E5C">
        <w:t>Masse</w:t>
      </w:r>
      <w:r w:rsidRPr="00C37E5C">
        <w:rPr>
          <w:szCs w:val="24"/>
        </w:rPr>
        <w:t xml:space="preserve"> totale de gaz polluants et de particules polluantes émis</w:t>
      </w:r>
    </w:p>
    <w:p w:rsidR="00C37E5C" w:rsidRPr="00C37E5C" w:rsidRDefault="00C37E5C" w:rsidP="00C37E5C">
      <w:pPr>
        <w:kinsoku w:val="0"/>
        <w:overflowPunct w:val="0"/>
        <w:autoSpaceDE w:val="0"/>
        <w:autoSpaceDN w:val="0"/>
        <w:adjustRightInd w:val="0"/>
        <w:snapToGrid w:val="0"/>
        <w:spacing w:after="120"/>
        <w:ind w:left="2268" w:right="1134"/>
        <w:jc w:val="both"/>
      </w:pPr>
      <w:r w:rsidRPr="00C37E5C">
        <w:t>La masse M de chaque polluant émis par le véhicule au cours de l’essai doit être déterminée en calculant le produit de la concentration volumique et du volume de gaz considéré en se fondant sur les valeurs de masse volumique suivantes dans les conditions de référence précitées:</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rPr>
          <w:szCs w:val="24"/>
        </w:rPr>
      </w:pPr>
      <w:r w:rsidRPr="00C37E5C">
        <w:rPr>
          <w:szCs w:val="24"/>
        </w:rPr>
        <w:t xml:space="preserve">Pour le </w:t>
      </w:r>
      <w:r w:rsidRPr="00C37E5C">
        <w:t>monoxyde</w:t>
      </w:r>
      <w:r w:rsidRPr="00C37E5C">
        <w:rPr>
          <w:szCs w:val="24"/>
        </w:rPr>
        <w:t xml:space="preserve"> de carbone (CO):</w:t>
      </w:r>
      <w:r w:rsidRPr="00C37E5C">
        <w:rPr>
          <w:szCs w:val="24"/>
        </w:rPr>
        <w:tab/>
        <w:t>d = 1,25 g/l</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les hydrocarbures:</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l’essence (E5) (C</w:t>
      </w:r>
      <w:r w:rsidRPr="00C37E5C">
        <w:rPr>
          <w:vertAlign w:val="subscript"/>
        </w:rPr>
        <w:t>1</w:t>
      </w:r>
      <w:r w:rsidRPr="00C37E5C">
        <w:t>H</w:t>
      </w:r>
      <w:r w:rsidRPr="00C37E5C">
        <w:rPr>
          <w:vertAlign w:val="subscript"/>
        </w:rPr>
        <w:t>1,89</w:t>
      </w:r>
      <w:r w:rsidRPr="00C37E5C">
        <w:t>O</w:t>
      </w:r>
      <w:r w:rsidRPr="00C37E5C">
        <w:rPr>
          <w:vertAlign w:val="subscript"/>
        </w:rPr>
        <w:t>0,016</w:t>
      </w:r>
      <w:r w:rsidRPr="00C37E5C">
        <w:t>)</w:t>
      </w:r>
      <w:r w:rsidRPr="00C37E5C">
        <w:tab/>
        <w:t>d = 0,631 g/1</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l’essence (E10) (C</w:t>
      </w:r>
      <w:r w:rsidRPr="00C37E5C">
        <w:rPr>
          <w:vertAlign w:val="subscript"/>
        </w:rPr>
        <w:t>1</w:t>
      </w:r>
      <w:r w:rsidRPr="00C37E5C">
        <w:t>H</w:t>
      </w:r>
      <w:r w:rsidRPr="00C37E5C">
        <w:rPr>
          <w:vertAlign w:val="subscript"/>
        </w:rPr>
        <w:t>1,93</w:t>
      </w:r>
      <w:r w:rsidRPr="00C37E5C">
        <w:t>O</w:t>
      </w:r>
      <w:r w:rsidRPr="00C37E5C">
        <w:rPr>
          <w:vertAlign w:val="subscript"/>
        </w:rPr>
        <w:t>0,033</w:t>
      </w:r>
      <w:r w:rsidRPr="00C37E5C">
        <w:t>)</w:t>
      </w:r>
      <w:r w:rsidRPr="00C37E5C">
        <w:tab/>
        <w:t>d = 0,645 g/1</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 gazole (B5) (C</w:t>
      </w:r>
      <w:r w:rsidRPr="00C37E5C">
        <w:rPr>
          <w:vertAlign w:val="subscript"/>
        </w:rPr>
        <w:t>1</w:t>
      </w:r>
      <w:r w:rsidRPr="00C37E5C">
        <w:t>H</w:t>
      </w:r>
      <w:r w:rsidRPr="00C37E5C">
        <w:rPr>
          <w:vertAlign w:val="subscript"/>
        </w:rPr>
        <w:t>l,86</w:t>
      </w:r>
      <w:r w:rsidRPr="00C37E5C">
        <w:t>O</w:t>
      </w:r>
      <w:r w:rsidRPr="00C37E5C">
        <w:rPr>
          <w:vertAlign w:val="subscript"/>
        </w:rPr>
        <w:t>0,005</w:t>
      </w:r>
      <w:r w:rsidRPr="00C37E5C">
        <w:t>)</w:t>
      </w:r>
      <w:r w:rsidRPr="00C37E5C">
        <w:tab/>
        <w:t>d = 0,622 g/1</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 gazole (B7) (C</w:t>
      </w:r>
      <w:r w:rsidRPr="00C37E5C">
        <w:rPr>
          <w:vertAlign w:val="subscript"/>
        </w:rPr>
        <w:t>1</w:t>
      </w:r>
      <w:r w:rsidRPr="00C37E5C">
        <w:t>H</w:t>
      </w:r>
      <w:r w:rsidRPr="00C37E5C">
        <w:rPr>
          <w:vertAlign w:val="subscript"/>
        </w:rPr>
        <w:t>l,86</w:t>
      </w:r>
      <w:r w:rsidRPr="00C37E5C">
        <w:t>O</w:t>
      </w:r>
      <w:r w:rsidRPr="00C37E5C">
        <w:rPr>
          <w:vertAlign w:val="subscript"/>
        </w:rPr>
        <w:t>0,007</w:t>
      </w:r>
      <w:r w:rsidRPr="00C37E5C">
        <w:t>)</w:t>
      </w:r>
      <w:r w:rsidRPr="00C37E5C">
        <w:tab/>
        <w:t>d = 0,623 g/1</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 GPL (CH</w:t>
      </w:r>
      <w:r w:rsidRPr="00C37E5C">
        <w:rPr>
          <w:vertAlign w:val="subscript"/>
        </w:rPr>
        <w:t>2,525</w:t>
      </w:r>
      <w:r w:rsidRPr="00C37E5C">
        <w:t>)</w:t>
      </w:r>
      <w:r w:rsidRPr="00C37E5C">
        <w:tab/>
        <w:t>d = 0,649 g/l</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le GN/biométhane (C</w:t>
      </w:r>
      <w:r w:rsidRPr="00C37E5C">
        <w:rPr>
          <w:vertAlign w:val="subscript"/>
        </w:rPr>
        <w:t>1</w:t>
      </w:r>
      <w:r w:rsidRPr="00C37E5C">
        <w:t>H</w:t>
      </w:r>
      <w:r w:rsidRPr="00C37E5C">
        <w:rPr>
          <w:vertAlign w:val="subscript"/>
        </w:rPr>
        <w:t>4</w:t>
      </w:r>
      <w:r w:rsidRPr="00C37E5C">
        <w:t>)</w:t>
      </w:r>
      <w:r w:rsidRPr="00C37E5C">
        <w:tab/>
        <w:t>d = 0,714 g/l</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l’éthanol (E85) (C</w:t>
      </w:r>
      <w:r w:rsidRPr="00C37E5C">
        <w:rPr>
          <w:vertAlign w:val="subscript"/>
        </w:rPr>
        <w:t>1</w:t>
      </w:r>
      <w:r w:rsidRPr="00C37E5C">
        <w:t>H</w:t>
      </w:r>
      <w:r w:rsidRPr="00C37E5C">
        <w:rPr>
          <w:vertAlign w:val="subscript"/>
        </w:rPr>
        <w:t>2,74</w:t>
      </w:r>
      <w:r w:rsidRPr="00C37E5C">
        <w:t>O</w:t>
      </w:r>
      <w:r w:rsidRPr="00C37E5C">
        <w:rPr>
          <w:vertAlign w:val="subscript"/>
        </w:rPr>
        <w:t>0,385</w:t>
      </w:r>
      <w:r w:rsidRPr="00C37E5C">
        <w:t>)</w:t>
      </w:r>
      <w:r w:rsidRPr="00C37E5C">
        <w:tab/>
        <w:t>d = 0,932 g/l</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pPr>
      <w:r w:rsidRPr="00C37E5C">
        <w:t>Pour l’éthanol (E75) (C</w:t>
      </w:r>
      <w:r w:rsidRPr="00C37E5C">
        <w:rPr>
          <w:vertAlign w:val="subscript"/>
        </w:rPr>
        <w:t>1</w:t>
      </w:r>
      <w:r w:rsidRPr="00C37E5C">
        <w:t>H</w:t>
      </w:r>
      <w:r w:rsidRPr="00C37E5C">
        <w:rPr>
          <w:vertAlign w:val="subscript"/>
        </w:rPr>
        <w:t>2,61</w:t>
      </w:r>
      <w:r w:rsidRPr="00C37E5C">
        <w:t>O</w:t>
      </w:r>
      <w:r w:rsidRPr="00C37E5C">
        <w:rPr>
          <w:vertAlign w:val="subscript"/>
        </w:rPr>
        <w:t>0,329</w:t>
      </w:r>
      <w:r w:rsidRPr="00C37E5C">
        <w:t>)</w:t>
      </w:r>
      <w:r w:rsidRPr="00C37E5C">
        <w:tab/>
        <w:t>d = 0,886 g/l</w:t>
      </w:r>
    </w:p>
    <w:p w:rsidR="00C37E5C" w:rsidRPr="00C37E5C" w:rsidRDefault="00C37E5C" w:rsidP="00C37E5C">
      <w:pPr>
        <w:tabs>
          <w:tab w:val="left" w:pos="5387"/>
        </w:tabs>
        <w:kinsoku w:val="0"/>
        <w:overflowPunct w:val="0"/>
        <w:autoSpaceDE w:val="0"/>
        <w:autoSpaceDN w:val="0"/>
        <w:adjustRightInd w:val="0"/>
        <w:snapToGrid w:val="0"/>
        <w:spacing w:after="120"/>
        <w:ind w:left="2268" w:right="1134"/>
        <w:jc w:val="both"/>
        <w:rPr>
          <w:i/>
          <w:szCs w:val="24"/>
        </w:rPr>
      </w:pPr>
      <w:r w:rsidRPr="00C37E5C">
        <w:t>Pour les oxydes d’azote (NO</w:t>
      </w:r>
      <w:r w:rsidRPr="00C37E5C">
        <w:rPr>
          <w:vertAlign w:val="subscript"/>
        </w:rPr>
        <w:t>x</w:t>
      </w:r>
      <w:r w:rsidRPr="00C37E5C">
        <w:t>):</w:t>
      </w:r>
      <w:r w:rsidRPr="00C37E5C">
        <w:tab/>
        <w:t>d = 2,05 g/1».</w:t>
      </w:r>
    </w:p>
    <w:p w:rsidR="00C37E5C" w:rsidRPr="00C37E5C" w:rsidRDefault="00C37E5C" w:rsidP="00C37E5C">
      <w:pPr>
        <w:kinsoku w:val="0"/>
        <w:overflowPunct w:val="0"/>
        <w:autoSpaceDE w:val="0"/>
        <w:autoSpaceDN w:val="0"/>
        <w:adjustRightInd w:val="0"/>
        <w:snapToGrid w:val="0"/>
        <w:spacing w:after="120"/>
        <w:ind w:left="1134" w:right="1134"/>
        <w:jc w:val="both"/>
        <w:rPr>
          <w:szCs w:val="24"/>
        </w:rPr>
      </w:pPr>
      <w:r w:rsidRPr="00C37E5C">
        <w:rPr>
          <w:i/>
          <w:szCs w:val="24"/>
        </w:rPr>
        <w:t>Paragraphe 6.6.4</w:t>
      </w:r>
      <w:r w:rsidRPr="00C37E5C">
        <w:rPr>
          <w:szCs w:val="24"/>
        </w:rPr>
        <w:t xml:space="preserve">, modifier comme </w:t>
      </w:r>
      <w:r w:rsidRPr="00C37E5C">
        <w:t>suit</w:t>
      </w:r>
      <w:r w:rsidRPr="00C37E5C">
        <w:rPr>
          <w:szCs w:val="24"/>
        </w:rPr>
        <w:t>:</w:t>
      </w:r>
    </w:p>
    <w:p w:rsidR="00C37E5C" w:rsidRPr="00C37E5C" w:rsidRDefault="00C37E5C" w:rsidP="00C37E5C">
      <w:pPr>
        <w:kinsoku w:val="0"/>
        <w:overflowPunct w:val="0"/>
        <w:autoSpaceDE w:val="0"/>
        <w:autoSpaceDN w:val="0"/>
        <w:adjustRightInd w:val="0"/>
        <w:snapToGrid w:val="0"/>
        <w:spacing w:after="120"/>
        <w:ind w:left="2268" w:right="1134" w:hanging="1134"/>
        <w:jc w:val="both"/>
        <w:rPr>
          <w:szCs w:val="24"/>
        </w:rPr>
      </w:pPr>
      <w:r w:rsidRPr="00C37E5C">
        <w:rPr>
          <w:szCs w:val="24"/>
        </w:rPr>
        <w:t>«6.6.4</w:t>
      </w:r>
      <w:r w:rsidRPr="00C37E5C">
        <w:rPr>
          <w:szCs w:val="24"/>
        </w:rPr>
        <w:tab/>
        <w:t>…</w:t>
      </w:r>
    </w:p>
    <w:p w:rsidR="00C37E5C" w:rsidRPr="00C37E5C" w:rsidRDefault="00C37E5C" w:rsidP="00C37E5C">
      <w:pPr>
        <w:kinsoku w:val="0"/>
        <w:overflowPunct w:val="0"/>
        <w:autoSpaceDE w:val="0"/>
        <w:autoSpaceDN w:val="0"/>
        <w:adjustRightInd w:val="0"/>
        <w:snapToGrid w:val="0"/>
        <w:spacing w:after="120"/>
        <w:ind w:left="2268" w:right="1134"/>
        <w:jc w:val="both"/>
        <w:rPr>
          <w:szCs w:val="24"/>
        </w:rPr>
      </w:pPr>
      <w:r w:rsidRPr="00C37E5C">
        <w:rPr>
          <w:szCs w:val="24"/>
        </w:rPr>
        <w:t xml:space="preserve">Les facteurs de dilution pour les carburants de référence visés par le présent Règlement </w:t>
      </w:r>
      <w:r w:rsidRPr="00C37E5C">
        <w:t>sont</w:t>
      </w:r>
      <w:r w:rsidRPr="00C37E5C">
        <w:rPr>
          <w:szCs w:val="24"/>
        </w:rPr>
        <w:t xml:space="preserve"> les suivants:</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20" w:dyaOrig="600">
          <v:shape id="_x0000_i1026" type="#_x0000_t75" style="width:136.8pt;height:30.6pt" o:ole="" fillcolor="window">
            <v:imagedata r:id="rId10" o:title=""/>
          </v:shape>
          <o:OLEObject Type="Embed" ProgID="Equation.3" ShapeID="_x0000_i1026" DrawAspect="Content" ObjectID="_1516108584" r:id="rId11"/>
        </w:object>
      </w:r>
      <w:r w:rsidRPr="00C37E5C">
        <w:rPr>
          <w:szCs w:val="24"/>
        </w:rPr>
        <w:tab/>
      </w:r>
      <w:proofErr w:type="gramStart"/>
      <w:r w:rsidRPr="00C37E5C">
        <w:rPr>
          <w:szCs w:val="24"/>
        </w:rPr>
        <w:t>pour</w:t>
      </w:r>
      <w:proofErr w:type="gramEnd"/>
      <w:r w:rsidRPr="00C37E5C">
        <w:rPr>
          <w:szCs w:val="24"/>
        </w:rPr>
        <w:t xml:space="preserve"> l’essence (E5)</w:t>
      </w:r>
      <w:r w:rsidRPr="00C37E5C">
        <w:rPr>
          <w:szCs w:val="24"/>
        </w:rPr>
        <w:tab/>
        <w:t>(5a)</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40" w:dyaOrig="600">
          <v:shape id="_x0000_i1027" type="#_x0000_t75" style="width:136.8pt;height:30.6pt" o:ole="" fillcolor="window">
            <v:imagedata r:id="rId12" o:title=""/>
          </v:shape>
          <o:OLEObject Type="Embed" ProgID="Equation.3" ShapeID="_x0000_i1027" DrawAspect="Content" ObjectID="_1516108585" r:id="rId13"/>
        </w:object>
      </w:r>
      <w:r w:rsidRPr="00C37E5C">
        <w:rPr>
          <w:szCs w:val="24"/>
        </w:rPr>
        <w:tab/>
      </w:r>
      <w:proofErr w:type="gramStart"/>
      <w:r w:rsidRPr="00C37E5C">
        <w:rPr>
          <w:szCs w:val="24"/>
        </w:rPr>
        <w:t>pour</w:t>
      </w:r>
      <w:proofErr w:type="gramEnd"/>
      <w:r w:rsidRPr="00C37E5C">
        <w:rPr>
          <w:szCs w:val="24"/>
        </w:rPr>
        <w:t xml:space="preserve"> l’essence (E10)</w:t>
      </w:r>
      <w:r w:rsidRPr="00C37E5C">
        <w:rPr>
          <w:szCs w:val="24"/>
        </w:rPr>
        <w:tab/>
        <w:t>(5b)</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40" w:dyaOrig="600">
          <v:shape id="_x0000_i1028" type="#_x0000_t75" style="width:136.8pt;height:30.6pt" o:ole="" fillcolor="window">
            <v:imagedata r:id="rId14" o:title=""/>
          </v:shape>
          <o:OLEObject Type="Embed" ProgID="Equation.3" ShapeID="_x0000_i1028" DrawAspect="Content" ObjectID="_1516108586" r:id="rId15"/>
        </w:object>
      </w:r>
      <w:r w:rsidRPr="00C37E5C">
        <w:rPr>
          <w:szCs w:val="24"/>
        </w:rPr>
        <w:tab/>
      </w:r>
      <w:proofErr w:type="gramStart"/>
      <w:r w:rsidRPr="00C37E5C">
        <w:rPr>
          <w:szCs w:val="24"/>
        </w:rPr>
        <w:t>pour</w:t>
      </w:r>
      <w:proofErr w:type="gramEnd"/>
      <w:r w:rsidRPr="00C37E5C">
        <w:rPr>
          <w:szCs w:val="24"/>
        </w:rPr>
        <w:t xml:space="preserve"> le gazole (B5)</w:t>
      </w:r>
      <w:r w:rsidRPr="00C37E5C">
        <w:rPr>
          <w:szCs w:val="24"/>
        </w:rPr>
        <w:tab/>
        <w:t>(5c)</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40" w:dyaOrig="600">
          <v:shape id="_x0000_i1029" type="#_x0000_t75" style="width:136.8pt;height:30.6pt" o:ole="" fillcolor="window">
            <v:imagedata r:id="rId16" o:title=""/>
          </v:shape>
          <o:OLEObject Type="Embed" ProgID="Equation.3" ShapeID="_x0000_i1029" DrawAspect="Content" ObjectID="_1516108587" r:id="rId17"/>
        </w:object>
      </w:r>
      <w:r w:rsidRPr="00C37E5C">
        <w:rPr>
          <w:szCs w:val="24"/>
        </w:rPr>
        <w:tab/>
      </w:r>
      <w:proofErr w:type="gramStart"/>
      <w:r w:rsidRPr="00C37E5C">
        <w:rPr>
          <w:szCs w:val="24"/>
        </w:rPr>
        <w:t>pour</w:t>
      </w:r>
      <w:proofErr w:type="gramEnd"/>
      <w:r w:rsidRPr="00C37E5C">
        <w:rPr>
          <w:szCs w:val="24"/>
        </w:rPr>
        <w:t xml:space="preserve"> le gazole (B7)</w:t>
      </w:r>
      <w:r w:rsidRPr="00C37E5C">
        <w:rPr>
          <w:szCs w:val="24"/>
        </w:rPr>
        <w:tab/>
        <w:t>(5d)</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80" w:dyaOrig="600">
          <v:shape id="_x0000_i1030" type="#_x0000_t75" style="width:139.2pt;height:29.4pt" o:ole="" fillcolor="window">
            <v:imagedata r:id="rId18" o:title=""/>
          </v:shape>
          <o:OLEObject Type="Embed" ProgID="Equation.3" ShapeID="_x0000_i1030" DrawAspect="Content" ObjectID="_1516108588" r:id="rId19"/>
        </w:object>
      </w:r>
      <w:r w:rsidRPr="00C37E5C">
        <w:rPr>
          <w:szCs w:val="24"/>
        </w:rPr>
        <w:tab/>
      </w:r>
      <w:proofErr w:type="gramStart"/>
      <w:r w:rsidRPr="00C37E5C">
        <w:rPr>
          <w:szCs w:val="24"/>
        </w:rPr>
        <w:t>pour</w:t>
      </w:r>
      <w:proofErr w:type="gramEnd"/>
      <w:r w:rsidRPr="00C37E5C">
        <w:rPr>
          <w:szCs w:val="24"/>
        </w:rPr>
        <w:t xml:space="preserve"> le GPL</w:t>
      </w:r>
      <w:r w:rsidRPr="00C37E5C">
        <w:rPr>
          <w:szCs w:val="24"/>
        </w:rPr>
        <w:tab/>
        <w:t>(5e)</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40" w:dyaOrig="600">
          <v:shape id="_x0000_i1031" type="#_x0000_t75" style="width:136.8pt;height:30.6pt" o:ole="" fillcolor="window">
            <v:imagedata r:id="rId20" o:title=""/>
          </v:shape>
          <o:OLEObject Type="Embed" ProgID="Equation.3" ShapeID="_x0000_i1031" DrawAspect="Content" ObjectID="_1516108589" r:id="rId21"/>
        </w:object>
      </w:r>
      <w:r w:rsidRPr="00C37E5C">
        <w:rPr>
          <w:szCs w:val="24"/>
        </w:rPr>
        <w:tab/>
      </w:r>
      <w:proofErr w:type="gramStart"/>
      <w:r w:rsidRPr="00C37E5C">
        <w:rPr>
          <w:szCs w:val="24"/>
        </w:rPr>
        <w:t>pour</w:t>
      </w:r>
      <w:proofErr w:type="gramEnd"/>
      <w:r w:rsidRPr="00C37E5C">
        <w:rPr>
          <w:szCs w:val="24"/>
        </w:rPr>
        <w:t xml:space="preserve"> le </w:t>
      </w:r>
      <w:proofErr w:type="spellStart"/>
      <w:r w:rsidRPr="00C37E5C">
        <w:rPr>
          <w:szCs w:val="24"/>
        </w:rPr>
        <w:t>GN</w:t>
      </w:r>
      <w:proofErr w:type="spellEnd"/>
      <w:r w:rsidRPr="00C37E5C">
        <w:rPr>
          <w:szCs w:val="24"/>
        </w:rPr>
        <w:t>/</w:t>
      </w:r>
      <w:proofErr w:type="spellStart"/>
      <w:r w:rsidRPr="00C37E5C">
        <w:rPr>
          <w:szCs w:val="24"/>
        </w:rPr>
        <w:t>biométhane</w:t>
      </w:r>
      <w:proofErr w:type="spellEnd"/>
      <w:r w:rsidRPr="00C37E5C">
        <w:rPr>
          <w:szCs w:val="24"/>
        </w:rPr>
        <w:tab/>
        <w:t>(5f)</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40" w:dyaOrig="600">
          <v:shape id="_x0000_i1032" type="#_x0000_t75" style="width:136.8pt;height:30.6pt" o:ole="" fillcolor="window">
            <v:imagedata r:id="rId22" o:title=""/>
          </v:shape>
          <o:OLEObject Type="Embed" ProgID="Equation.3" ShapeID="_x0000_i1032" DrawAspect="Content" ObjectID="_1516108590" r:id="rId23"/>
        </w:object>
      </w:r>
      <w:r w:rsidRPr="00C37E5C">
        <w:rPr>
          <w:szCs w:val="24"/>
        </w:rPr>
        <w:tab/>
      </w:r>
      <w:proofErr w:type="gramStart"/>
      <w:r w:rsidRPr="00C37E5C">
        <w:rPr>
          <w:szCs w:val="24"/>
        </w:rPr>
        <w:t>l’éthanol</w:t>
      </w:r>
      <w:proofErr w:type="gramEnd"/>
      <w:r w:rsidRPr="00C37E5C">
        <w:rPr>
          <w:szCs w:val="24"/>
        </w:rPr>
        <w:t xml:space="preserve"> (E85)</w:t>
      </w:r>
      <w:r w:rsidRPr="00C37E5C">
        <w:rPr>
          <w:szCs w:val="24"/>
        </w:rPr>
        <w:tab/>
        <w:t>(5g)</w:t>
      </w:r>
    </w:p>
    <w:p w:rsidR="00C37E5C" w:rsidRPr="00C37E5C" w:rsidRDefault="00C37E5C" w:rsidP="00C37E5C">
      <w:pPr>
        <w:tabs>
          <w:tab w:val="left" w:pos="5103"/>
          <w:tab w:val="left" w:pos="7371"/>
        </w:tabs>
        <w:kinsoku w:val="0"/>
        <w:overflowPunct w:val="0"/>
        <w:autoSpaceDE w:val="0"/>
        <w:autoSpaceDN w:val="0"/>
        <w:adjustRightInd w:val="0"/>
        <w:snapToGrid w:val="0"/>
        <w:spacing w:after="120"/>
        <w:ind w:left="2268" w:right="1134"/>
        <w:jc w:val="both"/>
        <w:rPr>
          <w:szCs w:val="24"/>
        </w:rPr>
      </w:pPr>
      <w:r w:rsidRPr="00C37E5C">
        <w:rPr>
          <w:szCs w:val="24"/>
        </w:rPr>
        <w:object w:dxaOrig="2740" w:dyaOrig="600">
          <v:shape id="_x0000_i1033" type="#_x0000_t75" style="width:136.8pt;height:30.6pt" o:ole="" fillcolor="window">
            <v:imagedata r:id="rId24" o:title=""/>
          </v:shape>
          <o:OLEObject Type="Embed" ProgID="Equation.3" ShapeID="_x0000_i1033" DrawAspect="Content" ObjectID="_1516108591" r:id="rId25"/>
        </w:object>
      </w:r>
      <w:r w:rsidRPr="00C37E5C">
        <w:rPr>
          <w:szCs w:val="24"/>
        </w:rPr>
        <w:tab/>
      </w:r>
      <w:proofErr w:type="gramStart"/>
      <w:r w:rsidRPr="00C37E5C">
        <w:rPr>
          <w:szCs w:val="24"/>
        </w:rPr>
        <w:t>pour</w:t>
      </w:r>
      <w:proofErr w:type="gramEnd"/>
      <w:r w:rsidRPr="00C37E5C">
        <w:rPr>
          <w:szCs w:val="24"/>
        </w:rPr>
        <w:t xml:space="preserve"> l’éthanol (E75)</w:t>
      </w:r>
      <w:r w:rsidRPr="00C37E5C">
        <w:rPr>
          <w:szCs w:val="24"/>
        </w:rPr>
        <w:tab/>
        <w:t>(5h)».</w:t>
      </w:r>
    </w:p>
    <w:p w:rsidR="00DF35DE" w:rsidRDefault="00A564D7" w:rsidP="00C37E5C">
      <w:pPr>
        <w:keepNext/>
        <w:kinsoku w:val="0"/>
        <w:overflowPunct w:val="0"/>
        <w:autoSpaceDE w:val="0"/>
        <w:autoSpaceDN w:val="0"/>
        <w:adjustRightInd w:val="0"/>
        <w:snapToGrid w:val="0"/>
        <w:spacing w:after="120"/>
        <w:ind w:left="1134" w:right="1134"/>
        <w:jc w:val="both"/>
        <w:rPr>
          <w:i/>
          <w:szCs w:val="24"/>
        </w:rPr>
      </w:pPr>
      <w:r>
        <w:rPr>
          <w:i/>
          <w:szCs w:val="24"/>
        </w:rPr>
        <w:br w:type="page"/>
      </w:r>
      <w:r w:rsidR="00C37E5C" w:rsidRPr="00C37E5C">
        <w:rPr>
          <w:i/>
          <w:szCs w:val="24"/>
        </w:rPr>
        <w:t xml:space="preserve">Annexe 10, </w:t>
      </w:r>
    </w:p>
    <w:p w:rsidR="00C37E5C" w:rsidRPr="00C37E5C" w:rsidRDefault="00DF35DE" w:rsidP="00C37E5C">
      <w:pPr>
        <w:keepNext/>
        <w:kinsoku w:val="0"/>
        <w:overflowPunct w:val="0"/>
        <w:autoSpaceDE w:val="0"/>
        <w:autoSpaceDN w:val="0"/>
        <w:adjustRightInd w:val="0"/>
        <w:snapToGrid w:val="0"/>
        <w:spacing w:after="120"/>
        <w:ind w:left="1134" w:right="1134"/>
        <w:jc w:val="both"/>
        <w:rPr>
          <w:i/>
          <w:szCs w:val="24"/>
        </w:rPr>
      </w:pPr>
      <w:r>
        <w:rPr>
          <w:i/>
          <w:szCs w:val="24"/>
        </w:rPr>
        <w:t>P</w:t>
      </w:r>
      <w:r w:rsidR="00C37E5C" w:rsidRPr="00C37E5C">
        <w:rPr>
          <w:i/>
          <w:szCs w:val="24"/>
        </w:rPr>
        <w:t>aragraphe 1.1</w:t>
      </w:r>
      <w:r w:rsidR="00C37E5C" w:rsidRPr="00C37E5C">
        <w:rPr>
          <w:szCs w:val="24"/>
        </w:rPr>
        <w:t>, ajouter le tableau suivant entre les tableaux «Type: Essence (E5)» et «Type: Éthanol (E85)»:</w:t>
      </w:r>
    </w:p>
    <w:p w:rsidR="00C37E5C" w:rsidRPr="00C37E5C" w:rsidRDefault="00C37E5C" w:rsidP="00C37E5C">
      <w:pPr>
        <w:keepNext/>
        <w:keepLines/>
        <w:kinsoku w:val="0"/>
        <w:overflowPunct w:val="0"/>
        <w:autoSpaceDE w:val="0"/>
        <w:autoSpaceDN w:val="0"/>
        <w:adjustRightInd w:val="0"/>
        <w:snapToGrid w:val="0"/>
        <w:spacing w:after="120" w:line="240" w:lineRule="auto"/>
        <w:outlineLvl w:val="0"/>
        <w:rPr>
          <w:b/>
          <w:bCs/>
        </w:rPr>
      </w:pPr>
      <w:r w:rsidRPr="00C37E5C">
        <w:t>«</w:t>
      </w:r>
      <w:r w:rsidRPr="00C37E5C">
        <w:rPr>
          <w:b/>
          <w:bCs/>
        </w:rPr>
        <w:t>Type: Essence (E10)</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8"/>
        <w:gridCol w:w="1077"/>
        <w:gridCol w:w="2154"/>
        <w:gridCol w:w="2155"/>
        <w:gridCol w:w="1474"/>
      </w:tblGrid>
      <w:tr w:rsidR="00C37E5C" w:rsidRPr="00C37E5C" w:rsidTr="00C37E5C">
        <w:trPr>
          <w:trHeight w:val="174"/>
          <w:tblHeader/>
        </w:trPr>
        <w:tc>
          <w:tcPr>
            <w:tcW w:w="2778"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firstLine="12"/>
              <w:rPr>
                <w:i/>
                <w:sz w:val="16"/>
                <w:szCs w:val="16"/>
              </w:rPr>
            </w:pPr>
            <w:r w:rsidRPr="00C37E5C">
              <w:rPr>
                <w:i/>
                <w:sz w:val="16"/>
                <w:szCs w:val="16"/>
              </w:rPr>
              <w:t>Paramètre</w:t>
            </w:r>
          </w:p>
        </w:tc>
        <w:tc>
          <w:tcPr>
            <w:tcW w:w="1077"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i/>
                <w:sz w:val="16"/>
                <w:szCs w:val="16"/>
              </w:rPr>
            </w:pPr>
            <w:r w:rsidRPr="00C37E5C">
              <w:rPr>
                <w:i/>
                <w:sz w:val="16"/>
                <w:szCs w:val="16"/>
              </w:rPr>
              <w:t>Unité</w:t>
            </w:r>
          </w:p>
        </w:tc>
        <w:tc>
          <w:tcPr>
            <w:tcW w:w="4309" w:type="dxa"/>
            <w:gridSpan w:val="2"/>
            <w:tcBorders>
              <w:bottom w:val="single" w:sz="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i/>
                <w:sz w:val="16"/>
                <w:szCs w:val="16"/>
              </w:rPr>
            </w:pPr>
            <w:r w:rsidRPr="00C37E5C">
              <w:rPr>
                <w:i/>
                <w:sz w:val="16"/>
                <w:szCs w:val="16"/>
              </w:rPr>
              <w:t>Limites</w:t>
            </w:r>
            <w:r w:rsidRPr="00C37E5C">
              <w:rPr>
                <w:sz w:val="16"/>
                <w:szCs w:val="16"/>
                <w:vertAlign w:val="superscript"/>
              </w:rPr>
              <w:t>1</w:t>
            </w:r>
          </w:p>
        </w:tc>
        <w:tc>
          <w:tcPr>
            <w:tcW w:w="1474"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i/>
                <w:iCs/>
                <w:sz w:val="16"/>
                <w:szCs w:val="16"/>
              </w:rPr>
            </w:pPr>
            <w:r w:rsidRPr="00C37E5C">
              <w:rPr>
                <w:i/>
                <w:sz w:val="16"/>
                <w:szCs w:val="16"/>
              </w:rPr>
              <w:t>Méthode d’essai</w:t>
            </w:r>
          </w:p>
        </w:tc>
      </w:tr>
      <w:tr w:rsidR="00C37E5C" w:rsidRPr="00C37E5C" w:rsidTr="00C37E5C">
        <w:trPr>
          <w:trHeight w:val="152"/>
          <w:tblHeader/>
        </w:trPr>
        <w:tc>
          <w:tcPr>
            <w:tcW w:w="2778"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i/>
                <w:sz w:val="18"/>
                <w:szCs w:val="18"/>
              </w:rPr>
            </w:pPr>
          </w:p>
        </w:tc>
        <w:tc>
          <w:tcPr>
            <w:tcW w:w="1077"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i/>
                <w:sz w:val="18"/>
                <w:szCs w:val="18"/>
              </w:rPr>
            </w:pPr>
          </w:p>
        </w:tc>
        <w:tc>
          <w:tcPr>
            <w:tcW w:w="2154" w:type="dxa"/>
            <w:tcBorders>
              <w:bottom w:val="single" w:sz="1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i/>
                <w:sz w:val="16"/>
                <w:szCs w:val="16"/>
              </w:rPr>
            </w:pPr>
            <w:r w:rsidRPr="00C37E5C">
              <w:rPr>
                <w:i/>
                <w:sz w:val="16"/>
                <w:szCs w:val="16"/>
              </w:rPr>
              <w:t>Minimale</w:t>
            </w:r>
          </w:p>
        </w:tc>
        <w:tc>
          <w:tcPr>
            <w:tcW w:w="2155" w:type="dxa"/>
            <w:tcBorders>
              <w:bottom w:val="single" w:sz="1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i/>
                <w:sz w:val="16"/>
                <w:szCs w:val="16"/>
              </w:rPr>
            </w:pPr>
            <w:r w:rsidRPr="00C37E5C">
              <w:rPr>
                <w:i/>
                <w:sz w:val="16"/>
                <w:szCs w:val="16"/>
              </w:rPr>
              <w:t>Maximale</w:t>
            </w:r>
          </w:p>
        </w:tc>
        <w:tc>
          <w:tcPr>
            <w:tcW w:w="1474"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i/>
                <w:iCs/>
                <w:sz w:val="18"/>
                <w:szCs w:val="18"/>
              </w:rPr>
            </w:pPr>
          </w:p>
        </w:tc>
      </w:tr>
      <w:tr w:rsidR="00C37E5C" w:rsidRPr="00C37E5C" w:rsidTr="00A564D7">
        <w:trPr>
          <w:trHeight w:hRule="exact" w:val="284"/>
        </w:trPr>
        <w:tc>
          <w:tcPr>
            <w:tcW w:w="2778"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Indice d’octane recherche (IOR)</w:t>
            </w:r>
            <w:r w:rsidRPr="00C37E5C">
              <w:rPr>
                <w:i/>
                <w:iCs/>
                <w:sz w:val="18"/>
                <w:szCs w:val="18"/>
                <w:vertAlign w:val="superscript"/>
              </w:rPr>
              <w:t>2</w:t>
            </w:r>
          </w:p>
        </w:tc>
        <w:tc>
          <w:tcPr>
            <w:tcW w:w="1077"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2154"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95,0</w:t>
            </w:r>
          </w:p>
        </w:tc>
        <w:tc>
          <w:tcPr>
            <w:tcW w:w="2155"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98,0</w:t>
            </w:r>
          </w:p>
        </w:tc>
        <w:tc>
          <w:tcPr>
            <w:tcW w:w="1474"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5164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Indice d’octane moteur (IOM)</w:t>
            </w:r>
            <w:r w:rsidRPr="00C37E5C">
              <w:rPr>
                <w:i/>
                <w:iCs/>
                <w:sz w:val="18"/>
                <w:szCs w:val="18"/>
                <w:vertAlign w:val="superscript"/>
              </w:rPr>
              <w:t>2</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85,0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89,0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5163</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Densité à 15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kg/m</w:t>
            </w:r>
            <w:r w:rsidRPr="00C37E5C">
              <w:rPr>
                <w:sz w:val="18"/>
                <w:szCs w:val="18"/>
                <w:vertAlign w:val="superscript"/>
              </w:rPr>
              <w:t>3</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743,0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756,0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12185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Pression de vapeur (DVPE)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kPa</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56,0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60,0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13016-1</w:t>
            </w:r>
          </w:p>
        </w:tc>
      </w:tr>
      <w:tr w:rsidR="00C37E5C" w:rsidRPr="00C37E5C" w:rsidTr="00A564D7">
        <w:trPr>
          <w:trHeight w:hRule="exact" w:val="284"/>
        </w:trPr>
        <w:tc>
          <w:tcPr>
            <w:tcW w:w="2778" w:type="dxa"/>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Teneur en eau</w:t>
            </w:r>
          </w:p>
        </w:tc>
        <w:tc>
          <w:tcPr>
            <w:tcW w:w="1077" w:type="dxa"/>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m/m</w:t>
            </w:r>
          </w:p>
        </w:tc>
        <w:tc>
          <w:tcPr>
            <w:tcW w:w="4309" w:type="dxa"/>
            <w:gridSpan w:val="2"/>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0,05 max.</w:t>
            </w:r>
            <w:r w:rsidRPr="00C37E5C">
              <w:rPr>
                <w:sz w:val="18"/>
                <w:szCs w:val="18"/>
              </w:rPr>
              <w:br/>
              <w:t>Aspect à -7 °C: claire et brillante</w:t>
            </w:r>
          </w:p>
        </w:tc>
        <w:tc>
          <w:tcPr>
            <w:tcW w:w="1474" w:type="dxa"/>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12937</w:t>
            </w:r>
          </w:p>
        </w:tc>
      </w:tr>
      <w:tr w:rsidR="00C37E5C" w:rsidRPr="00C37E5C" w:rsidTr="00A564D7">
        <w:trPr>
          <w:trHeight w:hRule="exact" w:val="284"/>
        </w:trPr>
        <w:tc>
          <w:tcPr>
            <w:tcW w:w="2778"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Distillation:</w:t>
            </w:r>
          </w:p>
        </w:tc>
        <w:tc>
          <w:tcPr>
            <w:tcW w:w="1077"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2154"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bCs/>
                <w:sz w:val="18"/>
                <w:szCs w:val="18"/>
              </w:rPr>
              <w:t> </w:t>
            </w:r>
          </w:p>
        </w:tc>
        <w:tc>
          <w:tcPr>
            <w:tcW w:w="2155"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bCs/>
                <w:sz w:val="18"/>
                <w:szCs w:val="18"/>
              </w:rPr>
              <w:t> </w:t>
            </w:r>
          </w:p>
        </w:tc>
        <w:tc>
          <w:tcPr>
            <w:tcW w:w="1474"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Évaporé à 70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34,0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46,0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Évaporé à 100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54,0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62,0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Évaporé à 150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86,0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94,0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Point d’ébullition final</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170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195</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Résidus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Analyse des hydrocarbures:</w:t>
            </w:r>
          </w:p>
        </w:tc>
        <w:tc>
          <w:tcPr>
            <w:tcW w:w="1077"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2154"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bCs/>
                <w:sz w:val="18"/>
                <w:szCs w:val="18"/>
              </w:rPr>
              <w:t> </w:t>
            </w:r>
          </w:p>
        </w:tc>
        <w:tc>
          <w:tcPr>
            <w:tcW w:w="2155"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bCs/>
                <w:sz w:val="18"/>
                <w:szCs w:val="18"/>
              </w:rPr>
              <w:t> </w:t>
            </w:r>
          </w:p>
        </w:tc>
        <w:tc>
          <w:tcPr>
            <w:tcW w:w="1474"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Oléfines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6,0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13,0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Aromatiques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25,0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32,0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Benzène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iCs/>
                <w:strike/>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1,00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bCs/>
                <w:sz w:val="18"/>
                <w:szCs w:val="18"/>
              </w:rPr>
              <w:t>EN 22854</w:t>
            </w:r>
            <w:r w:rsidRPr="00C37E5C">
              <w:rPr>
                <w:bCs/>
                <w:sz w:val="18"/>
                <w:szCs w:val="18"/>
              </w:rPr>
              <w:br/>
              <w:t>EN 238</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 Saturés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4309" w:type="dxa"/>
            <w:gridSpan w:val="2"/>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Valeur déclarée</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Rapport carbone/hydrogène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4309" w:type="dxa"/>
            <w:gridSpan w:val="2"/>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Valeur déclarée</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Rapport carbone/oxygène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4309" w:type="dxa"/>
            <w:gridSpan w:val="2"/>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Valeur déclarée</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Période d’induction</w:t>
            </w:r>
            <w:r w:rsidRPr="00C37E5C">
              <w:rPr>
                <w:i/>
                <w:iCs/>
                <w:sz w:val="18"/>
                <w:szCs w:val="18"/>
                <w:vertAlign w:val="superscript"/>
              </w:rPr>
              <w:t>3</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minutes</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480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7536</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Teneur en oxygène</w:t>
            </w:r>
            <w:r w:rsidRPr="00C37E5C">
              <w:rPr>
                <w:i/>
                <w:iCs/>
                <w:sz w:val="18"/>
                <w:szCs w:val="18"/>
                <w:vertAlign w:val="superscript"/>
              </w:rPr>
              <w:t>4</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m/m</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3,3</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3,7</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Gomme lavée avec un solvant (teneur en gomme actuelle)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mg/100 ml</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4</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6246</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Teneur en soufre</w:t>
            </w:r>
            <w:r w:rsidRPr="00C37E5C">
              <w:rPr>
                <w:i/>
                <w:iCs/>
                <w:sz w:val="18"/>
                <w:szCs w:val="18"/>
                <w:vertAlign w:val="superscript"/>
              </w:rPr>
              <w:t>5</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mg/kg</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10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 xml:space="preserve">EN ISO 20846 </w:t>
            </w:r>
            <w:r w:rsidRPr="00C37E5C">
              <w:rPr>
                <w:sz w:val="18"/>
                <w:szCs w:val="18"/>
              </w:rPr>
              <w:br/>
              <w:t>EN ISO 20884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Corrosion du cuivre 3h, 50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classe 1</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ISO 2160</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Teneur en plomb</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mg/l</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5</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237</w:t>
            </w:r>
          </w:p>
        </w:tc>
      </w:tr>
      <w:tr w:rsidR="00C37E5C" w:rsidRPr="00C37E5C" w:rsidTr="00A564D7">
        <w:trPr>
          <w:trHeight w:hRule="exact" w:val="284"/>
        </w:trPr>
        <w:tc>
          <w:tcPr>
            <w:tcW w:w="2778" w:type="dxa"/>
            <w:tcBorders>
              <w:bottom w:val="single" w:sz="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Teneur en phosphore</w:t>
            </w:r>
            <w:r w:rsidRPr="00C37E5C">
              <w:rPr>
                <w:i/>
                <w:iCs/>
                <w:sz w:val="18"/>
                <w:szCs w:val="18"/>
                <w:vertAlign w:val="superscript"/>
              </w:rPr>
              <w:t>6</w:t>
            </w:r>
          </w:p>
        </w:tc>
        <w:tc>
          <w:tcPr>
            <w:tcW w:w="1077" w:type="dxa"/>
            <w:tcBorders>
              <w:bottom w:val="single" w:sz="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mg/l</w:t>
            </w:r>
          </w:p>
        </w:tc>
        <w:tc>
          <w:tcPr>
            <w:tcW w:w="2154" w:type="dxa"/>
            <w:tcBorders>
              <w:bottom w:val="single" w:sz="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w:t>
            </w:r>
          </w:p>
        </w:tc>
        <w:tc>
          <w:tcPr>
            <w:tcW w:w="2155" w:type="dxa"/>
            <w:tcBorders>
              <w:bottom w:val="single" w:sz="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1,3</w:t>
            </w:r>
          </w:p>
        </w:tc>
        <w:tc>
          <w:tcPr>
            <w:tcW w:w="1474" w:type="dxa"/>
            <w:tcBorders>
              <w:bottom w:val="single" w:sz="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ASTM D 3231</w:t>
            </w:r>
          </w:p>
        </w:tc>
      </w:tr>
      <w:tr w:rsidR="00C37E5C" w:rsidRPr="00C37E5C" w:rsidTr="00A564D7">
        <w:trPr>
          <w:trHeight w:hRule="exact" w:val="284"/>
        </w:trPr>
        <w:tc>
          <w:tcPr>
            <w:tcW w:w="2778"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sz w:val="18"/>
                <w:szCs w:val="18"/>
              </w:rPr>
            </w:pPr>
            <w:r w:rsidRPr="00C37E5C">
              <w:rPr>
                <w:sz w:val="18"/>
                <w:szCs w:val="18"/>
              </w:rPr>
              <w:t>Éthanol</w:t>
            </w:r>
            <w:r w:rsidRPr="00C37E5C">
              <w:rPr>
                <w:i/>
                <w:iCs/>
                <w:sz w:val="18"/>
                <w:szCs w:val="18"/>
                <w:vertAlign w:val="superscript"/>
              </w:rPr>
              <w:t>4</w:t>
            </w:r>
          </w:p>
        </w:tc>
        <w:tc>
          <w:tcPr>
            <w:tcW w:w="1077"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sz w:val="18"/>
                <w:szCs w:val="18"/>
              </w:rPr>
            </w:pPr>
            <w:r w:rsidRPr="00C37E5C">
              <w:rPr>
                <w:sz w:val="18"/>
                <w:szCs w:val="18"/>
              </w:rPr>
              <w:t>% v/v</w:t>
            </w:r>
          </w:p>
        </w:tc>
        <w:tc>
          <w:tcPr>
            <w:tcW w:w="2154"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trike/>
                <w:sz w:val="18"/>
                <w:szCs w:val="18"/>
              </w:rPr>
            </w:pPr>
            <w:r w:rsidRPr="00C37E5C">
              <w:rPr>
                <w:sz w:val="18"/>
                <w:szCs w:val="18"/>
              </w:rPr>
              <w:t>9,0</w:t>
            </w:r>
          </w:p>
        </w:tc>
        <w:tc>
          <w:tcPr>
            <w:tcW w:w="2155"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jc w:val="center"/>
              <w:rPr>
                <w:bCs/>
                <w:sz w:val="18"/>
                <w:szCs w:val="18"/>
              </w:rPr>
            </w:pPr>
            <w:r w:rsidRPr="00C37E5C">
              <w:rPr>
                <w:sz w:val="18"/>
                <w:szCs w:val="18"/>
              </w:rPr>
              <w:t>10,0</w:t>
            </w:r>
          </w:p>
        </w:tc>
        <w:tc>
          <w:tcPr>
            <w:tcW w:w="1474"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atLeast"/>
              <w:ind w:left="57" w:right="57"/>
              <w:rPr>
                <w:bCs/>
                <w:sz w:val="18"/>
                <w:szCs w:val="18"/>
              </w:rPr>
            </w:pPr>
            <w:r w:rsidRPr="00C37E5C">
              <w:rPr>
                <w:sz w:val="18"/>
                <w:szCs w:val="18"/>
              </w:rPr>
              <w:t>EN 22854</w:t>
            </w:r>
          </w:p>
        </w:tc>
      </w:tr>
    </w:tbl>
    <w:p w:rsidR="00C37E5C" w:rsidRPr="00C37E5C" w:rsidRDefault="00C37E5C" w:rsidP="00C37E5C">
      <w:pPr>
        <w:tabs>
          <w:tab w:val="right" w:pos="1021"/>
        </w:tabs>
        <w:kinsoku w:val="0"/>
        <w:overflowPunct w:val="0"/>
        <w:autoSpaceDE w:val="0"/>
        <w:autoSpaceDN w:val="0"/>
        <w:adjustRightInd w:val="0"/>
        <w:snapToGrid w:val="0"/>
        <w:spacing w:before="120" w:line="220" w:lineRule="exact"/>
        <w:ind w:firstLine="170"/>
        <w:rPr>
          <w:sz w:val="18"/>
        </w:rPr>
      </w:pPr>
      <w:r w:rsidRPr="00C37E5C">
        <w:rPr>
          <w:sz w:val="18"/>
          <w:vertAlign w:val="superscript"/>
        </w:rPr>
        <w:t>1</w:t>
      </w:r>
      <w:r w:rsidRPr="00C37E5C">
        <w:rPr>
          <w:sz w:val="18"/>
        </w:rPr>
        <w:t xml:space="preserve">  Les valeurs mentionnées dans les spécifications sont des “valeurs vraies”. Les valeurs limites ont été déterminées conformément à la norme ISO 4259 intitulée “Produits pétroliers − Détermination et application des valeurs de fidélité relatives aux méthodes d’essai”. Pour la fixation d’un minimum, une différence minimale de 2R par rapport à la valeur zéro a été prise en compte; pour la fixation d’un maximum et d’un minimum, la différence minimale entre ces valeurs est de 4R (R = reproductibilité).</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2</w:t>
      </w:r>
      <w:r w:rsidRPr="00C37E5C">
        <w:rPr>
          <w:sz w:val="18"/>
        </w:rPr>
        <w:t xml:space="preserve">  Malgré cette mesure, qui est nécessaire pour des raisons techniques, le fabricant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doivent être appliquées.</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3</w:t>
      </w:r>
      <w:r w:rsidRPr="00C37E5C">
        <w:rPr>
          <w:sz w:val="18"/>
        </w:rPr>
        <w:t xml:space="preserve">  Un facteur de correction de 0,2 pour IOR et IOM doit être soustrait pour le calcul du résultat final conformément à la spécification EN 228:2008.</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4</w:t>
      </w:r>
      <w:r w:rsidRPr="00C37E5C">
        <w:rPr>
          <w:sz w:val="18"/>
        </w:rPr>
        <w:t xml:space="preserve">  Le carburant peut contenir des additifs antioxydants et des inhibiteurs de catalyse métallique normalement utilisés pour stabiliser les flux d’essence en raffinerie; il ne faut cependant pas y ajouter d’additifs détergents ou dispersants ni d’huiles solvantes.</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5</w:t>
      </w:r>
      <w:r w:rsidRPr="00C37E5C">
        <w:rPr>
          <w:sz w:val="18"/>
        </w:rPr>
        <w:t xml:space="preserve">  Le seul oxygénant pouvant être ajouté délibérément au carburant de référence est l’éthanol conforme à la norme EN 15376.</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6</w:t>
      </w:r>
      <w:r w:rsidRPr="00C37E5C">
        <w:rPr>
          <w:sz w:val="18"/>
        </w:rPr>
        <w:t xml:space="preserve">  Il convient de communiquer la teneur en soufre effective du carburant utilisé pour les essais du type 1.</w:t>
      </w:r>
    </w:p>
    <w:p w:rsidR="00C37E5C" w:rsidRPr="00C37E5C" w:rsidRDefault="00C37E5C" w:rsidP="00C37E5C">
      <w:pPr>
        <w:kinsoku w:val="0"/>
        <w:overflowPunct w:val="0"/>
        <w:autoSpaceDE w:val="0"/>
        <w:autoSpaceDN w:val="0"/>
        <w:adjustRightInd w:val="0"/>
        <w:snapToGrid w:val="0"/>
        <w:spacing w:after="240" w:line="220" w:lineRule="exact"/>
        <w:ind w:firstLine="170"/>
        <w:rPr>
          <w:i/>
          <w:sz w:val="18"/>
          <w:szCs w:val="24"/>
        </w:rPr>
      </w:pPr>
      <w:r w:rsidRPr="00C37E5C">
        <w:rPr>
          <w:sz w:val="18"/>
          <w:vertAlign w:val="superscript"/>
        </w:rPr>
        <w:t>7</w:t>
      </w:r>
      <w:r w:rsidRPr="00C37E5C">
        <w:rPr>
          <w:sz w:val="18"/>
        </w:rPr>
        <w:t xml:space="preserve">  Aucun composant contenant du phosphore, du fer, du manganèse ou du plomb ne doit être ajouté délibérément au carburant de référence.</w:t>
      </w:r>
      <w:r w:rsidRPr="00C37E5C">
        <w:t>».</w:t>
      </w:r>
    </w:p>
    <w:p w:rsidR="00C37E5C" w:rsidRPr="00C37E5C" w:rsidRDefault="00DF35DE" w:rsidP="00C37E5C">
      <w:pPr>
        <w:keepNext/>
        <w:kinsoku w:val="0"/>
        <w:overflowPunct w:val="0"/>
        <w:autoSpaceDE w:val="0"/>
        <w:autoSpaceDN w:val="0"/>
        <w:adjustRightInd w:val="0"/>
        <w:snapToGrid w:val="0"/>
        <w:spacing w:after="120"/>
        <w:ind w:left="1134" w:right="1134"/>
        <w:jc w:val="both"/>
        <w:rPr>
          <w:szCs w:val="24"/>
        </w:rPr>
      </w:pPr>
      <w:r>
        <w:rPr>
          <w:i/>
          <w:szCs w:val="24"/>
        </w:rPr>
        <w:t>P</w:t>
      </w:r>
      <w:r w:rsidR="00C37E5C" w:rsidRPr="00C37E5C">
        <w:rPr>
          <w:i/>
          <w:szCs w:val="24"/>
        </w:rPr>
        <w:t>aragraphe 1.1</w:t>
      </w:r>
      <w:r w:rsidR="00C37E5C" w:rsidRPr="00C37E5C">
        <w:rPr>
          <w:szCs w:val="24"/>
        </w:rPr>
        <w:t xml:space="preserve">, ajouter le </w:t>
      </w:r>
      <w:r w:rsidR="00C37E5C" w:rsidRPr="00C37E5C">
        <w:t>tableau</w:t>
      </w:r>
      <w:r w:rsidR="00C37E5C" w:rsidRPr="00C37E5C">
        <w:rPr>
          <w:szCs w:val="24"/>
        </w:rPr>
        <w:t xml:space="preserve"> suivant après le tableau «Type: Gazole (B5)»:</w:t>
      </w:r>
    </w:p>
    <w:p w:rsidR="00C37E5C" w:rsidRPr="00C37E5C" w:rsidRDefault="00C37E5C" w:rsidP="00C37E5C">
      <w:pPr>
        <w:keepNext/>
        <w:keepLines/>
        <w:kinsoku w:val="0"/>
        <w:overflowPunct w:val="0"/>
        <w:autoSpaceDE w:val="0"/>
        <w:autoSpaceDN w:val="0"/>
        <w:adjustRightInd w:val="0"/>
        <w:snapToGrid w:val="0"/>
        <w:spacing w:after="120" w:line="240" w:lineRule="auto"/>
        <w:outlineLvl w:val="0"/>
        <w:rPr>
          <w:b/>
          <w:bCs/>
        </w:rPr>
      </w:pPr>
      <w:r w:rsidRPr="00C37E5C">
        <w:t>«</w:t>
      </w:r>
      <w:r w:rsidRPr="00C37E5C">
        <w:rPr>
          <w:b/>
          <w:bCs/>
        </w:rPr>
        <w:t>Type: Gazole (B7)</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8"/>
        <w:gridCol w:w="1077"/>
        <w:gridCol w:w="2154"/>
        <w:gridCol w:w="2155"/>
        <w:gridCol w:w="1474"/>
      </w:tblGrid>
      <w:tr w:rsidR="00C37E5C" w:rsidRPr="00C37E5C" w:rsidTr="00C37E5C">
        <w:trPr>
          <w:cantSplit/>
          <w:trHeight w:val="280"/>
          <w:tblHeader/>
        </w:trPr>
        <w:tc>
          <w:tcPr>
            <w:tcW w:w="2778"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i/>
                <w:sz w:val="16"/>
                <w:szCs w:val="16"/>
              </w:rPr>
            </w:pPr>
            <w:r w:rsidRPr="00C37E5C">
              <w:rPr>
                <w:i/>
                <w:sz w:val="16"/>
                <w:szCs w:val="16"/>
              </w:rPr>
              <w:t>Paramètre</w:t>
            </w:r>
          </w:p>
        </w:tc>
        <w:tc>
          <w:tcPr>
            <w:tcW w:w="1077"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i/>
                <w:sz w:val="16"/>
                <w:szCs w:val="16"/>
              </w:rPr>
            </w:pPr>
            <w:r w:rsidRPr="00C37E5C">
              <w:rPr>
                <w:i/>
                <w:sz w:val="16"/>
                <w:szCs w:val="16"/>
              </w:rPr>
              <w:t>Unité</w:t>
            </w:r>
          </w:p>
        </w:tc>
        <w:tc>
          <w:tcPr>
            <w:tcW w:w="4309" w:type="dxa"/>
            <w:gridSpan w:val="2"/>
            <w:tcBorders>
              <w:bottom w:val="single" w:sz="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i/>
                <w:sz w:val="16"/>
                <w:szCs w:val="16"/>
              </w:rPr>
            </w:pPr>
            <w:r w:rsidRPr="00C37E5C">
              <w:rPr>
                <w:i/>
                <w:sz w:val="16"/>
                <w:szCs w:val="16"/>
              </w:rPr>
              <w:t>Limites</w:t>
            </w:r>
            <w:r w:rsidRPr="00C37E5C">
              <w:rPr>
                <w:sz w:val="16"/>
                <w:szCs w:val="16"/>
                <w:vertAlign w:val="superscript"/>
              </w:rPr>
              <w:t>1</w:t>
            </w:r>
          </w:p>
        </w:tc>
        <w:tc>
          <w:tcPr>
            <w:tcW w:w="1474"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i/>
                <w:sz w:val="16"/>
                <w:szCs w:val="16"/>
              </w:rPr>
            </w:pPr>
            <w:r w:rsidRPr="00C37E5C">
              <w:rPr>
                <w:i/>
                <w:sz w:val="16"/>
                <w:szCs w:val="16"/>
              </w:rPr>
              <w:t>Méthode d’essai</w:t>
            </w:r>
          </w:p>
        </w:tc>
      </w:tr>
      <w:tr w:rsidR="00C37E5C" w:rsidRPr="00C37E5C" w:rsidTr="00C37E5C">
        <w:trPr>
          <w:cantSplit/>
          <w:trHeight w:val="280"/>
          <w:tblHeader/>
        </w:trPr>
        <w:tc>
          <w:tcPr>
            <w:tcW w:w="2778"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i/>
                <w:sz w:val="16"/>
                <w:szCs w:val="16"/>
              </w:rPr>
            </w:pPr>
          </w:p>
        </w:tc>
        <w:tc>
          <w:tcPr>
            <w:tcW w:w="1077"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i/>
                <w:sz w:val="16"/>
                <w:szCs w:val="16"/>
              </w:rPr>
            </w:pPr>
          </w:p>
        </w:tc>
        <w:tc>
          <w:tcPr>
            <w:tcW w:w="2154" w:type="dxa"/>
            <w:tcBorders>
              <w:bottom w:val="single" w:sz="1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i/>
                <w:sz w:val="16"/>
                <w:szCs w:val="16"/>
              </w:rPr>
            </w:pPr>
            <w:r w:rsidRPr="00C37E5C">
              <w:rPr>
                <w:i/>
                <w:sz w:val="16"/>
                <w:szCs w:val="16"/>
              </w:rPr>
              <w:t>Minimale</w:t>
            </w:r>
          </w:p>
        </w:tc>
        <w:tc>
          <w:tcPr>
            <w:tcW w:w="2155" w:type="dxa"/>
            <w:tcBorders>
              <w:bottom w:val="single" w:sz="1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i/>
                <w:sz w:val="16"/>
                <w:szCs w:val="16"/>
              </w:rPr>
            </w:pPr>
            <w:r w:rsidRPr="00C37E5C">
              <w:rPr>
                <w:i/>
                <w:sz w:val="16"/>
                <w:szCs w:val="16"/>
              </w:rPr>
              <w:t>Maximale</w:t>
            </w:r>
          </w:p>
        </w:tc>
        <w:tc>
          <w:tcPr>
            <w:tcW w:w="1474"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p>
        </w:tc>
      </w:tr>
      <w:tr w:rsidR="00C37E5C" w:rsidRPr="00C37E5C" w:rsidTr="00C37E5C">
        <w:trPr>
          <w:cantSplit/>
          <w:trHeight w:val="163"/>
        </w:trPr>
        <w:tc>
          <w:tcPr>
            <w:tcW w:w="2778"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Cétane calculé</w:t>
            </w:r>
          </w:p>
        </w:tc>
        <w:tc>
          <w:tcPr>
            <w:tcW w:w="1077"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46,0</w:t>
            </w:r>
          </w:p>
        </w:tc>
        <w:tc>
          <w:tcPr>
            <w:tcW w:w="2155"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1474"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4264</w:t>
            </w:r>
          </w:p>
        </w:tc>
      </w:tr>
      <w:tr w:rsidR="00C37E5C" w:rsidRPr="00C37E5C" w:rsidTr="00C37E5C">
        <w:trPr>
          <w:cantSplit/>
          <w:trHeight w:val="222"/>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Cétane mesuré</w:t>
            </w:r>
            <w:r w:rsidRPr="00C37E5C">
              <w:rPr>
                <w:i/>
                <w:iCs/>
                <w:sz w:val="18"/>
                <w:szCs w:val="18"/>
                <w:vertAlign w:val="superscript"/>
              </w:rPr>
              <w:t>2</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52,0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56,0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5165</w:t>
            </w:r>
          </w:p>
        </w:tc>
      </w:tr>
      <w:tr w:rsidR="00C37E5C" w:rsidRPr="00C37E5C" w:rsidTr="00C37E5C">
        <w:trPr>
          <w:cantSplit/>
          <w:trHeight w:val="141"/>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Densité à 15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kg/m</w:t>
            </w:r>
            <w:r w:rsidRPr="00C37E5C">
              <w:rPr>
                <w:sz w:val="18"/>
                <w:szCs w:val="18"/>
                <w:vertAlign w:val="superscript"/>
              </w:rPr>
              <w:t>3</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833,0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837,0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12185</w:t>
            </w:r>
          </w:p>
        </w:tc>
      </w:tr>
      <w:tr w:rsidR="00C37E5C" w:rsidRPr="00C37E5C" w:rsidTr="00C37E5C">
        <w:trPr>
          <w:cantSplit/>
          <w:trHeight w:val="201"/>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Distillation:</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w:t>
            </w:r>
          </w:p>
        </w:tc>
      </w:tr>
      <w:tr w:rsidR="00C37E5C" w:rsidRPr="00C37E5C" w:rsidTr="00C37E5C">
        <w:trPr>
          <w:cantSplit/>
          <w:trHeight w:val="7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Point 50 %</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245,0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3405</w:t>
            </w:r>
          </w:p>
        </w:tc>
      </w:tr>
      <w:tr w:rsidR="00C37E5C" w:rsidRPr="00C37E5C" w:rsidTr="00C37E5C">
        <w:trPr>
          <w:cantSplit/>
          <w:trHeight w:val="122"/>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Point 95 %</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345,0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360,0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3405</w:t>
            </w:r>
          </w:p>
        </w:tc>
      </w:tr>
      <w:tr w:rsidR="00C37E5C" w:rsidRPr="00C37E5C" w:rsidTr="00C37E5C">
        <w:trPr>
          <w:cantSplit/>
          <w:trHeight w:val="6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Point d’ébullition final</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370,0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3405</w:t>
            </w:r>
          </w:p>
        </w:tc>
      </w:tr>
      <w:tr w:rsidR="00C37E5C" w:rsidRPr="00C37E5C" w:rsidTr="00C37E5C">
        <w:trPr>
          <w:cantSplit/>
          <w:trHeight w:val="198"/>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Point d’éclair</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55</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2719</w:t>
            </w:r>
          </w:p>
        </w:tc>
      </w:tr>
      <w:tr w:rsidR="00C37E5C" w:rsidRPr="00C37E5C" w:rsidTr="00C37E5C">
        <w:trPr>
          <w:cantSplit/>
          <w:trHeight w:val="116"/>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Point de trouble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-10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23015</w:t>
            </w:r>
          </w:p>
        </w:tc>
      </w:tr>
      <w:tr w:rsidR="00C37E5C" w:rsidRPr="00C37E5C" w:rsidTr="00C37E5C">
        <w:trPr>
          <w:cantSplit/>
          <w:trHeight w:val="189"/>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Viscosité à 40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mm</w:t>
            </w:r>
            <w:r w:rsidRPr="00C37E5C">
              <w:rPr>
                <w:sz w:val="18"/>
                <w:szCs w:val="18"/>
                <w:vertAlign w:val="superscript"/>
              </w:rPr>
              <w:t>2</w:t>
            </w:r>
            <w:r w:rsidRPr="00C37E5C">
              <w:rPr>
                <w:sz w:val="18"/>
                <w:szCs w:val="18"/>
              </w:rPr>
              <w:t>/s</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2,30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3,30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3104</w:t>
            </w:r>
          </w:p>
        </w:tc>
      </w:tr>
      <w:tr w:rsidR="00C37E5C" w:rsidRPr="00C37E5C" w:rsidTr="00C37E5C">
        <w:trPr>
          <w:cantSplit/>
          <w:trHeight w:val="108"/>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Hydrocarbures aromatiques polycycliques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m/m</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2,0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4,0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12916</w:t>
            </w:r>
          </w:p>
        </w:tc>
      </w:tr>
      <w:tr w:rsidR="00C37E5C" w:rsidRPr="00C37E5C" w:rsidTr="00C37E5C">
        <w:trPr>
          <w:cantSplit/>
          <w:trHeight w:val="323"/>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soufre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mg/kg</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10,0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20846</w:t>
            </w:r>
            <w:r w:rsidRPr="00C37E5C">
              <w:rPr>
                <w:sz w:val="18"/>
                <w:szCs w:val="18"/>
              </w:rPr>
              <w:br/>
              <w:t>EN ISO 20884</w:t>
            </w:r>
          </w:p>
        </w:tc>
      </w:tr>
      <w:tr w:rsidR="00C37E5C" w:rsidRPr="00C37E5C" w:rsidTr="00C37E5C">
        <w:trPr>
          <w:cantSplit/>
          <w:trHeight w:val="6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Corrosion du cuivre 3 h, 50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Classe 1</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2160</w:t>
            </w:r>
          </w:p>
        </w:tc>
      </w:tr>
      <w:tr w:rsidR="00C37E5C" w:rsidRPr="00C37E5C" w:rsidTr="00C37E5C">
        <w:trPr>
          <w:cantSplit/>
          <w:trHeight w:val="91"/>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Résidu de carbone Conradson (10 % DR)</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m/m</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0,20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10370</w:t>
            </w:r>
          </w:p>
        </w:tc>
      </w:tr>
      <w:tr w:rsidR="00C37E5C" w:rsidRPr="00C37E5C" w:rsidTr="00C37E5C">
        <w:trPr>
          <w:cantSplit/>
          <w:trHeight w:val="6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cendres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m/m</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0,010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6245</w:t>
            </w:r>
          </w:p>
        </w:tc>
      </w:tr>
      <w:tr w:rsidR="00C37E5C" w:rsidRPr="00C37E5C" w:rsidTr="00C37E5C">
        <w:trPr>
          <w:cantSplit/>
          <w:trHeight w:val="98"/>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Contamination totale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mg/kg</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24</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12662</w:t>
            </w:r>
          </w:p>
        </w:tc>
      </w:tr>
      <w:tr w:rsidR="00C37E5C" w:rsidRPr="00C37E5C" w:rsidTr="00C37E5C">
        <w:trPr>
          <w:cantSplit/>
          <w:trHeight w:val="157"/>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eau</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mg/kg</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200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12937</w:t>
            </w:r>
          </w:p>
        </w:tc>
      </w:tr>
      <w:tr w:rsidR="00C37E5C" w:rsidRPr="00C37E5C" w:rsidTr="00C37E5C">
        <w:trPr>
          <w:cantSplit/>
          <w:trHeight w:val="232"/>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Indice d’acide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 KOH/g</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0,10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6618</w:t>
            </w:r>
          </w:p>
        </w:tc>
      </w:tr>
      <w:tr w:rsidR="00C37E5C" w:rsidRPr="00C37E5C" w:rsidTr="00C37E5C">
        <w:trPr>
          <w:cantSplit/>
          <w:trHeight w:val="121"/>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Pouvoir lubrifiant (diamètre de la marque d’usure à l’issue de l’essai HFRR à 60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μm</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400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ISO 12156</w:t>
            </w:r>
          </w:p>
        </w:tc>
      </w:tr>
      <w:tr w:rsidR="00C37E5C" w:rsidRPr="00C37E5C" w:rsidTr="00C37E5C">
        <w:trPr>
          <w:cantSplit/>
          <w:trHeight w:val="6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Stabilité à l’oxydation à 110 °C</w:t>
            </w:r>
            <w:r w:rsidRPr="00C37E5C">
              <w:rPr>
                <w:i/>
                <w:iCs/>
                <w:sz w:val="18"/>
                <w:szCs w:val="18"/>
                <w:vertAlign w:val="superscript"/>
              </w:rPr>
              <w:t>3</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h</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20,0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15751</w:t>
            </w:r>
          </w:p>
        </w:tc>
      </w:tr>
      <w:tr w:rsidR="00C37E5C" w:rsidRPr="00C37E5C" w:rsidTr="00C37E5C">
        <w:trPr>
          <w:cantSplit/>
          <w:trHeight w:val="114"/>
        </w:trPr>
        <w:tc>
          <w:tcPr>
            <w:tcW w:w="2778"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FAME</w:t>
            </w:r>
            <w:r w:rsidRPr="00C37E5C">
              <w:rPr>
                <w:i/>
                <w:iCs/>
                <w:sz w:val="18"/>
                <w:szCs w:val="18"/>
                <w:vertAlign w:val="superscript"/>
              </w:rPr>
              <w:t>4</w:t>
            </w:r>
          </w:p>
        </w:tc>
        <w:tc>
          <w:tcPr>
            <w:tcW w:w="1077"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6,0</w:t>
            </w:r>
          </w:p>
        </w:tc>
        <w:tc>
          <w:tcPr>
            <w:tcW w:w="2155"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7,0</w:t>
            </w:r>
          </w:p>
        </w:tc>
        <w:tc>
          <w:tcPr>
            <w:tcW w:w="1474"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EN 14078</w:t>
            </w:r>
          </w:p>
        </w:tc>
      </w:tr>
    </w:tbl>
    <w:p w:rsidR="00C37E5C" w:rsidRPr="00C37E5C" w:rsidRDefault="00C37E5C" w:rsidP="00DF35DE">
      <w:pPr>
        <w:keepNext/>
        <w:keepLines/>
        <w:tabs>
          <w:tab w:val="right" w:pos="1021"/>
        </w:tabs>
        <w:kinsoku w:val="0"/>
        <w:overflowPunct w:val="0"/>
        <w:autoSpaceDE w:val="0"/>
        <w:autoSpaceDN w:val="0"/>
        <w:adjustRightInd w:val="0"/>
        <w:snapToGrid w:val="0"/>
        <w:spacing w:before="120" w:line="220" w:lineRule="exact"/>
        <w:ind w:firstLine="170"/>
        <w:rPr>
          <w:sz w:val="18"/>
        </w:rPr>
      </w:pPr>
      <w:r w:rsidRPr="00C37E5C">
        <w:rPr>
          <w:sz w:val="18"/>
          <w:vertAlign w:val="superscript"/>
        </w:rPr>
        <w:t>1</w:t>
      </w:r>
      <w:r w:rsidRPr="00C37E5C">
        <w:rPr>
          <w:sz w:val="18"/>
        </w:rPr>
        <w:t xml:space="preserve">  Les valeurs mentionnées dans les spécifications sont des “valeurs vraies”. Les valeurs limites ont été déterminées conformément à la norme ISO 4259 intitulée “Produits pétroliers − Détermination et application des valeurs de fidélité relatives aux méthodes d’essai”. Pour la fixation d’un minimum, une différence minimale de 2R par rapport à la valeur zéro a été prise en compte; pour la fixation d’un maximum et d’un minimum, la différence minimale entre ces valeurs est de 4R (R = reproductibilité). Malgré cette mesure, qui est nécessaire pour des raisons techniques, le fabricant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doivent être appliquées.</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2</w:t>
      </w:r>
      <w:r w:rsidRPr="00C37E5C">
        <w:rPr>
          <w:sz w:val="18"/>
        </w:rPr>
        <w:t xml:space="preserve">  L’intervalle indiqué pour l’indice de cétane n’est pas conforme au minimum de 4R. Cependant, en cas de différend entre le fournisseur et l’utilisateur du carburant, c’est la norme ISO 4259 qui doit s’appliquer, à condition qu’un nombre suffisant de mesures soit effectué pour parvenir à la précision nécessaire.</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3</w:t>
      </w:r>
      <w:r w:rsidRPr="00C37E5C">
        <w:rPr>
          <w:sz w:val="18"/>
        </w:rPr>
        <w:t xml:space="preserve">  Bien que la stabilité à l’oxydation soit contrôlée, il est probable que la durée de vie du produit sera limitée. Il est recommandé de demander conseil au fournisseur quant aux conditions de stockage et à la durée de vie.</w:t>
      </w:r>
    </w:p>
    <w:p w:rsidR="00C37E5C" w:rsidRPr="00C37E5C" w:rsidRDefault="00C37E5C" w:rsidP="00C37E5C">
      <w:pPr>
        <w:tabs>
          <w:tab w:val="right" w:pos="1021"/>
        </w:tabs>
        <w:kinsoku w:val="0"/>
        <w:overflowPunct w:val="0"/>
        <w:autoSpaceDE w:val="0"/>
        <w:autoSpaceDN w:val="0"/>
        <w:adjustRightInd w:val="0"/>
        <w:snapToGrid w:val="0"/>
        <w:spacing w:after="240" w:line="220" w:lineRule="exact"/>
        <w:ind w:firstLine="170"/>
        <w:rPr>
          <w:sz w:val="18"/>
        </w:rPr>
      </w:pPr>
      <w:r w:rsidRPr="00C37E5C">
        <w:rPr>
          <w:sz w:val="18"/>
          <w:vertAlign w:val="superscript"/>
        </w:rPr>
        <w:t>4</w:t>
      </w:r>
      <w:r w:rsidRPr="00C37E5C">
        <w:rPr>
          <w:sz w:val="18"/>
        </w:rPr>
        <w:t xml:space="preserve">  La teneur en FAME doit satisfaire aux spécifications de la norme EN 14214.</w:t>
      </w:r>
      <w:r w:rsidRPr="00C37E5C">
        <w:t>».</w:t>
      </w:r>
    </w:p>
    <w:p w:rsidR="00C37E5C" w:rsidRPr="00C37E5C" w:rsidRDefault="00675C13" w:rsidP="00C37E5C">
      <w:pPr>
        <w:keepNext/>
        <w:kinsoku w:val="0"/>
        <w:overflowPunct w:val="0"/>
        <w:autoSpaceDE w:val="0"/>
        <w:autoSpaceDN w:val="0"/>
        <w:adjustRightInd w:val="0"/>
        <w:snapToGrid w:val="0"/>
        <w:spacing w:after="120"/>
        <w:ind w:left="1134" w:right="1134"/>
        <w:jc w:val="both"/>
      </w:pPr>
      <w:r>
        <w:rPr>
          <w:i/>
        </w:rPr>
        <w:br w:type="page"/>
      </w:r>
      <w:r w:rsidR="00DF35DE">
        <w:rPr>
          <w:i/>
        </w:rPr>
        <w:t>P</w:t>
      </w:r>
      <w:r w:rsidR="00C37E5C" w:rsidRPr="00C37E5C">
        <w:rPr>
          <w:i/>
        </w:rPr>
        <w:t>aragraphe 2</w:t>
      </w:r>
      <w:r w:rsidR="00C37E5C" w:rsidRPr="00C37E5C">
        <w:t>, ajouter le tableau suivant entre les tableaux «Type: Essence (E5)» et «Type: Éthanol (E75)»:</w:t>
      </w:r>
    </w:p>
    <w:p w:rsidR="00C37E5C" w:rsidRPr="00C37E5C" w:rsidRDefault="00C37E5C" w:rsidP="00C37E5C">
      <w:pPr>
        <w:keepNext/>
        <w:keepLines/>
        <w:kinsoku w:val="0"/>
        <w:overflowPunct w:val="0"/>
        <w:autoSpaceDE w:val="0"/>
        <w:autoSpaceDN w:val="0"/>
        <w:adjustRightInd w:val="0"/>
        <w:snapToGrid w:val="0"/>
        <w:spacing w:after="120" w:line="240" w:lineRule="auto"/>
        <w:outlineLvl w:val="0"/>
        <w:rPr>
          <w:b/>
          <w:bCs/>
        </w:rPr>
      </w:pPr>
      <w:r w:rsidRPr="00C37E5C">
        <w:t>«</w:t>
      </w:r>
      <w:r w:rsidRPr="00C37E5C">
        <w:rPr>
          <w:b/>
          <w:bCs/>
        </w:rPr>
        <w:t>Type: Essence (E10)</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8"/>
        <w:gridCol w:w="1077"/>
        <w:gridCol w:w="2154"/>
        <w:gridCol w:w="2155"/>
        <w:gridCol w:w="1474"/>
      </w:tblGrid>
      <w:tr w:rsidR="00C37E5C" w:rsidRPr="00C37E5C" w:rsidTr="00C37E5C">
        <w:trPr>
          <w:trHeight w:val="280"/>
          <w:tblHeader/>
        </w:trPr>
        <w:tc>
          <w:tcPr>
            <w:tcW w:w="2778" w:type="dxa"/>
            <w:vMerge w:val="restart"/>
            <w:vAlign w:val="bottom"/>
          </w:tcPr>
          <w:p w:rsidR="00C37E5C" w:rsidRPr="00C37E5C" w:rsidRDefault="00C37E5C" w:rsidP="00C37E5C">
            <w:pPr>
              <w:widowControl w:val="0"/>
              <w:tabs>
                <w:tab w:val="left" w:pos="735"/>
                <w:tab w:val="center" w:pos="1345"/>
              </w:tabs>
              <w:suppressAutoHyphens w:val="0"/>
              <w:kinsoku w:val="0"/>
              <w:overflowPunct w:val="0"/>
              <w:autoSpaceDE w:val="0"/>
              <w:autoSpaceDN w:val="0"/>
              <w:adjustRightInd w:val="0"/>
              <w:snapToGrid w:val="0"/>
              <w:spacing w:before="40" w:after="40" w:line="200" w:lineRule="exact"/>
              <w:ind w:left="57" w:right="57"/>
              <w:rPr>
                <w:i/>
                <w:sz w:val="16"/>
                <w:szCs w:val="16"/>
              </w:rPr>
            </w:pPr>
            <w:r w:rsidRPr="00C37E5C">
              <w:rPr>
                <w:i/>
                <w:sz w:val="16"/>
                <w:szCs w:val="16"/>
              </w:rPr>
              <w:t>Paramètre</w:t>
            </w:r>
          </w:p>
        </w:tc>
        <w:tc>
          <w:tcPr>
            <w:tcW w:w="1077"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i/>
                <w:sz w:val="16"/>
                <w:szCs w:val="16"/>
              </w:rPr>
            </w:pPr>
            <w:r w:rsidRPr="00C37E5C">
              <w:rPr>
                <w:i/>
                <w:sz w:val="16"/>
                <w:szCs w:val="16"/>
              </w:rPr>
              <w:t>Unité</w:t>
            </w:r>
          </w:p>
        </w:tc>
        <w:tc>
          <w:tcPr>
            <w:tcW w:w="4309" w:type="dxa"/>
            <w:gridSpan w:val="2"/>
            <w:tcBorders>
              <w:bottom w:val="single" w:sz="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i/>
                <w:sz w:val="16"/>
                <w:szCs w:val="16"/>
              </w:rPr>
            </w:pPr>
            <w:r w:rsidRPr="00C37E5C">
              <w:rPr>
                <w:i/>
                <w:sz w:val="16"/>
                <w:szCs w:val="16"/>
              </w:rPr>
              <w:t>Limites</w:t>
            </w:r>
            <w:r w:rsidRPr="00C37E5C">
              <w:rPr>
                <w:sz w:val="16"/>
                <w:szCs w:val="16"/>
                <w:vertAlign w:val="superscript"/>
              </w:rPr>
              <w:t>1</w:t>
            </w:r>
          </w:p>
        </w:tc>
        <w:tc>
          <w:tcPr>
            <w:tcW w:w="1474" w:type="dxa"/>
            <w:vMerge w:val="restart"/>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i/>
                <w:iCs/>
                <w:sz w:val="16"/>
                <w:szCs w:val="16"/>
              </w:rPr>
            </w:pPr>
            <w:r w:rsidRPr="00C37E5C">
              <w:rPr>
                <w:i/>
                <w:sz w:val="16"/>
                <w:szCs w:val="16"/>
              </w:rPr>
              <w:t>Méthode d’essai</w:t>
            </w:r>
          </w:p>
        </w:tc>
      </w:tr>
      <w:tr w:rsidR="00C37E5C" w:rsidRPr="00C37E5C" w:rsidTr="00C37E5C">
        <w:trPr>
          <w:trHeight w:val="280"/>
          <w:tblHeader/>
        </w:trPr>
        <w:tc>
          <w:tcPr>
            <w:tcW w:w="2778"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i/>
                <w:sz w:val="18"/>
                <w:szCs w:val="18"/>
              </w:rPr>
            </w:pPr>
          </w:p>
        </w:tc>
        <w:tc>
          <w:tcPr>
            <w:tcW w:w="1077"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i/>
                <w:sz w:val="18"/>
                <w:szCs w:val="18"/>
              </w:rPr>
            </w:pPr>
          </w:p>
        </w:tc>
        <w:tc>
          <w:tcPr>
            <w:tcW w:w="2154" w:type="dxa"/>
            <w:tcBorders>
              <w:bottom w:val="single" w:sz="1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i/>
                <w:sz w:val="16"/>
                <w:szCs w:val="16"/>
              </w:rPr>
            </w:pPr>
            <w:r w:rsidRPr="00C37E5C">
              <w:rPr>
                <w:i/>
                <w:sz w:val="16"/>
                <w:szCs w:val="16"/>
              </w:rPr>
              <w:t>Minimale</w:t>
            </w:r>
          </w:p>
        </w:tc>
        <w:tc>
          <w:tcPr>
            <w:tcW w:w="2155" w:type="dxa"/>
            <w:tcBorders>
              <w:bottom w:val="single" w:sz="12" w:space="0" w:color="auto"/>
            </w:tcBorders>
            <w:vAlign w:val="bottom"/>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i/>
                <w:sz w:val="16"/>
                <w:szCs w:val="16"/>
              </w:rPr>
            </w:pPr>
            <w:r w:rsidRPr="00C37E5C">
              <w:rPr>
                <w:i/>
                <w:sz w:val="16"/>
                <w:szCs w:val="16"/>
              </w:rPr>
              <w:t>Maximale</w:t>
            </w:r>
          </w:p>
        </w:tc>
        <w:tc>
          <w:tcPr>
            <w:tcW w:w="1474" w:type="dxa"/>
            <w:vMerge/>
            <w:tcBorders>
              <w:bottom w:val="single" w:sz="12" w:space="0" w:color="auto"/>
            </w:tcBorders>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i/>
                <w:iCs/>
                <w:sz w:val="16"/>
                <w:szCs w:val="16"/>
              </w:rPr>
            </w:pPr>
          </w:p>
        </w:tc>
      </w:tr>
      <w:tr w:rsidR="00C37E5C" w:rsidRPr="00C37E5C" w:rsidTr="00A564D7">
        <w:trPr>
          <w:trHeight w:hRule="exact" w:val="284"/>
        </w:trPr>
        <w:tc>
          <w:tcPr>
            <w:tcW w:w="2778"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Indice d’octane recherche (IOR)</w:t>
            </w:r>
            <w:r w:rsidRPr="00C37E5C">
              <w:rPr>
                <w:i/>
                <w:iCs/>
                <w:sz w:val="18"/>
                <w:szCs w:val="18"/>
                <w:vertAlign w:val="superscript"/>
              </w:rPr>
              <w:t>2</w:t>
            </w:r>
          </w:p>
        </w:tc>
        <w:tc>
          <w:tcPr>
            <w:tcW w:w="1077"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95,0</w:t>
            </w:r>
          </w:p>
        </w:tc>
        <w:tc>
          <w:tcPr>
            <w:tcW w:w="2155"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98,0</w:t>
            </w:r>
          </w:p>
        </w:tc>
        <w:tc>
          <w:tcPr>
            <w:tcW w:w="1474" w:type="dxa"/>
            <w:tcBorders>
              <w:top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5164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Indice d’octane moteur (IOM)</w:t>
            </w:r>
            <w:r w:rsidRPr="00C37E5C">
              <w:rPr>
                <w:i/>
                <w:iCs/>
                <w:sz w:val="18"/>
                <w:szCs w:val="18"/>
                <w:vertAlign w:val="superscript"/>
              </w:rPr>
              <w:t>2</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85,0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89,0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5163</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Densité à 15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kg/m</w:t>
            </w:r>
            <w:r w:rsidRPr="00C37E5C">
              <w:rPr>
                <w:sz w:val="18"/>
                <w:szCs w:val="18"/>
                <w:vertAlign w:val="superscript"/>
              </w:rPr>
              <w:t>3</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743,0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756,0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12185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Pression de vapeur (DVPE)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kPa</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56,0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95,0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13016-1</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eau</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p>
        </w:tc>
        <w:tc>
          <w:tcPr>
            <w:tcW w:w="4309" w:type="dxa"/>
            <w:gridSpan w:val="2"/>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0,05 max.</w:t>
            </w:r>
            <w:r w:rsidRPr="00C37E5C">
              <w:rPr>
                <w:sz w:val="18"/>
                <w:szCs w:val="18"/>
              </w:rPr>
              <w:br/>
              <w:t>Aspect à -7 °C: claire et brillante</w:t>
            </w:r>
          </w:p>
        </w:tc>
        <w:tc>
          <w:tcPr>
            <w:tcW w:w="1474" w:type="dxa"/>
            <w:vAlign w:val="center"/>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12937</w:t>
            </w:r>
          </w:p>
        </w:tc>
      </w:tr>
      <w:tr w:rsidR="00C37E5C" w:rsidRPr="00C37E5C" w:rsidTr="00A564D7">
        <w:trPr>
          <w:trHeight w:hRule="exact" w:val="284"/>
        </w:trPr>
        <w:tc>
          <w:tcPr>
            <w:tcW w:w="2778"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Distillation:</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bCs/>
                <w:sz w:val="18"/>
                <w:szCs w:val="18"/>
              </w:rPr>
              <w:t> </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bCs/>
                <w:sz w:val="18"/>
                <w:szCs w:val="18"/>
              </w:rPr>
              <w:t> </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Évaporé à 70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34,0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46,0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Évaporé à 100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54,0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62,0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Évaporé à 150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86,0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94,0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Point d’ébullition final</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°C</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170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195</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Résidus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3405</w:t>
            </w:r>
          </w:p>
        </w:tc>
      </w:tr>
      <w:tr w:rsidR="00C37E5C" w:rsidRPr="00C37E5C" w:rsidTr="00A564D7">
        <w:trPr>
          <w:trHeight w:hRule="exact" w:val="284"/>
        </w:trPr>
        <w:tc>
          <w:tcPr>
            <w:tcW w:w="2778" w:type="dxa"/>
          </w:tcPr>
          <w:p w:rsidR="00C37E5C" w:rsidRPr="00C37E5C" w:rsidRDefault="00C37E5C" w:rsidP="00C37E5C">
            <w:pPr>
              <w:keepNext/>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Analyse des hydrocarbures: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bCs/>
                <w:sz w:val="18"/>
                <w:szCs w:val="18"/>
              </w:rPr>
              <w:t> </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bCs/>
                <w:sz w:val="18"/>
                <w:szCs w:val="18"/>
              </w:rPr>
              <w:t> </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Oléfines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6,0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13,0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Aromatiques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25,0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32,0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Benzène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iCs/>
                <w:strike/>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1,00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bCs/>
                <w:sz w:val="18"/>
                <w:szCs w:val="18"/>
              </w:rPr>
              <w:t>EN 22854</w:t>
            </w:r>
            <w:r w:rsidRPr="00C37E5C">
              <w:rPr>
                <w:bCs/>
                <w:sz w:val="18"/>
                <w:szCs w:val="18"/>
              </w:rPr>
              <w:br/>
              <w:t>EN 238</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 Saturés</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4309" w:type="dxa"/>
            <w:gridSpan w:val="2"/>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Valeur déclarée</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Rapport carbone/hydrogène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4309" w:type="dxa"/>
            <w:gridSpan w:val="2"/>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Valeur déclarée</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Rapport carbone/oxygène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4309" w:type="dxa"/>
            <w:gridSpan w:val="2"/>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Valeur déclarée</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bCs/>
                <w:sz w:val="18"/>
                <w:szCs w:val="18"/>
              </w:rPr>
              <w:t> </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Période d’induction</w:t>
            </w:r>
            <w:r w:rsidRPr="00C37E5C">
              <w:rPr>
                <w:i/>
                <w:iCs/>
                <w:sz w:val="18"/>
                <w:szCs w:val="18"/>
                <w:vertAlign w:val="superscript"/>
              </w:rPr>
              <w:t>3</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min</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480</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7536</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oxygène</w:t>
            </w:r>
            <w:r w:rsidRPr="00C37E5C">
              <w:rPr>
                <w:i/>
                <w:iCs/>
                <w:sz w:val="18"/>
                <w:szCs w:val="18"/>
                <w:vertAlign w:val="superscript"/>
              </w:rPr>
              <w:t>4</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m/m</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3,3</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3,7</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22854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Gomme lavée avec un solvant (teneur en gomme actuelle)</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mg/100 ml</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4</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6246</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soufre</w:t>
            </w:r>
            <w:r w:rsidRPr="00C37E5C">
              <w:rPr>
                <w:i/>
                <w:iCs/>
                <w:sz w:val="18"/>
                <w:szCs w:val="18"/>
                <w:vertAlign w:val="superscript"/>
              </w:rPr>
              <w:t>5</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mg/kg</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10</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EN-ISO 20846 EN-ISO 20884</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Corrosion du cuivre 3h, 50 °C</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Classe 1</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ISO 2160</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plomb</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mg/l</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5</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237</w:t>
            </w:r>
          </w:p>
        </w:tc>
      </w:tr>
      <w:tr w:rsidR="00C37E5C" w:rsidRPr="00C37E5C" w:rsidTr="00A564D7">
        <w:trPr>
          <w:trHeight w:hRule="exact" w:val="284"/>
        </w:trPr>
        <w:tc>
          <w:tcPr>
            <w:tcW w:w="2778"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Teneur en phosphore</w:t>
            </w:r>
            <w:r w:rsidRPr="00C37E5C">
              <w:rPr>
                <w:i/>
                <w:iCs/>
                <w:sz w:val="18"/>
                <w:szCs w:val="18"/>
                <w:vertAlign w:val="superscript"/>
              </w:rPr>
              <w:t>6</w:t>
            </w:r>
          </w:p>
        </w:tc>
        <w:tc>
          <w:tcPr>
            <w:tcW w:w="1077"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mg/l</w:t>
            </w:r>
          </w:p>
        </w:tc>
        <w:tc>
          <w:tcPr>
            <w:tcW w:w="215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w:t>
            </w:r>
          </w:p>
        </w:tc>
        <w:tc>
          <w:tcPr>
            <w:tcW w:w="2155"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1,3</w:t>
            </w:r>
          </w:p>
        </w:tc>
        <w:tc>
          <w:tcPr>
            <w:tcW w:w="1474" w:type="dxa"/>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ASTM D 3231</w:t>
            </w:r>
          </w:p>
        </w:tc>
      </w:tr>
      <w:tr w:rsidR="00C37E5C" w:rsidRPr="00C37E5C" w:rsidTr="00A564D7">
        <w:trPr>
          <w:trHeight w:hRule="exact" w:val="284"/>
        </w:trPr>
        <w:tc>
          <w:tcPr>
            <w:tcW w:w="2778"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sz w:val="18"/>
                <w:szCs w:val="18"/>
              </w:rPr>
            </w:pPr>
            <w:r w:rsidRPr="00C37E5C">
              <w:rPr>
                <w:sz w:val="18"/>
                <w:szCs w:val="18"/>
              </w:rPr>
              <w:t>Éthanol</w:t>
            </w:r>
            <w:r w:rsidRPr="00C37E5C">
              <w:rPr>
                <w:i/>
                <w:iCs/>
                <w:sz w:val="18"/>
                <w:szCs w:val="18"/>
                <w:vertAlign w:val="superscript"/>
              </w:rPr>
              <w:t>4</w:t>
            </w:r>
          </w:p>
        </w:tc>
        <w:tc>
          <w:tcPr>
            <w:tcW w:w="1077"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sz w:val="18"/>
                <w:szCs w:val="18"/>
              </w:rPr>
            </w:pPr>
            <w:r w:rsidRPr="00C37E5C">
              <w:rPr>
                <w:sz w:val="18"/>
                <w:szCs w:val="18"/>
              </w:rPr>
              <w:t>% v/v</w:t>
            </w:r>
          </w:p>
        </w:tc>
        <w:tc>
          <w:tcPr>
            <w:tcW w:w="2154"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trike/>
                <w:sz w:val="18"/>
                <w:szCs w:val="18"/>
              </w:rPr>
            </w:pPr>
            <w:r w:rsidRPr="00C37E5C">
              <w:rPr>
                <w:sz w:val="18"/>
                <w:szCs w:val="18"/>
              </w:rPr>
              <w:t>9,0</w:t>
            </w:r>
          </w:p>
        </w:tc>
        <w:tc>
          <w:tcPr>
            <w:tcW w:w="2155"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jc w:val="center"/>
              <w:rPr>
                <w:bCs/>
                <w:sz w:val="18"/>
                <w:szCs w:val="18"/>
              </w:rPr>
            </w:pPr>
            <w:r w:rsidRPr="00C37E5C">
              <w:rPr>
                <w:sz w:val="18"/>
                <w:szCs w:val="18"/>
              </w:rPr>
              <w:t>10,0</w:t>
            </w:r>
          </w:p>
        </w:tc>
        <w:tc>
          <w:tcPr>
            <w:tcW w:w="1474" w:type="dxa"/>
            <w:tcBorders>
              <w:bottom w:val="single" w:sz="12" w:space="0" w:color="auto"/>
            </w:tcBorders>
          </w:tcPr>
          <w:p w:rsidR="00C37E5C" w:rsidRPr="00C37E5C" w:rsidRDefault="00C37E5C" w:rsidP="00C37E5C">
            <w:pPr>
              <w:widowControl w:val="0"/>
              <w:suppressAutoHyphens w:val="0"/>
              <w:kinsoku w:val="0"/>
              <w:overflowPunct w:val="0"/>
              <w:autoSpaceDE w:val="0"/>
              <w:autoSpaceDN w:val="0"/>
              <w:adjustRightInd w:val="0"/>
              <w:snapToGrid w:val="0"/>
              <w:spacing w:before="40" w:after="40" w:line="200" w:lineRule="exact"/>
              <w:ind w:left="57" w:right="57"/>
              <w:rPr>
                <w:bCs/>
                <w:sz w:val="18"/>
                <w:szCs w:val="18"/>
              </w:rPr>
            </w:pPr>
            <w:r w:rsidRPr="00C37E5C">
              <w:rPr>
                <w:sz w:val="18"/>
                <w:szCs w:val="18"/>
              </w:rPr>
              <w:t>EN 22854</w:t>
            </w:r>
          </w:p>
        </w:tc>
      </w:tr>
    </w:tbl>
    <w:p w:rsidR="00C37E5C" w:rsidRPr="00C37E5C" w:rsidRDefault="00C37E5C" w:rsidP="00C37E5C">
      <w:pPr>
        <w:tabs>
          <w:tab w:val="right" w:pos="1021"/>
        </w:tabs>
        <w:kinsoku w:val="0"/>
        <w:overflowPunct w:val="0"/>
        <w:autoSpaceDE w:val="0"/>
        <w:autoSpaceDN w:val="0"/>
        <w:adjustRightInd w:val="0"/>
        <w:snapToGrid w:val="0"/>
        <w:spacing w:before="120" w:line="220" w:lineRule="exact"/>
        <w:ind w:firstLine="170"/>
        <w:rPr>
          <w:sz w:val="18"/>
        </w:rPr>
      </w:pPr>
      <w:r w:rsidRPr="00C37E5C">
        <w:rPr>
          <w:sz w:val="18"/>
          <w:vertAlign w:val="superscript"/>
        </w:rPr>
        <w:t>1</w:t>
      </w:r>
      <w:r w:rsidRPr="00C37E5C">
        <w:rPr>
          <w:sz w:val="18"/>
        </w:rPr>
        <w:t xml:space="preserve">  Les valeurs mentionnées dans les spécifications sont des «valeurs vraies». Les valeurs limites ont été déterminées conformément à la norme ISO 4259 intitulée «Produits pétroliers − Détermination et application des valeurs de fidélité relatives aux méthodes d’essai». Pour la fixation d’un minimum, une différence minimale de 2R par rapport à la valeur zéro a été prise en compte; pour la fixation d’un maximum et d’un minimum, la différence minimale entre ces valeurs est de 4R (R = reproductibilité). Malgré cette mesure, qui est nécessaire pour des raisons techniques, le fabricant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doivent être appliquées.</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3</w:t>
      </w:r>
      <w:r w:rsidRPr="00C37E5C">
        <w:rPr>
          <w:sz w:val="18"/>
        </w:rPr>
        <w:t xml:space="preserve">  Un facteur de correction de 0,2 pour IOR et IOM doit être soustrait pour le calcul du résultat final conformément à la spécification EN 228:2008.</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4</w:t>
      </w:r>
      <w:r w:rsidRPr="00C37E5C">
        <w:rPr>
          <w:sz w:val="18"/>
        </w:rPr>
        <w:t xml:space="preserve">  Le carburant peut contenir des additifs antioxydants et des inhibiteurs de catalyse métallique normalement utilisés pour stabiliser les flux d’essence en raffinerie; il ne faut cependant pas y ajouter d’additifs détergents ou dispersants ni d’huiles solvantes.</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5</w:t>
      </w:r>
      <w:r w:rsidRPr="00C37E5C">
        <w:rPr>
          <w:sz w:val="18"/>
        </w:rPr>
        <w:t xml:space="preserve">  Le seul oxygénant pouvant être ajouté délibérément au carburant de référence est l’éthanol conforme à la norme EN 15376.</w:t>
      </w:r>
    </w:p>
    <w:p w:rsidR="00C37E5C" w:rsidRPr="00C37E5C" w:rsidRDefault="00C37E5C" w:rsidP="00C37E5C">
      <w:pPr>
        <w:tabs>
          <w:tab w:val="right" w:pos="1021"/>
        </w:tabs>
        <w:kinsoku w:val="0"/>
        <w:overflowPunct w:val="0"/>
        <w:autoSpaceDE w:val="0"/>
        <w:autoSpaceDN w:val="0"/>
        <w:adjustRightInd w:val="0"/>
        <w:snapToGrid w:val="0"/>
        <w:spacing w:line="220" w:lineRule="exact"/>
        <w:ind w:firstLine="170"/>
        <w:rPr>
          <w:sz w:val="18"/>
        </w:rPr>
      </w:pPr>
      <w:r w:rsidRPr="00C37E5C">
        <w:rPr>
          <w:sz w:val="18"/>
          <w:vertAlign w:val="superscript"/>
        </w:rPr>
        <w:t>6</w:t>
      </w:r>
      <w:r w:rsidRPr="00C37E5C">
        <w:rPr>
          <w:sz w:val="18"/>
        </w:rPr>
        <w:t xml:space="preserve">  Il convient de communiquer la teneur en soufre effective du carburant utilisé pour les essais du type 1.</w:t>
      </w:r>
    </w:p>
    <w:p w:rsidR="00C37E5C" w:rsidRPr="00C37E5C" w:rsidRDefault="00C37E5C" w:rsidP="00C37E5C">
      <w:pPr>
        <w:tabs>
          <w:tab w:val="right" w:pos="1021"/>
        </w:tabs>
        <w:kinsoku w:val="0"/>
        <w:overflowPunct w:val="0"/>
        <w:autoSpaceDE w:val="0"/>
        <w:autoSpaceDN w:val="0"/>
        <w:adjustRightInd w:val="0"/>
        <w:snapToGrid w:val="0"/>
        <w:spacing w:after="240" w:line="220" w:lineRule="exact"/>
        <w:ind w:firstLine="170"/>
        <w:rPr>
          <w:sz w:val="18"/>
        </w:rPr>
      </w:pPr>
      <w:r w:rsidRPr="00C37E5C">
        <w:rPr>
          <w:sz w:val="18"/>
          <w:vertAlign w:val="superscript"/>
        </w:rPr>
        <w:t>7</w:t>
      </w:r>
      <w:r w:rsidRPr="00C37E5C">
        <w:rPr>
          <w:sz w:val="18"/>
        </w:rPr>
        <w:t xml:space="preserve">  Aucun composant contenant du phosphore, du fer, du manganèse ou du plomb ne doit être ajouté délibérément au carburant de référence.</w:t>
      </w:r>
      <w:r w:rsidRPr="00C37E5C">
        <w:t>».</w:t>
      </w:r>
    </w:p>
    <w:p w:rsidR="00C37E5C" w:rsidRPr="00C37E5C" w:rsidRDefault="00C37E5C" w:rsidP="00C37E5C">
      <w:pPr>
        <w:keepNext/>
        <w:kinsoku w:val="0"/>
        <w:overflowPunct w:val="0"/>
        <w:autoSpaceDE w:val="0"/>
        <w:autoSpaceDN w:val="0"/>
        <w:adjustRightInd w:val="0"/>
        <w:snapToGrid w:val="0"/>
        <w:spacing w:after="120"/>
        <w:ind w:left="1134" w:right="1134"/>
        <w:jc w:val="both"/>
        <w:rPr>
          <w:i/>
          <w:iCs/>
        </w:rPr>
      </w:pPr>
      <w:r w:rsidRPr="00C37E5C">
        <w:rPr>
          <w:i/>
        </w:rPr>
        <w:t>Annexe 11</w:t>
      </w:r>
      <w:r w:rsidRPr="00C37E5C">
        <w:t>,</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2</w:t>
      </w:r>
      <w:r w:rsidRPr="00C37E5C">
        <w:t xml:space="preserve">, modifier comme suit: </w:t>
      </w:r>
    </w:p>
    <w:p w:rsidR="00C37E5C" w:rsidRPr="00C37E5C" w:rsidRDefault="00C37E5C" w:rsidP="00C37E5C">
      <w:pPr>
        <w:keepNext/>
        <w:kinsoku w:val="0"/>
        <w:overflowPunct w:val="0"/>
        <w:autoSpaceDE w:val="0"/>
        <w:autoSpaceDN w:val="0"/>
        <w:adjustRightInd w:val="0"/>
        <w:snapToGrid w:val="0"/>
        <w:spacing w:after="120"/>
        <w:ind w:left="2268" w:right="1134" w:hanging="1134"/>
        <w:jc w:val="both"/>
      </w:pPr>
      <w:r w:rsidRPr="00C37E5C">
        <w:t>«2.</w:t>
      </w:r>
      <w:r w:rsidRPr="00C37E5C">
        <w:tab/>
        <w:t>Définitions</w:t>
      </w:r>
    </w:p>
    <w:p w:rsidR="00C37E5C" w:rsidRPr="00C37E5C" w:rsidRDefault="00C37E5C" w:rsidP="00C37E5C">
      <w:pPr>
        <w:kinsoku w:val="0"/>
        <w:overflowPunct w:val="0"/>
        <w:autoSpaceDE w:val="0"/>
        <w:autoSpaceDN w:val="0"/>
        <w:adjustRightInd w:val="0"/>
        <w:snapToGrid w:val="0"/>
        <w:spacing w:after="120"/>
        <w:ind w:left="2268" w:right="1134"/>
        <w:jc w:val="both"/>
        <w:rPr>
          <w:b/>
          <w:bCs/>
        </w:rPr>
      </w:pPr>
      <w:r w:rsidRPr="00C37E5C">
        <w:t>Au sens de la présente annexe, on entend par:».</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2.10</w:t>
      </w:r>
      <w:r w:rsidRPr="00C37E5C">
        <w:t>, modifier comme suit:</w:t>
      </w:r>
    </w:p>
    <w:p w:rsidR="00C37E5C" w:rsidRPr="00C37E5C" w:rsidRDefault="00C37E5C" w:rsidP="00C37E5C">
      <w:pPr>
        <w:kinsoku w:val="0"/>
        <w:overflowPunct w:val="0"/>
        <w:autoSpaceDE w:val="0"/>
        <w:autoSpaceDN w:val="0"/>
        <w:adjustRightInd w:val="0"/>
        <w:snapToGrid w:val="0"/>
        <w:spacing w:after="120"/>
        <w:ind w:left="2268" w:right="1134" w:hanging="1134"/>
        <w:jc w:val="both"/>
      </w:pPr>
      <w:r w:rsidRPr="00C37E5C">
        <w:t>«2.10</w:t>
      </w:r>
      <w:r w:rsidRPr="00C37E5C">
        <w:tab/>
        <w:t>“</w:t>
      </w:r>
      <w:r w:rsidRPr="00C37E5C">
        <w:rPr>
          <w:i/>
        </w:rPr>
        <w:t>Cycle de conduite</w:t>
      </w:r>
      <w:r w:rsidRPr="00C37E5C">
        <w:t>”, l’ensemble d’opérations comprenant le démarrage du moteur, une phase de roulage pendant laquelle un éventuel dysfonctionnement serait détecté, et l’arrêt du moteur;».</w:t>
      </w:r>
    </w:p>
    <w:p w:rsidR="00C37E5C" w:rsidRPr="00C37E5C" w:rsidRDefault="00C37E5C" w:rsidP="00C37E5C">
      <w:pPr>
        <w:keepNext/>
        <w:kinsoku w:val="0"/>
        <w:overflowPunct w:val="0"/>
        <w:autoSpaceDE w:val="0"/>
        <w:autoSpaceDN w:val="0"/>
        <w:adjustRightInd w:val="0"/>
        <w:snapToGrid w:val="0"/>
        <w:spacing w:after="120"/>
        <w:ind w:left="1134" w:right="1134"/>
        <w:jc w:val="both"/>
        <w:rPr>
          <w:b/>
          <w:bCs/>
          <w:szCs w:val="24"/>
        </w:rPr>
      </w:pPr>
      <w:r w:rsidRPr="00C37E5C">
        <w:rPr>
          <w:i/>
          <w:szCs w:val="24"/>
        </w:rPr>
        <w:t>Ajouter un nouveau paragraphe, 3.2.3</w:t>
      </w:r>
      <w:r w:rsidRPr="00C37E5C">
        <w:rPr>
          <w:szCs w:val="24"/>
        </w:rPr>
        <w:t>, ainsi conçu:</w:t>
      </w:r>
    </w:p>
    <w:p w:rsidR="00C37E5C" w:rsidRPr="00C37E5C" w:rsidRDefault="00C37E5C" w:rsidP="00C37E5C">
      <w:pPr>
        <w:kinsoku w:val="0"/>
        <w:overflowPunct w:val="0"/>
        <w:autoSpaceDE w:val="0"/>
        <w:autoSpaceDN w:val="0"/>
        <w:adjustRightInd w:val="0"/>
        <w:snapToGrid w:val="0"/>
        <w:spacing w:after="120"/>
        <w:ind w:left="2268" w:right="1134" w:hanging="1134"/>
        <w:jc w:val="both"/>
        <w:rPr>
          <w:rFonts w:eastAsia="MS Gothic"/>
          <w:i/>
          <w:szCs w:val="24"/>
        </w:rPr>
      </w:pPr>
      <w:r w:rsidRPr="00C37E5C">
        <w:rPr>
          <w:szCs w:val="24"/>
        </w:rPr>
        <w:t>«3.2.3</w:t>
      </w:r>
      <w:r w:rsidRPr="00C37E5C">
        <w:rPr>
          <w:szCs w:val="24"/>
        </w:rPr>
        <w:tab/>
        <w:t xml:space="preserve">La mise en </w:t>
      </w:r>
      <w:r w:rsidRPr="00C37E5C">
        <w:t>évidence</w:t>
      </w:r>
      <w:r w:rsidRPr="00C37E5C">
        <w:rPr>
          <w:szCs w:val="24"/>
        </w:rPr>
        <w:t xml:space="preserve"> de détériorations ou de défauts de fonctionnement peut aussi se faire en dehors d’un cycle de conduite (par exemple après l’arrêt du moteur).».</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3.8.1</w:t>
      </w:r>
      <w:r w:rsidRPr="00C37E5C">
        <w:t>, modifier comme suit:</w:t>
      </w:r>
    </w:p>
    <w:p w:rsidR="00C37E5C" w:rsidRPr="00C37E5C" w:rsidRDefault="00C37E5C" w:rsidP="00C37E5C">
      <w:pPr>
        <w:kinsoku w:val="0"/>
        <w:overflowPunct w:val="0"/>
        <w:autoSpaceDE w:val="0"/>
        <w:autoSpaceDN w:val="0"/>
        <w:adjustRightInd w:val="0"/>
        <w:snapToGrid w:val="0"/>
        <w:spacing w:after="120"/>
        <w:ind w:left="2268" w:right="1134" w:hanging="1134"/>
        <w:jc w:val="both"/>
        <w:rPr>
          <w:spacing w:val="-2"/>
        </w:rPr>
      </w:pPr>
      <w:r w:rsidRPr="00C37E5C">
        <w:t>«3.8.1</w:t>
      </w:r>
      <w:r w:rsidRPr="00C37E5C">
        <w:tab/>
      </w:r>
      <w:r w:rsidRPr="00C37E5C">
        <w:rPr>
          <w:spacing w:val="-2"/>
        </w:rPr>
        <w:t>Le système OBD peut supprimer un code d’erreur, la distance parcourue et les codes figés correspondants si la même défaillance n’est plus enregistrée pendant au moins 40 cycles d’échauffement du moteur ou 40 cycles de conduite au cours desquels le fonctionnement du véhicule satisfait aux critères spécifiés aux paragraphes 7.5.1 a) à c) de l’appendice 1 de l’annexe 11.».</w:t>
      </w:r>
    </w:p>
    <w:p w:rsidR="00C37E5C" w:rsidRPr="00C37E5C" w:rsidRDefault="00C37E5C" w:rsidP="00C37E5C">
      <w:pPr>
        <w:keepNext/>
        <w:kinsoku w:val="0"/>
        <w:overflowPunct w:val="0"/>
        <w:autoSpaceDE w:val="0"/>
        <w:autoSpaceDN w:val="0"/>
        <w:adjustRightInd w:val="0"/>
        <w:snapToGrid w:val="0"/>
        <w:spacing w:after="120"/>
        <w:ind w:left="1134" w:right="1134"/>
        <w:jc w:val="both"/>
        <w:rPr>
          <w:iCs/>
        </w:rPr>
      </w:pPr>
      <w:r w:rsidRPr="00C37E5C">
        <w:rPr>
          <w:i/>
        </w:rPr>
        <w:t>Ajouter un nouveau paragraphe, 3.10</w:t>
      </w:r>
      <w:r w:rsidRPr="00C37E5C">
        <w:t>, ainsi conçu:</w:t>
      </w:r>
    </w:p>
    <w:p w:rsidR="00C37E5C" w:rsidRPr="00C37E5C" w:rsidRDefault="00C37E5C" w:rsidP="00C37E5C">
      <w:pPr>
        <w:kinsoku w:val="0"/>
        <w:overflowPunct w:val="0"/>
        <w:autoSpaceDE w:val="0"/>
        <w:autoSpaceDN w:val="0"/>
        <w:adjustRightInd w:val="0"/>
        <w:snapToGrid w:val="0"/>
        <w:spacing w:after="120"/>
        <w:ind w:left="2268" w:right="1134" w:hanging="1134"/>
        <w:jc w:val="both"/>
        <w:rPr>
          <w:b/>
          <w:bCs/>
          <w:szCs w:val="24"/>
        </w:rPr>
      </w:pPr>
      <w:r w:rsidRPr="00C37E5C">
        <w:rPr>
          <w:szCs w:val="24"/>
        </w:rPr>
        <w:t>«3.10</w:t>
      </w:r>
      <w:r w:rsidRPr="00C37E5C">
        <w:rPr>
          <w:szCs w:val="24"/>
        </w:rPr>
        <w:tab/>
        <w:t xml:space="preserve">Dispositions </w:t>
      </w:r>
      <w:r w:rsidRPr="00C37E5C">
        <w:t>supplémentaires</w:t>
      </w:r>
      <w:r w:rsidRPr="00C37E5C">
        <w:rPr>
          <w:szCs w:val="24"/>
        </w:rPr>
        <w:t xml:space="preserve"> applicables aux véhicules qui utilisent des stratégies d’arrêt du moteur</w:t>
      </w:r>
    </w:p>
    <w:p w:rsidR="00C37E5C" w:rsidRPr="00C37E5C" w:rsidRDefault="00C37E5C" w:rsidP="00C37E5C">
      <w:pPr>
        <w:kinsoku w:val="0"/>
        <w:overflowPunct w:val="0"/>
        <w:autoSpaceDE w:val="0"/>
        <w:autoSpaceDN w:val="0"/>
        <w:adjustRightInd w:val="0"/>
        <w:snapToGrid w:val="0"/>
        <w:spacing w:after="120"/>
        <w:ind w:left="2268" w:right="1134" w:hanging="1134"/>
        <w:jc w:val="both"/>
        <w:rPr>
          <w:b/>
          <w:bCs/>
          <w:szCs w:val="24"/>
        </w:rPr>
      </w:pPr>
      <w:r w:rsidRPr="00C37E5C">
        <w:rPr>
          <w:szCs w:val="24"/>
        </w:rPr>
        <w:t>3.10.1</w:t>
      </w:r>
      <w:r w:rsidRPr="00C37E5C">
        <w:rPr>
          <w:szCs w:val="24"/>
        </w:rPr>
        <w:tab/>
        <w:t xml:space="preserve">Cycle de </w:t>
      </w:r>
      <w:r w:rsidRPr="00C37E5C">
        <w:t>conduite</w:t>
      </w:r>
    </w:p>
    <w:p w:rsidR="00C37E5C" w:rsidRPr="00C37E5C" w:rsidRDefault="00C37E5C" w:rsidP="00C37E5C">
      <w:pPr>
        <w:kinsoku w:val="0"/>
        <w:overflowPunct w:val="0"/>
        <w:autoSpaceDE w:val="0"/>
        <w:autoSpaceDN w:val="0"/>
        <w:adjustRightInd w:val="0"/>
        <w:snapToGrid w:val="0"/>
        <w:spacing w:after="120"/>
        <w:ind w:left="2268" w:right="1134" w:hanging="1134"/>
        <w:jc w:val="both"/>
        <w:rPr>
          <w:b/>
          <w:bCs/>
          <w:szCs w:val="24"/>
        </w:rPr>
      </w:pPr>
      <w:r w:rsidRPr="00C37E5C">
        <w:rPr>
          <w:szCs w:val="24"/>
        </w:rPr>
        <w:t>3.10.1.1</w:t>
      </w:r>
      <w:r w:rsidRPr="00C37E5C">
        <w:rPr>
          <w:szCs w:val="24"/>
        </w:rPr>
        <w:tab/>
        <w:t xml:space="preserve">Le redémarrage </w:t>
      </w:r>
      <w:r w:rsidRPr="00C37E5C">
        <w:t>autonome</w:t>
      </w:r>
      <w:r w:rsidRPr="00C37E5C">
        <w:rPr>
          <w:szCs w:val="24"/>
        </w:rPr>
        <w:t xml:space="preserve"> commandé par le système de contrôle d’un moteur qui a calé peut être considéré soit comme un nouveau cycle de conduite, soit comme la continuation du cycle en cours.».</w:t>
      </w:r>
    </w:p>
    <w:p w:rsidR="00C37E5C" w:rsidRPr="00C37E5C" w:rsidRDefault="00C37E5C" w:rsidP="00C37E5C">
      <w:pPr>
        <w:keepNext/>
        <w:kinsoku w:val="0"/>
        <w:overflowPunct w:val="0"/>
        <w:autoSpaceDE w:val="0"/>
        <w:autoSpaceDN w:val="0"/>
        <w:adjustRightInd w:val="0"/>
        <w:snapToGrid w:val="0"/>
        <w:spacing w:after="120"/>
        <w:ind w:left="1134" w:right="1134"/>
        <w:jc w:val="both"/>
        <w:rPr>
          <w:i/>
          <w:iCs/>
        </w:rPr>
      </w:pPr>
      <w:r w:rsidRPr="00C37E5C">
        <w:rPr>
          <w:i/>
        </w:rPr>
        <w:t>Appendice 1</w:t>
      </w:r>
      <w:r w:rsidRPr="00C37E5C">
        <w:rPr>
          <w:iCs/>
        </w:rPr>
        <w:t>,</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1</w:t>
      </w:r>
      <w:r w:rsidRPr="00C37E5C">
        <w:t>, modifier comme suit:</w:t>
      </w:r>
    </w:p>
    <w:p w:rsidR="00C37E5C" w:rsidRPr="00C37E5C" w:rsidRDefault="00C37E5C" w:rsidP="00C37E5C">
      <w:pPr>
        <w:keepNext/>
        <w:kinsoku w:val="0"/>
        <w:overflowPunct w:val="0"/>
        <w:autoSpaceDE w:val="0"/>
        <w:autoSpaceDN w:val="0"/>
        <w:adjustRightInd w:val="0"/>
        <w:snapToGrid w:val="0"/>
        <w:spacing w:after="120"/>
        <w:ind w:left="2268" w:right="1134" w:hanging="1134"/>
        <w:jc w:val="both"/>
        <w:rPr>
          <w:szCs w:val="24"/>
        </w:rPr>
      </w:pPr>
      <w:r w:rsidRPr="00C37E5C">
        <w:rPr>
          <w:szCs w:val="24"/>
        </w:rPr>
        <w:t>«1.</w:t>
      </w:r>
      <w:r w:rsidRPr="00C37E5C">
        <w:rPr>
          <w:szCs w:val="24"/>
        </w:rPr>
        <w:tab/>
      </w:r>
      <w:r w:rsidRPr="00C37E5C">
        <w:rPr>
          <w:szCs w:val="24"/>
        </w:rPr>
        <w:tab/>
      </w:r>
      <w:r w:rsidRPr="00C37E5C">
        <w:t>Introduction</w:t>
      </w:r>
    </w:p>
    <w:p w:rsidR="00C37E5C" w:rsidRPr="00C37E5C" w:rsidRDefault="00C37E5C" w:rsidP="00C37E5C">
      <w:pPr>
        <w:keepLines/>
        <w:kinsoku w:val="0"/>
        <w:overflowPunct w:val="0"/>
        <w:autoSpaceDE w:val="0"/>
        <w:autoSpaceDN w:val="0"/>
        <w:adjustRightInd w:val="0"/>
        <w:snapToGrid w:val="0"/>
        <w:spacing w:after="120"/>
        <w:ind w:left="2268" w:right="1134"/>
        <w:jc w:val="both"/>
      </w:pPr>
      <w:r w:rsidRPr="00C37E5C">
        <w:t>Le présent appendice décrit la procédure de l’essai à effectuer conformément au paragraphe 3 de la présente annexe. Il s’agit d’une méthode de vérification du fonctionnement du système d’autodiagnostic (OBD) installé sur un véhicule, grâce à la simulation de défaillances des systèmes correspondants au niveau du système de gestion du moteur ou de réduction des émissions. Le présent appendice décrit également les procédures à utiliser pour déterminer la durabilité des systèmes OBD.</w:t>
      </w:r>
    </w:p>
    <w:p w:rsidR="00C37E5C" w:rsidRPr="00C37E5C" w:rsidRDefault="00C37E5C" w:rsidP="00C37E5C">
      <w:pPr>
        <w:kinsoku w:val="0"/>
        <w:overflowPunct w:val="0"/>
        <w:autoSpaceDE w:val="0"/>
        <w:autoSpaceDN w:val="0"/>
        <w:adjustRightInd w:val="0"/>
        <w:snapToGrid w:val="0"/>
        <w:spacing w:after="120"/>
        <w:ind w:left="2268" w:right="1134"/>
        <w:jc w:val="both"/>
        <w:rPr>
          <w:szCs w:val="24"/>
        </w:rPr>
      </w:pPr>
      <w:r w:rsidRPr="00C37E5C">
        <w:rPr>
          <w:szCs w:val="24"/>
        </w:rPr>
        <w:t>Le constructeur doit mettre à disposition les composants et/ou les dispositifs électriques défectueux à utiliser pour simuler des défaillances. Lorsqu’ils sont mesurés dans le cadre du cycle d’essai du type I, ces composants ou dispositifs défectueux ne doivent pas entraîner une production d’émissions par le véhicule dépassant de plus de 20 % les limites fixées au paragraphe 3.3.2. Pour les défaillances électriques (court-circuit ou circuit ouvert), les émissions du véhicule peuvent dépasser de plus de 20 % les limites fixées au paragraphe 3.3.2.</w:t>
      </w:r>
    </w:p>
    <w:p w:rsidR="00C37E5C" w:rsidRPr="00C37E5C" w:rsidRDefault="00C37E5C" w:rsidP="00C37E5C">
      <w:pPr>
        <w:kinsoku w:val="0"/>
        <w:overflowPunct w:val="0"/>
        <w:autoSpaceDE w:val="0"/>
        <w:autoSpaceDN w:val="0"/>
        <w:adjustRightInd w:val="0"/>
        <w:snapToGrid w:val="0"/>
        <w:spacing w:after="120"/>
        <w:ind w:left="2268" w:right="1134"/>
        <w:jc w:val="both"/>
        <w:rPr>
          <w:szCs w:val="24"/>
        </w:rPr>
      </w:pPr>
      <w:r w:rsidRPr="00C37E5C">
        <w:rPr>
          <w:szCs w:val="24"/>
        </w:rPr>
        <w:t xml:space="preserve">Lorsque le véhicule est soumis à un essai alors qu’il est équipé du composant ou dispositif défectueux, le système OBD est approuvé si l’indicateur de dysfonctionnement (MI) est activé. Le système OBD est également </w:t>
      </w:r>
      <w:r w:rsidRPr="00C37E5C">
        <w:t>approuvé</w:t>
      </w:r>
      <w:r w:rsidRPr="00C37E5C">
        <w:rPr>
          <w:szCs w:val="24"/>
        </w:rPr>
        <w:t xml:space="preserve"> si l’indicateur de dysfonctionnement est activé au-dessous des valeurs limites OBD.».</w:t>
      </w:r>
    </w:p>
    <w:p w:rsidR="00C37E5C" w:rsidRPr="00C37E5C" w:rsidRDefault="00C37E5C" w:rsidP="00C37E5C">
      <w:pPr>
        <w:keepNext/>
        <w:kinsoku w:val="0"/>
        <w:overflowPunct w:val="0"/>
        <w:autoSpaceDE w:val="0"/>
        <w:autoSpaceDN w:val="0"/>
        <w:adjustRightInd w:val="0"/>
        <w:snapToGrid w:val="0"/>
        <w:spacing w:after="120"/>
        <w:ind w:left="1134" w:right="1134"/>
        <w:jc w:val="both"/>
        <w:rPr>
          <w:szCs w:val="24"/>
        </w:rPr>
      </w:pPr>
      <w:r w:rsidRPr="00C37E5C">
        <w:rPr>
          <w:i/>
          <w:szCs w:val="24"/>
        </w:rPr>
        <w:t>Ajouter un nouveau paragraphe, 6.1.1</w:t>
      </w:r>
      <w:r w:rsidRPr="00C37E5C">
        <w:rPr>
          <w:szCs w:val="24"/>
        </w:rPr>
        <w:t xml:space="preserve">, ainsi </w:t>
      </w:r>
      <w:r w:rsidRPr="00C37E5C">
        <w:t>conçu</w:t>
      </w:r>
      <w:r w:rsidRPr="00C37E5C">
        <w:rPr>
          <w:szCs w:val="24"/>
        </w:rPr>
        <w:t>:</w:t>
      </w:r>
    </w:p>
    <w:p w:rsidR="00C37E5C" w:rsidRPr="00C37E5C" w:rsidRDefault="00C37E5C" w:rsidP="00C37E5C">
      <w:pPr>
        <w:kinsoku w:val="0"/>
        <w:overflowPunct w:val="0"/>
        <w:autoSpaceDE w:val="0"/>
        <w:autoSpaceDN w:val="0"/>
        <w:adjustRightInd w:val="0"/>
        <w:snapToGrid w:val="0"/>
        <w:spacing w:after="120"/>
        <w:ind w:left="2268" w:right="1134" w:hanging="1134"/>
        <w:jc w:val="both"/>
        <w:rPr>
          <w:szCs w:val="24"/>
        </w:rPr>
      </w:pPr>
      <w:r w:rsidRPr="00C37E5C">
        <w:rPr>
          <w:szCs w:val="24"/>
        </w:rPr>
        <w:t>«6.1.1</w:t>
      </w:r>
      <w:r w:rsidRPr="00C37E5C">
        <w:rPr>
          <w:szCs w:val="24"/>
        </w:rPr>
        <w:tab/>
        <w:t xml:space="preserve">Il n’est pas </w:t>
      </w:r>
      <w:r w:rsidRPr="00C37E5C">
        <w:t>nécessaire</w:t>
      </w:r>
      <w:r w:rsidRPr="00C37E5C">
        <w:rPr>
          <w:szCs w:val="24"/>
        </w:rPr>
        <w:t xml:space="preserve"> de procéder à l’essai du type I pour mettre en évidence des défaillances électriques (court-circuit ou circuit ouvert). Le constructeur peut démontrer ces modes de défaillance dans les conditions de conduite correspondant à l’utilisation de ce composant et aux modalités de surveillance. Ces conditions doivent être documentées dans le dossier d’homologation de type.».</w:t>
      </w:r>
    </w:p>
    <w:p w:rsidR="00C37E5C" w:rsidRPr="00C37E5C" w:rsidRDefault="00C37E5C" w:rsidP="00C37E5C">
      <w:pPr>
        <w:keepNext/>
        <w:kinsoku w:val="0"/>
        <w:overflowPunct w:val="0"/>
        <w:autoSpaceDE w:val="0"/>
        <w:autoSpaceDN w:val="0"/>
        <w:adjustRightInd w:val="0"/>
        <w:snapToGrid w:val="0"/>
        <w:spacing w:after="120"/>
        <w:ind w:left="1134" w:right="1134"/>
        <w:jc w:val="both"/>
        <w:rPr>
          <w:b/>
          <w:i/>
          <w:iCs/>
        </w:rPr>
      </w:pPr>
      <w:r w:rsidRPr="00C37E5C">
        <w:rPr>
          <w:i/>
        </w:rPr>
        <w:t>Ajouter un nouveau paragraphe, 6.2.3</w:t>
      </w:r>
      <w:r w:rsidRPr="00C37E5C">
        <w:t>, ainsi conçu:</w:t>
      </w:r>
    </w:p>
    <w:p w:rsidR="00C37E5C" w:rsidRPr="00C37E5C" w:rsidRDefault="00C37E5C" w:rsidP="00C37E5C">
      <w:pPr>
        <w:kinsoku w:val="0"/>
        <w:overflowPunct w:val="0"/>
        <w:autoSpaceDE w:val="0"/>
        <w:autoSpaceDN w:val="0"/>
        <w:adjustRightInd w:val="0"/>
        <w:snapToGrid w:val="0"/>
        <w:spacing w:after="120"/>
        <w:ind w:left="2268" w:right="1134" w:hanging="1134"/>
        <w:jc w:val="both"/>
        <w:rPr>
          <w:szCs w:val="24"/>
        </w:rPr>
      </w:pPr>
      <w:r w:rsidRPr="00C37E5C">
        <w:rPr>
          <w:szCs w:val="24"/>
        </w:rPr>
        <w:t>«6.2.3</w:t>
      </w:r>
      <w:r w:rsidRPr="00C37E5C">
        <w:rPr>
          <w:szCs w:val="24"/>
        </w:rPr>
        <w:tab/>
      </w:r>
      <w:r w:rsidRPr="00C37E5C">
        <w:t>L’utilisation</w:t>
      </w:r>
      <w:r w:rsidRPr="00C37E5C">
        <w:rPr>
          <w:szCs w:val="24"/>
        </w:rPr>
        <w:t xml:space="preserve"> de cycles de préconditionnement additionnels ou d’autres méthodes de préconditionnement doit être documentée dans le dossier d’homologation de type.».</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6.3.1.5</w:t>
      </w:r>
      <w:r w:rsidRPr="00C37E5C">
        <w:t xml:space="preserve">, modifier comme suit: </w:t>
      </w:r>
    </w:p>
    <w:p w:rsidR="00C37E5C" w:rsidRPr="00C37E5C" w:rsidRDefault="00C37E5C" w:rsidP="00C37E5C">
      <w:pPr>
        <w:kinsoku w:val="0"/>
        <w:overflowPunct w:val="0"/>
        <w:autoSpaceDE w:val="0"/>
        <w:autoSpaceDN w:val="0"/>
        <w:adjustRightInd w:val="0"/>
        <w:snapToGrid w:val="0"/>
        <w:spacing w:after="120"/>
        <w:ind w:left="2268" w:right="1134" w:hanging="1134"/>
        <w:jc w:val="both"/>
      </w:pPr>
      <w:r w:rsidRPr="00C37E5C">
        <w:t>«6.3.1.5</w:t>
      </w:r>
      <w:r w:rsidRPr="00C37E5C">
        <w:tab/>
        <w:t>Déconnexion électrique du dispositif électronique de commande de purge par évaporation (si le véhicule en est équipé et s’il est activé pour le type de carburant sélectionné).».</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6.4.1.1</w:t>
      </w:r>
      <w:r w:rsidRPr="00C37E5C">
        <w:t xml:space="preserve">, modifier comme suit: </w:t>
      </w:r>
    </w:p>
    <w:p w:rsidR="00C37E5C" w:rsidRPr="00C37E5C" w:rsidRDefault="00C37E5C" w:rsidP="00C37E5C">
      <w:pPr>
        <w:kinsoku w:val="0"/>
        <w:overflowPunct w:val="0"/>
        <w:autoSpaceDE w:val="0"/>
        <w:autoSpaceDN w:val="0"/>
        <w:adjustRightInd w:val="0"/>
        <w:snapToGrid w:val="0"/>
        <w:spacing w:after="120"/>
        <w:ind w:left="2268" w:right="1134" w:hanging="1134"/>
        <w:jc w:val="both"/>
      </w:pPr>
      <w:r w:rsidRPr="00C37E5C">
        <w:t>«6.4.1.1</w:t>
      </w:r>
      <w:r w:rsidRPr="00C37E5C">
        <w:tab/>
        <w:t>Après avoir été préconditionné conformément aux dispositions du paragraphe 6.2 du présent appendice, le véhicule d’essai doit être soumis à l’essai du type I (première et seconde parties).</w:t>
      </w:r>
    </w:p>
    <w:p w:rsidR="00C37E5C" w:rsidRPr="00C37E5C" w:rsidRDefault="00C37E5C" w:rsidP="00C37E5C">
      <w:pPr>
        <w:kinsoku w:val="0"/>
        <w:overflowPunct w:val="0"/>
        <w:autoSpaceDE w:val="0"/>
        <w:autoSpaceDN w:val="0"/>
        <w:adjustRightInd w:val="0"/>
        <w:snapToGrid w:val="0"/>
        <w:spacing w:after="120"/>
        <w:ind w:left="2268" w:right="1134"/>
        <w:jc w:val="both"/>
        <w:rPr>
          <w:spacing w:val="-2"/>
        </w:rPr>
      </w:pPr>
      <w:r w:rsidRPr="00C37E5C">
        <w:rPr>
          <w:spacing w:val="-2"/>
        </w:rPr>
        <w:t>L’indicateur de dysfonctionnement (MI) doit être activé au plus tard avant la fin de cet essai dans l’une ou l’autre des conditions mentionnées aux paragraphes 6.4.1.2 à 6.4.1.5 du présent appendice. Il peut aussi être activé pendant la phase de préconditionnement. Le service technique peut remplacer ces conditions par celles mentionnées au paragraphe 6.4.1.6 du présent appendice.</w:t>
      </w:r>
    </w:p>
    <w:p w:rsidR="00C37E5C" w:rsidRPr="00C37E5C" w:rsidRDefault="00C37E5C" w:rsidP="00C37E5C">
      <w:pPr>
        <w:kinsoku w:val="0"/>
        <w:overflowPunct w:val="0"/>
        <w:autoSpaceDE w:val="0"/>
        <w:autoSpaceDN w:val="0"/>
        <w:adjustRightInd w:val="0"/>
        <w:snapToGrid w:val="0"/>
        <w:spacing w:after="120"/>
        <w:ind w:left="2268" w:right="1134"/>
        <w:jc w:val="both"/>
      </w:pPr>
      <w:r w:rsidRPr="00C37E5C">
        <w:t>Dans le cas de l’essai d’un véhicule à bicarburation, les deux types de carburant peuvent être utilisés, à condition que le nombre de défaillances simulées ne dépasse pas quatre à la discrétion de l’autorité d’homologation de type.</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6.4.2.1</w:t>
      </w:r>
      <w:r w:rsidRPr="00C37E5C">
        <w:t xml:space="preserve">, modifier comme suit: </w:t>
      </w:r>
    </w:p>
    <w:p w:rsidR="00C37E5C" w:rsidRPr="00C37E5C" w:rsidRDefault="00C37E5C" w:rsidP="00C37E5C">
      <w:pPr>
        <w:kinsoku w:val="0"/>
        <w:overflowPunct w:val="0"/>
        <w:autoSpaceDE w:val="0"/>
        <w:autoSpaceDN w:val="0"/>
        <w:adjustRightInd w:val="0"/>
        <w:snapToGrid w:val="0"/>
        <w:spacing w:after="120"/>
        <w:ind w:left="2268" w:right="1134" w:hanging="1134"/>
        <w:jc w:val="both"/>
      </w:pPr>
      <w:r w:rsidRPr="00C37E5C">
        <w:t>«6.4.2.1</w:t>
      </w:r>
      <w:r w:rsidRPr="00C37E5C">
        <w:tab/>
        <w:t>Après avoir été préconditionné conformément aux dispositions du paragraphe 6.2 du présent appendice, le véhicule d’essai doit être soumis à l’essai du type I (première et seconde parties).</w:t>
      </w:r>
    </w:p>
    <w:p w:rsidR="00C37E5C" w:rsidRPr="00C37E5C" w:rsidRDefault="00C37E5C" w:rsidP="00C37E5C">
      <w:pPr>
        <w:kinsoku w:val="0"/>
        <w:overflowPunct w:val="0"/>
        <w:autoSpaceDE w:val="0"/>
        <w:autoSpaceDN w:val="0"/>
        <w:adjustRightInd w:val="0"/>
        <w:snapToGrid w:val="0"/>
        <w:spacing w:after="120"/>
        <w:ind w:left="2268" w:right="1134"/>
        <w:jc w:val="both"/>
      </w:pPr>
      <w:r w:rsidRPr="00C37E5C">
        <w:t>L’indicateur de dysfonctionnement (MI) doit être activé au plus tard avant la fin de cet essai dans l’une ou l’autre des conditions mentionnées aux paragraphes 6.4.2.2 à 6.4.2.5 du présent appendice. Il peut aussi être activé pendant la phase de préconditionnement. Le service technique peut remplacer ces conditions par celles mentionnées au paragraphe 6.4.2.5 du présent appendice. Cependant, le nombre total des défaillances simulées ne doit pas dépasser quatre aux fins de la procédure d’homologation de type.».</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Paragraphe 7.6.2</w:t>
      </w:r>
      <w:r w:rsidRPr="00C37E5C">
        <w:t xml:space="preserve">, modifier comme suit: </w:t>
      </w:r>
    </w:p>
    <w:p w:rsidR="00C37E5C" w:rsidRPr="00C37E5C" w:rsidRDefault="00C37E5C" w:rsidP="00C37E5C">
      <w:pPr>
        <w:kinsoku w:val="0"/>
        <w:overflowPunct w:val="0"/>
        <w:autoSpaceDE w:val="0"/>
        <w:autoSpaceDN w:val="0"/>
        <w:adjustRightInd w:val="0"/>
        <w:snapToGrid w:val="0"/>
        <w:spacing w:after="120"/>
        <w:ind w:left="2268" w:right="1134" w:hanging="1134"/>
        <w:jc w:val="both"/>
        <w:rPr>
          <w:spacing w:val="-2"/>
        </w:rPr>
      </w:pPr>
      <w:r w:rsidRPr="00C37E5C">
        <w:t>«7.6.2</w:t>
      </w:r>
      <w:r w:rsidRPr="00C37E5C">
        <w:tab/>
      </w:r>
      <w:r w:rsidRPr="00C37E5C">
        <w:rPr>
          <w:spacing w:val="-2"/>
        </w:rPr>
        <w:t>Pour des composants ou systèmes spécifiques faisant l’objet de surveillances multiples qui doivent être relevées en vertu du présent paragraphe (par exemple, la rampe 1 de capteur d’oxygène peut faire l’objet de surveillances multiples relatives à la réaction du capteur ou à d’autres de ses caractéristiques), le système OBD recense séparément les numérateurs et les dénominateurs pour chacune des surveillances spécifiques et relève uniquement le numérateur et le dénominateur correspondants pour la surveillance spécifique présentant le rapport numérique le plus faible. Si deux ou plusieurs surveillances spécifiques ont des rapports identiques, le numérateur et le dénominateur correspondants pour la surveillance spécifique qui ont le dénominateur le plus élevé doivent être relevés pour le composant spécifique.».</w:t>
      </w:r>
    </w:p>
    <w:p w:rsidR="00C37E5C" w:rsidRPr="00C37E5C" w:rsidRDefault="00C37E5C" w:rsidP="00C37E5C">
      <w:pPr>
        <w:keepNext/>
        <w:kinsoku w:val="0"/>
        <w:overflowPunct w:val="0"/>
        <w:autoSpaceDE w:val="0"/>
        <w:autoSpaceDN w:val="0"/>
        <w:adjustRightInd w:val="0"/>
        <w:snapToGrid w:val="0"/>
        <w:spacing w:after="120"/>
        <w:ind w:left="1134" w:right="1134"/>
        <w:jc w:val="both"/>
      </w:pPr>
      <w:r w:rsidRPr="00C37E5C">
        <w:rPr>
          <w:i/>
        </w:rPr>
        <w:t>Ajouter un nouveau paragraphe, 7.6.2.1</w:t>
      </w:r>
      <w:r w:rsidRPr="00C37E5C">
        <w:t>, ainsi conçu:</w:t>
      </w:r>
    </w:p>
    <w:p w:rsidR="00C37E5C" w:rsidRPr="00C37E5C" w:rsidRDefault="00C37E5C" w:rsidP="00C37E5C">
      <w:pPr>
        <w:kinsoku w:val="0"/>
        <w:overflowPunct w:val="0"/>
        <w:autoSpaceDE w:val="0"/>
        <w:autoSpaceDN w:val="0"/>
        <w:adjustRightInd w:val="0"/>
        <w:snapToGrid w:val="0"/>
        <w:spacing w:after="120"/>
        <w:ind w:left="2268" w:right="1134" w:hanging="1134"/>
        <w:jc w:val="both"/>
        <w:rPr>
          <w:bCs/>
        </w:rPr>
      </w:pPr>
      <w:r w:rsidRPr="00C37E5C">
        <w:t>«7.6.2.1</w:t>
      </w:r>
      <w:r w:rsidRPr="00C37E5C">
        <w:tab/>
        <w:t>Il n’est pas nécessaire de relever le numérateur et le dénominateur pour les surveillances spécifiques de composants ou de systèmes qui concernent les défaillances de court-circuit ou de circuit ouvert.</w:t>
      </w:r>
    </w:p>
    <w:p w:rsidR="00C37E5C" w:rsidRPr="00C37E5C" w:rsidRDefault="00C37E5C" w:rsidP="00C37E5C">
      <w:pPr>
        <w:kinsoku w:val="0"/>
        <w:overflowPunct w:val="0"/>
        <w:autoSpaceDE w:val="0"/>
        <w:autoSpaceDN w:val="0"/>
        <w:adjustRightInd w:val="0"/>
        <w:snapToGrid w:val="0"/>
        <w:spacing w:after="120"/>
        <w:ind w:left="2268" w:right="1134"/>
        <w:jc w:val="both"/>
        <w:rPr>
          <w:bCs/>
        </w:rPr>
      </w:pPr>
      <w:r w:rsidRPr="00C37E5C">
        <w:t>“En continu” signifie en l’occurrence que la surveillance est toujours opérationnelle et que l’échantillonnage du signal se fait à la fréquence d’au moins deux fois par seconde, la présence ou l’absence de défaillance étant déterminée en moins de 15 s.</w:t>
      </w:r>
    </w:p>
    <w:p w:rsidR="00C37E5C" w:rsidRPr="00C37E5C" w:rsidRDefault="00C37E5C" w:rsidP="00C37E5C">
      <w:pPr>
        <w:kinsoku w:val="0"/>
        <w:overflowPunct w:val="0"/>
        <w:autoSpaceDE w:val="0"/>
        <w:autoSpaceDN w:val="0"/>
        <w:adjustRightInd w:val="0"/>
        <w:snapToGrid w:val="0"/>
        <w:spacing w:after="120"/>
        <w:ind w:left="2268" w:right="1134"/>
        <w:jc w:val="both"/>
        <w:rPr>
          <w:bCs/>
        </w:rPr>
      </w:pPr>
      <w:r w:rsidRPr="00C37E5C">
        <w:t>Si, pour des raisons de gestion du moteur, le composant d’entrée d’un ordinateur est échantillonné moins fréquemment, le signal du composant peut être évalué à chaque échantillonnage.</w:t>
      </w:r>
    </w:p>
    <w:p w:rsidR="00C37E5C" w:rsidRPr="00C37E5C" w:rsidRDefault="00C37E5C" w:rsidP="00C37E5C">
      <w:pPr>
        <w:kinsoku w:val="0"/>
        <w:overflowPunct w:val="0"/>
        <w:autoSpaceDE w:val="0"/>
        <w:autoSpaceDN w:val="0"/>
        <w:adjustRightInd w:val="0"/>
        <w:snapToGrid w:val="0"/>
        <w:spacing w:after="120"/>
        <w:ind w:left="2268" w:right="1134"/>
        <w:jc w:val="both"/>
        <w:rPr>
          <w:b/>
          <w:bCs/>
        </w:rPr>
      </w:pPr>
      <w:r w:rsidRPr="00C37E5C">
        <w:t>Il n’est pas obligatoire d’activer un composant ou un système de sortie à la seule fin de surveiller ledit composant ou système.».</w:t>
      </w:r>
    </w:p>
    <w:p w:rsidR="00C37E5C" w:rsidRPr="00C37E5C" w:rsidRDefault="00C37E5C" w:rsidP="00C37E5C">
      <w:pPr>
        <w:kinsoku w:val="0"/>
        <w:overflowPunct w:val="0"/>
        <w:autoSpaceDE w:val="0"/>
        <w:autoSpaceDN w:val="0"/>
        <w:adjustRightInd w:val="0"/>
        <w:snapToGrid w:val="0"/>
        <w:spacing w:before="240"/>
        <w:ind w:left="1134" w:right="1134"/>
        <w:jc w:val="center"/>
        <w:rPr>
          <w:u w:val="single"/>
        </w:rPr>
      </w:pPr>
      <w:r w:rsidRPr="00C37E5C">
        <w:rPr>
          <w:u w:val="single"/>
        </w:rPr>
        <w:tab/>
      </w:r>
      <w:r w:rsidRPr="00C37E5C">
        <w:rPr>
          <w:u w:val="single"/>
        </w:rPr>
        <w:tab/>
      </w:r>
      <w:r w:rsidRPr="00C37E5C">
        <w:rPr>
          <w:u w:val="single"/>
        </w:rPr>
        <w:tab/>
      </w:r>
    </w:p>
    <w:p w:rsidR="00FC2CA9" w:rsidRPr="00972C55" w:rsidRDefault="00FC2CA9" w:rsidP="00EF5EBC">
      <w:pPr>
        <w:pStyle w:val="SingleTxtG"/>
        <w:rPr>
          <w:u w:val="single"/>
        </w:rPr>
      </w:pPr>
    </w:p>
    <w:sectPr w:rsidR="00FC2CA9" w:rsidRPr="00972C55" w:rsidSect="000314C7">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5F" w:rsidRDefault="00B7635F"/>
  </w:endnote>
  <w:endnote w:type="continuationSeparator" w:id="0">
    <w:p w:rsidR="00B7635F" w:rsidRDefault="00B7635F">
      <w:pPr>
        <w:pStyle w:val="Footer"/>
      </w:pPr>
    </w:p>
  </w:endnote>
  <w:endnote w:type="continuationNotice" w:id="1">
    <w:p w:rsidR="00B7635F" w:rsidRPr="00C451B9" w:rsidRDefault="00B7635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F" w:rsidRPr="000314C7" w:rsidRDefault="00B7635F"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3D6ADB">
      <w:rPr>
        <w:b/>
        <w:noProof/>
        <w:sz w:val="18"/>
      </w:rPr>
      <w:t>12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F" w:rsidRPr="000314C7" w:rsidRDefault="00B7635F"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3D6ADB">
      <w:rPr>
        <w:b/>
        <w:noProof/>
        <w:sz w:val="18"/>
      </w:rPr>
      <w:t>11</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F" w:rsidRPr="0029791D" w:rsidRDefault="00B7635F" w:rsidP="00E97E2C">
    <w:pPr>
      <w:ind w:left="1134" w:right="1134"/>
      <w:jc w:val="center"/>
    </w:pPr>
    <w:r>
      <w:t>_______________</w:t>
    </w:r>
  </w:p>
  <w:p w:rsidR="00B7635F" w:rsidRDefault="00B7635F"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60.6pt;mso-wrap-distance-bottom:10.8pt" o:allowoverlap="f" fillcolor="window">
          <v:imagedata r:id="rId1" o:title="" cropleft="-4986f" cropright="-4986f"/>
        </v:shape>
      </w:pict>
    </w:r>
  </w:p>
  <w:p w:rsidR="00B7635F" w:rsidRPr="0029791D" w:rsidRDefault="00B7635F" w:rsidP="00E97E2C">
    <w:pPr>
      <w:jc w:val="center"/>
      <w:rPr>
        <w:sz w:val="24"/>
        <w:szCs w:val="24"/>
      </w:rPr>
    </w:pPr>
    <w:r w:rsidRPr="0029791D">
      <w:rPr>
        <w:b/>
        <w:bCs/>
        <w:sz w:val="24"/>
        <w:szCs w:val="24"/>
      </w:rPr>
      <w:t>Nations Unies</w:t>
    </w:r>
  </w:p>
  <w:p w:rsidR="00B7635F" w:rsidRPr="0029791D" w:rsidRDefault="00B7635F" w:rsidP="00E97E2C">
    <w:pPr>
      <w:pStyle w:val="FootnoteText"/>
      <w:tabs>
        <w:tab w:val="clear" w:pos="1021"/>
        <w:tab w:val="right" w:pos="2155"/>
      </w:tabs>
      <w:spacing w:after="80" w:line="240" w:lineRule="atLeast"/>
      <w:ind w:left="680" w:right="0" w:firstLine="0"/>
      <w:rPr>
        <w:u w:val="single"/>
      </w:rPr>
    </w:pPr>
    <w:r>
      <w:rPr>
        <w:u w:val="single"/>
      </w:rPr>
      <w:tab/>
    </w:r>
  </w:p>
  <w:p w:rsidR="00B7635F" w:rsidRDefault="00B7635F"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5F" w:rsidRPr="00D27D5E" w:rsidRDefault="00B7635F" w:rsidP="00D27D5E">
      <w:pPr>
        <w:tabs>
          <w:tab w:val="right" w:pos="2155"/>
        </w:tabs>
        <w:spacing w:after="80"/>
        <w:ind w:left="680"/>
        <w:rPr>
          <w:u w:val="single"/>
        </w:rPr>
      </w:pPr>
      <w:r>
        <w:rPr>
          <w:u w:val="single"/>
        </w:rPr>
        <w:tab/>
      </w:r>
    </w:p>
  </w:footnote>
  <w:footnote w:type="continuationSeparator" w:id="0">
    <w:p w:rsidR="00B7635F" w:rsidRPr="00D171D4" w:rsidRDefault="00B7635F" w:rsidP="00D171D4">
      <w:pPr>
        <w:tabs>
          <w:tab w:val="right" w:pos="2155"/>
        </w:tabs>
        <w:spacing w:after="80"/>
        <w:ind w:left="680"/>
        <w:rPr>
          <w:u w:val="single"/>
        </w:rPr>
      </w:pPr>
      <w:r w:rsidRPr="00D171D4">
        <w:rPr>
          <w:u w:val="single"/>
        </w:rPr>
        <w:tab/>
      </w:r>
    </w:p>
  </w:footnote>
  <w:footnote w:type="continuationNotice" w:id="1">
    <w:p w:rsidR="00B7635F" w:rsidRPr="00C451B9" w:rsidRDefault="00B7635F"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F" w:rsidRPr="000314C7" w:rsidRDefault="00B7635F">
    <w:pPr>
      <w:pStyle w:val="Header"/>
    </w:pPr>
    <w:r w:rsidRPr="00D623A7">
      <w:t>E/</w:t>
    </w:r>
    <w:proofErr w:type="spellStart"/>
    <w:r w:rsidRPr="00D623A7">
      <w:t>ECE</w:t>
    </w:r>
    <w:proofErr w:type="spellEnd"/>
    <w:r w:rsidRPr="00D623A7">
      <w:t>/324</w:t>
    </w:r>
    <w:r>
      <w:t>/Rev.1/Add.82/Rev.4/Amend.5</w:t>
    </w:r>
    <w:r>
      <w:br/>
    </w:r>
    <w:r w:rsidRPr="00D623A7">
      <w:t>E/</w:t>
    </w:r>
    <w:proofErr w:type="spellStart"/>
    <w:r w:rsidRPr="00D623A7">
      <w:t>ECE</w:t>
    </w:r>
    <w:proofErr w:type="spellEnd"/>
    <w:r w:rsidRPr="00D623A7">
      <w:t>/TRANS/505</w:t>
    </w:r>
    <w:r>
      <w:t>/Rev.1/Add.82/Rev.4/Amend.5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F" w:rsidRPr="000314C7" w:rsidRDefault="00B7635F" w:rsidP="000314C7">
    <w:pPr>
      <w:pStyle w:val="Header"/>
      <w:jc w:val="right"/>
    </w:pPr>
    <w:r w:rsidRPr="00D623A7">
      <w:t>E/</w:t>
    </w:r>
    <w:proofErr w:type="spellStart"/>
    <w:r w:rsidRPr="00D623A7">
      <w:t>ECE</w:t>
    </w:r>
    <w:proofErr w:type="spellEnd"/>
    <w:r w:rsidRPr="00D623A7">
      <w:t>/324</w:t>
    </w:r>
    <w:r>
      <w:t>/Rev.1/Add.82/Rev.4/Amend.5</w:t>
    </w:r>
    <w:r>
      <w:br/>
    </w:r>
    <w:r w:rsidRPr="00D623A7">
      <w:t>E/</w:t>
    </w:r>
    <w:proofErr w:type="spellStart"/>
    <w:r w:rsidRPr="00D623A7">
      <w:t>ECE</w:t>
    </w:r>
    <w:proofErr w:type="spellEnd"/>
    <w:r w:rsidRPr="00D623A7">
      <w:t>/TRANS/505</w:t>
    </w:r>
    <w:r>
      <w:t>/Rev.1/Add.82/Rev.4/Amend.5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F" w:rsidRPr="0034081D" w:rsidRDefault="00B7635F" w:rsidP="003408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DF0"/>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081D"/>
    <w:rsid w:val="0034178D"/>
    <w:rsid w:val="00346E32"/>
    <w:rsid w:val="003515AA"/>
    <w:rsid w:val="00364F13"/>
    <w:rsid w:val="0036776C"/>
    <w:rsid w:val="00372A7A"/>
    <w:rsid w:val="00372D1D"/>
    <w:rsid w:val="00373DF0"/>
    <w:rsid w:val="00374106"/>
    <w:rsid w:val="0037679A"/>
    <w:rsid w:val="0038047C"/>
    <w:rsid w:val="00390EEF"/>
    <w:rsid w:val="00394410"/>
    <w:rsid w:val="003976D5"/>
    <w:rsid w:val="003A58D8"/>
    <w:rsid w:val="003B53B6"/>
    <w:rsid w:val="003D6ADB"/>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75C13"/>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327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4D7"/>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635F"/>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37E5C"/>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DF35DE"/>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4BF0"/>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rsid w:val="00491F39"/>
    <w:rPr>
      <w:color w:val="auto"/>
      <w:u w:val="none"/>
    </w:rPr>
  </w:style>
  <w:style w:type="character" w:styleId="FollowedHyperlink">
    <w:name w:val="FollowedHyperlink"/>
    <w:rsid w:val="00491F39"/>
    <w:rPr>
      <w:color w:val="auto"/>
      <w:u w:val="none"/>
    </w:rPr>
  </w:style>
  <w:style w:type="paragraph" w:customStyle="1" w:styleId="ParNoG">
    <w:name w:val="_ParNo_G"/>
    <w:basedOn w:val="SingleTxtG"/>
    <w:qFormat/>
    <w:rsid w:val="00FE2E9C"/>
    <w:pPr>
      <w:numPr>
        <w:numId w:val="3"/>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numbering" w:customStyle="1" w:styleId="NoList1">
    <w:name w:val="No List1"/>
    <w:next w:val="NoList"/>
    <w:uiPriority w:val="99"/>
    <w:semiHidden/>
    <w:unhideWhenUsed/>
    <w:rsid w:val="00C37E5C"/>
  </w:style>
  <w:style w:type="character" w:customStyle="1" w:styleId="HeaderChar">
    <w:name w:val="Header Char"/>
    <w:aliases w:val="6_G Char"/>
    <w:link w:val="Header"/>
    <w:rsid w:val="00C37E5C"/>
    <w:rPr>
      <w:b/>
      <w:sz w:val="18"/>
      <w:lang w:val="fr-CH" w:eastAsia="en-US"/>
    </w:rPr>
  </w:style>
  <w:style w:type="character" w:customStyle="1" w:styleId="FooterChar">
    <w:name w:val="Footer Char"/>
    <w:aliases w:val="3_G Char"/>
    <w:link w:val="Footer"/>
    <w:rsid w:val="00C37E5C"/>
    <w:rPr>
      <w:sz w:val="16"/>
      <w:lang w:val="fr-CH" w:eastAsia="en-US"/>
    </w:rPr>
  </w:style>
  <w:style w:type="table" w:customStyle="1" w:styleId="TableGrid1">
    <w:name w:val="Table Grid1"/>
    <w:basedOn w:val="TableNormal"/>
    <w:next w:val="TableGrid"/>
    <w:rsid w:val="00C37E5C"/>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C37E5C"/>
    <w:rPr>
      <w:sz w:val="18"/>
      <w:lang w:val="fr-CH" w:eastAsia="en-US"/>
    </w:rPr>
  </w:style>
  <w:style w:type="character" w:customStyle="1" w:styleId="EndnoteTextChar">
    <w:name w:val="Endnote Text Char"/>
    <w:aliases w:val="2_G Char"/>
    <w:link w:val="EndnoteText"/>
    <w:rsid w:val="00C37E5C"/>
    <w:rPr>
      <w:sz w:val="18"/>
      <w:lang w:val="fr-CH" w:eastAsia="en-US"/>
    </w:rPr>
  </w:style>
  <w:style w:type="character" w:customStyle="1" w:styleId="Heading2Char">
    <w:name w:val="Heading 2 Char"/>
    <w:link w:val="Heading2"/>
    <w:rsid w:val="00C37E5C"/>
    <w:rPr>
      <w:lang w:val="fr-CH" w:eastAsia="en-US"/>
    </w:rPr>
  </w:style>
  <w:style w:type="character" w:customStyle="1" w:styleId="Heading3Char">
    <w:name w:val="Heading 3 Char"/>
    <w:link w:val="Heading3"/>
    <w:rsid w:val="00C37E5C"/>
    <w:rPr>
      <w:lang w:val="fr-CH" w:eastAsia="en-US"/>
    </w:rPr>
  </w:style>
  <w:style w:type="character" w:customStyle="1" w:styleId="Heading4Char">
    <w:name w:val="Heading 4 Char"/>
    <w:link w:val="Heading4"/>
    <w:rsid w:val="00C37E5C"/>
    <w:rPr>
      <w:lang w:val="fr-CH" w:eastAsia="en-US"/>
    </w:rPr>
  </w:style>
  <w:style w:type="character" w:customStyle="1" w:styleId="Heading5Char">
    <w:name w:val="Heading 5 Char"/>
    <w:link w:val="Heading5"/>
    <w:rsid w:val="00C37E5C"/>
    <w:rPr>
      <w:lang w:val="fr-CH" w:eastAsia="en-US"/>
    </w:rPr>
  </w:style>
  <w:style w:type="character" w:customStyle="1" w:styleId="Heading6Char">
    <w:name w:val="Heading 6 Char"/>
    <w:link w:val="Heading6"/>
    <w:rsid w:val="00C37E5C"/>
    <w:rPr>
      <w:lang w:val="fr-CH" w:eastAsia="en-US"/>
    </w:rPr>
  </w:style>
  <w:style w:type="character" w:customStyle="1" w:styleId="Heading7Char">
    <w:name w:val="Heading 7 Char"/>
    <w:link w:val="Heading7"/>
    <w:rsid w:val="00C37E5C"/>
    <w:rPr>
      <w:lang w:val="fr-CH" w:eastAsia="en-US"/>
    </w:rPr>
  </w:style>
  <w:style w:type="character" w:customStyle="1" w:styleId="Heading8Char">
    <w:name w:val="Heading 8 Char"/>
    <w:link w:val="Heading8"/>
    <w:rsid w:val="00C37E5C"/>
    <w:rPr>
      <w:lang w:val="fr-CH" w:eastAsia="en-US"/>
    </w:rPr>
  </w:style>
  <w:style w:type="character" w:customStyle="1" w:styleId="Heading9Char">
    <w:name w:val="Heading 9 Char"/>
    <w:link w:val="Heading9"/>
    <w:rsid w:val="00C37E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32</TotalTime>
  <Pages>12</Pages>
  <Words>3575</Words>
  <Characters>20383</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6</cp:revision>
  <cp:lastPrinted>2016-02-04T15:00:00Z</cp:lastPrinted>
  <dcterms:created xsi:type="dcterms:W3CDTF">2015-09-22T12:15:00Z</dcterms:created>
  <dcterms:modified xsi:type="dcterms:W3CDTF">2016-02-04T15:28:00Z</dcterms:modified>
</cp:coreProperties>
</file>