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275406" w:rsidP="002C5B16">
            <w:pPr>
              <w:jc w:val="right"/>
            </w:pPr>
            <w:r w:rsidRPr="00014D07">
              <w:rPr>
                <w:sz w:val="40"/>
              </w:rPr>
              <w:t>E</w:t>
            </w:r>
            <w:r>
              <w:t>/ECE/324/Rev.1/Add.58/Rev.2/Amend.1−</w:t>
            </w:r>
            <w:r w:rsidRPr="00014D07">
              <w:rPr>
                <w:sz w:val="40"/>
              </w:rPr>
              <w:t>E</w:t>
            </w:r>
            <w:r>
              <w:t>/ECE/TRANS/505/Rev.1/Add.58/Rev.2/Amend.1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D70F0C" w:rsidRPr="00DB58B5" w:rsidRDefault="00D70F0C" w:rsidP="00495A7B">
            <w:pPr>
              <w:spacing w:before="480" w:line="240" w:lineRule="exact"/>
            </w:pPr>
            <w:r w:rsidRPr="00D70F0C">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275406">
        <w:t>58</w:t>
      </w:r>
      <w:r w:rsidR="00421A10" w:rsidRPr="006549FF">
        <w:t>: Règlement</w:t>
      </w:r>
      <w:r w:rsidR="00421A10">
        <w:t xml:space="preserve"> </w:t>
      </w:r>
      <w:r w:rsidR="00421A10" w:rsidRPr="00B371BF">
        <w:t>n</w:t>
      </w:r>
      <w:r w:rsidR="00421A10" w:rsidRPr="00B371BF">
        <w:rPr>
          <w:vertAlign w:val="superscript"/>
        </w:rPr>
        <w:t>o</w:t>
      </w:r>
      <w:r w:rsidR="00421A10">
        <w:t> </w:t>
      </w:r>
      <w:r w:rsidR="00275406">
        <w:t>59</w:t>
      </w:r>
    </w:p>
    <w:p w:rsidR="00421A10" w:rsidRPr="006549FF" w:rsidRDefault="0029791D" w:rsidP="00242268">
      <w:pPr>
        <w:pStyle w:val="H1G"/>
        <w:spacing w:before="220" w:after="100" w:line="240" w:lineRule="exact"/>
      </w:pPr>
      <w:r>
        <w:tab/>
      </w:r>
      <w:r>
        <w:tab/>
      </w:r>
      <w:r w:rsidR="00421A10" w:rsidRPr="006549FF">
        <w:t xml:space="preserve">Révision </w:t>
      </w:r>
      <w:r w:rsidR="00275406">
        <w:t>2</w:t>
      </w:r>
      <w:r w:rsidR="000314C7">
        <w:t xml:space="preserve"> − Amendement </w:t>
      </w:r>
      <w:r w:rsidR="00275406">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275406">
        <w:rPr>
          <w:spacing w:val="-2"/>
        </w:rPr>
        <w:t>1</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275406">
        <w:rPr>
          <w:spacing w:val="-2"/>
        </w:rPr>
        <w:t>02</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275406">
        <w:rPr>
          <w:lang w:val="en-GB" w:eastAsia="en-GB"/>
        </w:rPr>
        <w:t xml:space="preserve">20 </w:t>
      </w:r>
      <w:proofErr w:type="spellStart"/>
      <w:r w:rsidR="00275406">
        <w:rPr>
          <w:lang w:val="en-GB" w:eastAsia="en-GB"/>
        </w:rPr>
        <w:t>janvier</w:t>
      </w:r>
      <w:proofErr w:type="spellEnd"/>
      <w:r w:rsidR="00275406">
        <w:rPr>
          <w:lang w:val="en-GB" w:eastAsia="en-GB"/>
        </w:rPr>
        <w:t xml:space="preserve"> 2016</w:t>
      </w:r>
    </w:p>
    <w:p w:rsidR="00DD1ED8" w:rsidRPr="00275406" w:rsidRDefault="00DD1ED8" w:rsidP="00242268">
      <w:pPr>
        <w:pStyle w:val="H1G"/>
        <w:spacing w:line="260" w:lineRule="exact"/>
        <w:rPr>
          <w:spacing w:val="-2"/>
          <w:szCs w:val="24"/>
        </w:rPr>
      </w:pPr>
      <w:r>
        <w:tab/>
      </w:r>
      <w:r>
        <w:tab/>
      </w:r>
      <w:r w:rsidR="00275406" w:rsidRPr="00275406">
        <w:rPr>
          <w:szCs w:val="24"/>
          <w:lang w:val="fr-FR"/>
        </w:rPr>
        <w:t>Prescriptions uniformes relatives à l'homologation des dispositifs silencieux d'échappement de remplacement</w:t>
      </w:r>
    </w:p>
    <w:p w:rsidR="00FC2CA9" w:rsidRDefault="001D3393" w:rsidP="00FC2CA9">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275406" w:rsidRPr="00275406">
        <w:rPr>
          <w:lang w:val="en-GB" w:eastAsia="en-GB"/>
        </w:rPr>
        <w:t>63</w:t>
      </w:r>
      <w:r w:rsidR="00275406">
        <w:rPr>
          <w:lang w:val="en-GB" w:eastAsia="en-GB"/>
        </w:rPr>
        <w:t>.</w:t>
      </w:r>
    </w:p>
    <w:p w:rsidR="00275406" w:rsidRPr="00275406" w:rsidRDefault="00DD1ED8" w:rsidP="00275406">
      <w:pPr>
        <w:spacing w:after="120"/>
        <w:ind w:left="1134" w:right="1134"/>
        <w:jc w:val="both"/>
        <w:rPr>
          <w:szCs w:val="24"/>
          <w:lang w:eastAsia="en-GB"/>
        </w:rPr>
      </w:pPr>
      <w:r>
        <w:br w:type="page"/>
      </w:r>
      <w:r w:rsidR="00275406" w:rsidRPr="00275406">
        <w:rPr>
          <w:i/>
          <w:iCs/>
          <w:szCs w:val="24"/>
        </w:rPr>
        <w:lastRenderedPageBreak/>
        <w:t>Paragraphe 2.1</w:t>
      </w:r>
      <w:r w:rsidR="00275406" w:rsidRPr="00275406">
        <w:rPr>
          <w:szCs w:val="24"/>
        </w:rPr>
        <w:t xml:space="preserve">, </w:t>
      </w:r>
      <w:proofErr w:type="gramStart"/>
      <w:r w:rsidR="00275406" w:rsidRPr="00275406">
        <w:rPr>
          <w:iCs/>
          <w:szCs w:val="24"/>
        </w:rPr>
        <w:t>modifier</w:t>
      </w:r>
      <w:proofErr w:type="gramEnd"/>
      <w:r w:rsidR="00275406" w:rsidRPr="00275406">
        <w:rPr>
          <w:iCs/>
          <w:szCs w:val="24"/>
        </w:rPr>
        <w:t xml:space="preserve"> comme suit</w:t>
      </w:r>
      <w:r w:rsidR="00275406" w:rsidRPr="00275406">
        <w:rPr>
          <w:szCs w:val="24"/>
        </w:rPr>
        <w:t xml:space="preserve">: </w:t>
      </w:r>
    </w:p>
    <w:p w:rsidR="00275406" w:rsidRPr="00275406" w:rsidRDefault="00275406" w:rsidP="00275406">
      <w:pPr>
        <w:spacing w:after="120"/>
        <w:ind w:left="2268" w:right="1134" w:hanging="1134"/>
        <w:jc w:val="both"/>
        <w:rPr>
          <w:bCs/>
          <w:strike/>
          <w:szCs w:val="24"/>
          <w:lang w:eastAsia="en-GB"/>
        </w:rPr>
      </w:pPr>
      <w:r w:rsidRPr="00275406">
        <w:rPr>
          <w:bCs/>
          <w:szCs w:val="24"/>
          <w:lang w:eastAsia="en-GB"/>
        </w:rPr>
        <w:t>«2.1.</w:t>
      </w:r>
      <w:r w:rsidRPr="00275406">
        <w:rPr>
          <w:bCs/>
          <w:szCs w:val="24"/>
          <w:lang w:eastAsia="en-GB"/>
        </w:rPr>
        <w:tab/>
        <w:t>Par “</w:t>
      </w:r>
      <w:r w:rsidRPr="00275406">
        <w:rPr>
          <w:bCs/>
          <w:i/>
          <w:iCs/>
          <w:szCs w:val="24"/>
          <w:lang w:eastAsia="en-GB"/>
        </w:rPr>
        <w:t>dispositif silencieux</w:t>
      </w:r>
      <w:r w:rsidRPr="00275406">
        <w:rPr>
          <w:bCs/>
          <w:szCs w:val="24"/>
          <w:lang w:eastAsia="en-GB"/>
        </w:rPr>
        <w:t>”, un jeu complet d’éléments nécessaires pour limiter les émissions sonores d’un moteur, de son admission et de son échappement.».</w:t>
      </w:r>
    </w:p>
    <w:p w:rsidR="00275406" w:rsidRDefault="00275406" w:rsidP="00275406">
      <w:pPr>
        <w:spacing w:after="120"/>
        <w:ind w:left="2268" w:right="1134" w:hanging="1134"/>
        <w:jc w:val="both"/>
        <w:rPr>
          <w:i/>
          <w:szCs w:val="24"/>
        </w:rPr>
      </w:pPr>
      <w:r w:rsidRPr="00275406">
        <w:rPr>
          <w:i/>
          <w:szCs w:val="24"/>
        </w:rPr>
        <w:t xml:space="preserve">Annexe 6, </w:t>
      </w:r>
    </w:p>
    <w:p w:rsidR="00275406" w:rsidRPr="00275406" w:rsidRDefault="00275406" w:rsidP="00275406">
      <w:pPr>
        <w:spacing w:after="120"/>
        <w:ind w:left="2268" w:right="1134" w:hanging="1134"/>
        <w:jc w:val="both"/>
        <w:rPr>
          <w:szCs w:val="24"/>
        </w:rPr>
      </w:pPr>
      <w:r>
        <w:rPr>
          <w:i/>
          <w:szCs w:val="24"/>
        </w:rPr>
        <w:t>P</w:t>
      </w:r>
      <w:r w:rsidRPr="00275406">
        <w:rPr>
          <w:i/>
          <w:szCs w:val="24"/>
        </w:rPr>
        <w:t>aragraphes 1 à 3</w:t>
      </w:r>
      <w:r w:rsidRPr="00275406">
        <w:rPr>
          <w:szCs w:val="24"/>
        </w:rPr>
        <w:t xml:space="preserve">, </w:t>
      </w:r>
      <w:proofErr w:type="gramStart"/>
      <w:r w:rsidRPr="00275406">
        <w:rPr>
          <w:szCs w:val="24"/>
        </w:rPr>
        <w:t>modifier</w:t>
      </w:r>
      <w:proofErr w:type="gramEnd"/>
      <w:r w:rsidRPr="00275406">
        <w:rPr>
          <w:szCs w:val="24"/>
        </w:rPr>
        <w:t xml:space="preserve"> comme suit:</w:t>
      </w:r>
    </w:p>
    <w:p w:rsidR="00275406" w:rsidRPr="00275406" w:rsidRDefault="00275406" w:rsidP="00275406">
      <w:pPr>
        <w:spacing w:after="120"/>
        <w:ind w:left="2268" w:right="1134" w:hanging="1134"/>
        <w:jc w:val="both"/>
        <w:rPr>
          <w:bCs/>
          <w:szCs w:val="24"/>
        </w:rPr>
      </w:pPr>
      <w:r w:rsidRPr="00275406">
        <w:rPr>
          <w:bCs/>
          <w:szCs w:val="24"/>
        </w:rPr>
        <w:t>«1.</w:t>
      </w:r>
      <w:r w:rsidRPr="00275406">
        <w:rPr>
          <w:bCs/>
          <w:szCs w:val="24"/>
        </w:rPr>
        <w:tab/>
        <w:t>Chaque dispositif silencieux d’échappement de remplacement doit être accompagné d’un document délivré par le constructeur ou son représentant. Ce document doit au moins porter les informations suivantes:</w:t>
      </w:r>
    </w:p>
    <w:p w:rsidR="00275406" w:rsidRPr="00275406" w:rsidRDefault="00275406" w:rsidP="00275406">
      <w:pPr>
        <w:spacing w:after="120"/>
        <w:ind w:left="2835" w:right="1134" w:hanging="567"/>
        <w:jc w:val="both"/>
        <w:rPr>
          <w:szCs w:val="24"/>
        </w:rPr>
      </w:pPr>
      <w:r w:rsidRPr="00275406">
        <w:rPr>
          <w:szCs w:val="24"/>
        </w:rPr>
        <w:t>a)</w:t>
      </w:r>
      <w:r w:rsidRPr="00275406">
        <w:rPr>
          <w:szCs w:val="24"/>
        </w:rPr>
        <w:tab/>
        <w:t>Numéro d’homologation du type du dispositif silencieux d’échappement de remplacement (la 5</w:t>
      </w:r>
      <w:r w:rsidRPr="00275406">
        <w:rPr>
          <w:szCs w:val="24"/>
          <w:vertAlign w:val="superscript"/>
        </w:rPr>
        <w:t>e</w:t>
      </w:r>
      <w:r w:rsidRPr="00275406">
        <w:t> </w:t>
      </w:r>
      <w:r w:rsidRPr="00275406">
        <w:rPr>
          <w:szCs w:val="24"/>
        </w:rPr>
        <w:t>section indiquant le numéro de l’extension d’homologation peut être omise);</w:t>
      </w:r>
    </w:p>
    <w:p w:rsidR="00275406" w:rsidRPr="00275406" w:rsidRDefault="00275406" w:rsidP="00275406">
      <w:pPr>
        <w:spacing w:after="120"/>
        <w:ind w:left="2835" w:right="1134" w:hanging="567"/>
        <w:jc w:val="both"/>
        <w:rPr>
          <w:szCs w:val="24"/>
        </w:rPr>
      </w:pPr>
      <w:r w:rsidRPr="00275406">
        <w:rPr>
          <w:szCs w:val="24"/>
        </w:rPr>
        <w:t>b)</w:t>
      </w:r>
      <w:r w:rsidRPr="00275406">
        <w:rPr>
          <w:szCs w:val="24"/>
        </w:rPr>
        <w:tab/>
        <w:t>Marque d’homologation de type;</w:t>
      </w:r>
    </w:p>
    <w:p w:rsidR="00275406" w:rsidRPr="00275406" w:rsidRDefault="00275406" w:rsidP="00275406">
      <w:pPr>
        <w:spacing w:after="120"/>
        <w:ind w:left="2835" w:right="1134" w:hanging="567"/>
        <w:jc w:val="both"/>
        <w:rPr>
          <w:szCs w:val="24"/>
        </w:rPr>
      </w:pPr>
      <w:r w:rsidRPr="00275406">
        <w:rPr>
          <w:szCs w:val="24"/>
        </w:rPr>
        <w:t>c)</w:t>
      </w:r>
      <w:r w:rsidRPr="00275406">
        <w:rPr>
          <w:szCs w:val="24"/>
        </w:rPr>
        <w:tab/>
        <w:t>Marque (raison sociale du constructeur):</w:t>
      </w:r>
    </w:p>
    <w:p w:rsidR="00275406" w:rsidRPr="00275406" w:rsidRDefault="00275406" w:rsidP="00275406">
      <w:pPr>
        <w:spacing w:after="120"/>
        <w:ind w:left="2835" w:right="1134" w:hanging="567"/>
        <w:jc w:val="both"/>
        <w:rPr>
          <w:szCs w:val="24"/>
        </w:rPr>
      </w:pPr>
      <w:r w:rsidRPr="00275406">
        <w:rPr>
          <w:szCs w:val="24"/>
        </w:rPr>
        <w:t>d)</w:t>
      </w:r>
      <w:r w:rsidRPr="00275406">
        <w:rPr>
          <w:szCs w:val="24"/>
        </w:rPr>
        <w:tab/>
        <w:t xml:space="preserve">Type et dénomination(s) commerciale(s) et/ou numéro de pièce; </w:t>
      </w:r>
    </w:p>
    <w:p w:rsidR="00275406" w:rsidRPr="00275406" w:rsidRDefault="00275406" w:rsidP="00275406">
      <w:pPr>
        <w:spacing w:after="120"/>
        <w:ind w:left="2835" w:right="1134" w:hanging="567"/>
        <w:jc w:val="both"/>
        <w:rPr>
          <w:szCs w:val="24"/>
        </w:rPr>
      </w:pPr>
      <w:r w:rsidRPr="00275406">
        <w:rPr>
          <w:szCs w:val="24"/>
        </w:rPr>
        <w:t>e)</w:t>
      </w:r>
      <w:r w:rsidRPr="00275406">
        <w:rPr>
          <w:szCs w:val="24"/>
        </w:rPr>
        <w:tab/>
        <w:t>Nom de l’entreprise et adresse du constructeur;</w:t>
      </w:r>
    </w:p>
    <w:p w:rsidR="00275406" w:rsidRPr="00275406" w:rsidRDefault="00275406" w:rsidP="00275406">
      <w:pPr>
        <w:spacing w:after="120"/>
        <w:ind w:left="2835" w:right="1134" w:hanging="567"/>
        <w:jc w:val="both"/>
        <w:rPr>
          <w:szCs w:val="24"/>
        </w:rPr>
      </w:pPr>
      <w:r w:rsidRPr="00275406">
        <w:rPr>
          <w:szCs w:val="24"/>
        </w:rPr>
        <w:t>f)</w:t>
      </w:r>
      <w:r w:rsidRPr="00275406">
        <w:rPr>
          <w:szCs w:val="24"/>
        </w:rPr>
        <w:tab/>
        <w:t>Nom et adresse du mandataire du constructeur (le cas échéant);</w:t>
      </w:r>
    </w:p>
    <w:p w:rsidR="00275406" w:rsidRPr="00275406" w:rsidRDefault="00275406" w:rsidP="00275406">
      <w:pPr>
        <w:spacing w:after="120"/>
        <w:ind w:left="2835" w:right="1134" w:hanging="567"/>
        <w:jc w:val="both"/>
        <w:rPr>
          <w:szCs w:val="24"/>
        </w:rPr>
      </w:pPr>
      <w:r w:rsidRPr="00275406">
        <w:rPr>
          <w:szCs w:val="24"/>
        </w:rPr>
        <w:t>g)</w:t>
      </w:r>
      <w:r w:rsidRPr="00275406">
        <w:rPr>
          <w:szCs w:val="24"/>
        </w:rPr>
        <w:tab/>
        <w:t>Informations sur les véhicules auxquels le dispositif silencieux d’échappement de remplacement est destiné:</w:t>
      </w:r>
    </w:p>
    <w:p w:rsidR="00275406" w:rsidRPr="00275406" w:rsidRDefault="00275406" w:rsidP="00275406">
      <w:pPr>
        <w:spacing w:after="120"/>
        <w:ind w:left="3402" w:right="1134" w:hanging="567"/>
        <w:jc w:val="both"/>
        <w:rPr>
          <w:szCs w:val="24"/>
        </w:rPr>
      </w:pPr>
      <w:r w:rsidRPr="00275406">
        <w:rPr>
          <w:szCs w:val="24"/>
        </w:rPr>
        <w:t>i)</w:t>
      </w:r>
      <w:r w:rsidRPr="00275406">
        <w:rPr>
          <w:szCs w:val="24"/>
        </w:rPr>
        <w:tab/>
        <w:t>Marque;</w:t>
      </w:r>
    </w:p>
    <w:p w:rsidR="00275406" w:rsidRPr="00275406" w:rsidRDefault="00275406" w:rsidP="00275406">
      <w:pPr>
        <w:spacing w:after="120"/>
        <w:ind w:left="3402" w:right="1134" w:hanging="567"/>
        <w:jc w:val="both"/>
        <w:rPr>
          <w:szCs w:val="24"/>
        </w:rPr>
      </w:pPr>
      <w:r w:rsidRPr="00275406">
        <w:rPr>
          <w:szCs w:val="24"/>
        </w:rPr>
        <w:t>ii)</w:t>
      </w:r>
      <w:r w:rsidRPr="00275406">
        <w:rPr>
          <w:szCs w:val="24"/>
        </w:rPr>
        <w:tab/>
        <w:t>Type;</w:t>
      </w:r>
    </w:p>
    <w:p w:rsidR="00275406" w:rsidRPr="00275406" w:rsidRDefault="00275406" w:rsidP="00275406">
      <w:pPr>
        <w:spacing w:after="120"/>
        <w:ind w:left="3402" w:right="1134" w:hanging="567"/>
        <w:jc w:val="both"/>
        <w:rPr>
          <w:szCs w:val="24"/>
        </w:rPr>
      </w:pPr>
      <w:r w:rsidRPr="00275406">
        <w:rPr>
          <w:szCs w:val="24"/>
        </w:rPr>
        <w:t>iii)</w:t>
      </w:r>
      <w:r w:rsidRPr="00275406">
        <w:rPr>
          <w:szCs w:val="24"/>
        </w:rPr>
        <w:tab/>
        <w:t xml:space="preserve">Numéro d’homologation; </w:t>
      </w:r>
    </w:p>
    <w:p w:rsidR="00275406" w:rsidRPr="00275406" w:rsidRDefault="00275406" w:rsidP="00275406">
      <w:pPr>
        <w:spacing w:after="120"/>
        <w:ind w:left="3402" w:right="1134" w:hanging="567"/>
        <w:jc w:val="both"/>
        <w:rPr>
          <w:szCs w:val="24"/>
        </w:rPr>
      </w:pPr>
      <w:r w:rsidRPr="00275406">
        <w:rPr>
          <w:szCs w:val="24"/>
        </w:rPr>
        <w:t>iv)</w:t>
      </w:r>
      <w:r w:rsidRPr="00275406">
        <w:rPr>
          <w:szCs w:val="24"/>
        </w:rPr>
        <w:tab/>
        <w:t>Code du moteur;</w:t>
      </w:r>
    </w:p>
    <w:p w:rsidR="00275406" w:rsidRPr="00275406" w:rsidRDefault="00275406" w:rsidP="00275406">
      <w:pPr>
        <w:spacing w:after="120"/>
        <w:ind w:left="3402" w:right="1134" w:hanging="567"/>
        <w:jc w:val="both"/>
        <w:rPr>
          <w:szCs w:val="24"/>
        </w:rPr>
      </w:pPr>
      <w:r w:rsidRPr="00275406">
        <w:rPr>
          <w:szCs w:val="24"/>
        </w:rPr>
        <w:t>v)</w:t>
      </w:r>
      <w:r w:rsidRPr="00275406">
        <w:rPr>
          <w:szCs w:val="24"/>
        </w:rPr>
        <w:tab/>
        <w:t>Puissance maximale nette nominale;</w:t>
      </w:r>
    </w:p>
    <w:p w:rsidR="00275406" w:rsidRPr="00275406" w:rsidRDefault="00275406" w:rsidP="00275406">
      <w:pPr>
        <w:spacing w:after="120"/>
        <w:ind w:left="3402" w:right="1134" w:hanging="567"/>
        <w:jc w:val="both"/>
        <w:rPr>
          <w:szCs w:val="24"/>
        </w:rPr>
      </w:pPr>
      <w:r w:rsidRPr="00275406">
        <w:rPr>
          <w:szCs w:val="24"/>
        </w:rPr>
        <w:t>vi)</w:t>
      </w:r>
      <w:r w:rsidRPr="00275406">
        <w:rPr>
          <w:szCs w:val="24"/>
        </w:rPr>
        <w:tab/>
        <w:t>Type de transmission;</w:t>
      </w:r>
    </w:p>
    <w:p w:rsidR="00275406" w:rsidRPr="00275406" w:rsidRDefault="00275406" w:rsidP="00275406">
      <w:pPr>
        <w:spacing w:after="120"/>
        <w:ind w:left="3402" w:right="1134" w:hanging="567"/>
        <w:jc w:val="both"/>
        <w:rPr>
          <w:szCs w:val="24"/>
        </w:rPr>
      </w:pPr>
      <w:r w:rsidRPr="00275406">
        <w:rPr>
          <w:szCs w:val="24"/>
        </w:rPr>
        <w:t>vii)</w:t>
      </w:r>
      <w:r w:rsidRPr="00275406">
        <w:rPr>
          <w:szCs w:val="24"/>
        </w:rPr>
        <w:tab/>
        <w:t>Toute restriction concernant les véhicules sur lesquels le système peut être monté;</w:t>
      </w:r>
    </w:p>
    <w:p w:rsidR="00275406" w:rsidRPr="00275406" w:rsidRDefault="00275406" w:rsidP="00275406">
      <w:pPr>
        <w:spacing w:after="120"/>
        <w:ind w:left="2835" w:right="1134" w:hanging="567"/>
        <w:jc w:val="both"/>
        <w:rPr>
          <w:bCs/>
          <w:szCs w:val="24"/>
        </w:rPr>
      </w:pPr>
      <w:r w:rsidRPr="00275406">
        <w:rPr>
          <w:szCs w:val="24"/>
        </w:rPr>
        <w:t>h)</w:t>
      </w:r>
      <w:r w:rsidRPr="00275406">
        <w:rPr>
          <w:szCs w:val="24"/>
        </w:rPr>
        <w:tab/>
        <w:t>Instructions de montage.</w:t>
      </w:r>
    </w:p>
    <w:p w:rsidR="00275406" w:rsidRPr="00275406" w:rsidRDefault="00275406" w:rsidP="00275406">
      <w:pPr>
        <w:tabs>
          <w:tab w:val="left" w:pos="2268"/>
        </w:tabs>
        <w:spacing w:after="120"/>
        <w:ind w:left="2259" w:right="1134" w:hanging="1125"/>
        <w:jc w:val="both"/>
        <w:rPr>
          <w:bCs/>
          <w:szCs w:val="24"/>
        </w:rPr>
      </w:pPr>
      <w:r w:rsidRPr="00275406">
        <w:rPr>
          <w:bCs/>
          <w:szCs w:val="24"/>
        </w:rPr>
        <w:t>2.</w:t>
      </w:r>
      <w:r w:rsidRPr="00275406">
        <w:rPr>
          <w:bCs/>
          <w:szCs w:val="24"/>
        </w:rPr>
        <w:tab/>
        <w:t>Si le document visé au paragraphe 1 comporte plus d’une page, toutes les pages doivent porter au moins une référence au numéro d’homologation de type.</w:t>
      </w:r>
    </w:p>
    <w:p w:rsidR="00275406" w:rsidRPr="00275406" w:rsidRDefault="00275406" w:rsidP="00275406">
      <w:pPr>
        <w:tabs>
          <w:tab w:val="left" w:pos="2268"/>
        </w:tabs>
        <w:spacing w:after="120"/>
        <w:ind w:left="2259" w:right="1134" w:hanging="1125"/>
        <w:jc w:val="both"/>
        <w:rPr>
          <w:bCs/>
          <w:szCs w:val="24"/>
        </w:rPr>
      </w:pPr>
      <w:r w:rsidRPr="00275406">
        <w:rPr>
          <w:bCs/>
          <w:szCs w:val="24"/>
        </w:rPr>
        <w:t>3.</w:t>
      </w:r>
      <w:r w:rsidRPr="00275406">
        <w:rPr>
          <w:bCs/>
          <w:szCs w:val="24"/>
        </w:rPr>
        <w:tab/>
        <w:t xml:space="preserve">L’information concernant les alinéas 1 g) et 1 h) peut être communiquée sur le site Web du constructeur. Dans ce cas, le document accompagnant le dispositif silencieux d’échappement de remplacement doit indiquer le site Web où les informations requises peuvent être trouvées et à partir duquel elles peuvent être imprimées.». </w:t>
      </w:r>
    </w:p>
    <w:p w:rsidR="00275406" w:rsidRPr="00275406" w:rsidRDefault="00275406" w:rsidP="00275406">
      <w:pPr>
        <w:kinsoku w:val="0"/>
        <w:overflowPunct w:val="0"/>
        <w:autoSpaceDE w:val="0"/>
        <w:autoSpaceDN w:val="0"/>
        <w:adjustRightInd w:val="0"/>
        <w:snapToGrid w:val="0"/>
        <w:spacing w:before="240"/>
        <w:ind w:left="1134" w:right="1134"/>
        <w:jc w:val="center"/>
        <w:rPr>
          <w:u w:val="single"/>
        </w:rPr>
      </w:pPr>
      <w:r w:rsidRPr="00275406">
        <w:rPr>
          <w:u w:val="single"/>
        </w:rPr>
        <w:tab/>
      </w:r>
      <w:r w:rsidRPr="00275406">
        <w:rPr>
          <w:u w:val="single"/>
        </w:rPr>
        <w:tab/>
      </w:r>
      <w:r w:rsidRPr="00275406">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48" w:rsidRDefault="00C82548"/>
  </w:endnote>
  <w:endnote w:type="continuationSeparator" w:id="0">
    <w:p w:rsidR="00C82548" w:rsidRDefault="00C82548">
      <w:pPr>
        <w:pStyle w:val="Footer"/>
      </w:pPr>
    </w:p>
  </w:endnote>
  <w:endnote w:type="continuationNotice" w:id="1">
    <w:p w:rsidR="00C82548" w:rsidRPr="00C451B9" w:rsidRDefault="00C8254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16102D">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D70F0C"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48" w:rsidRPr="00D27D5E" w:rsidRDefault="00C82548" w:rsidP="00D27D5E">
      <w:pPr>
        <w:tabs>
          <w:tab w:val="right" w:pos="2155"/>
        </w:tabs>
        <w:spacing w:after="80"/>
        <w:ind w:left="680"/>
        <w:rPr>
          <w:u w:val="single"/>
        </w:rPr>
      </w:pPr>
      <w:r>
        <w:rPr>
          <w:u w:val="single"/>
        </w:rPr>
        <w:tab/>
      </w:r>
    </w:p>
  </w:footnote>
  <w:footnote w:type="continuationSeparator" w:id="0">
    <w:p w:rsidR="00C82548" w:rsidRPr="00D171D4" w:rsidRDefault="00C82548" w:rsidP="00D171D4">
      <w:pPr>
        <w:tabs>
          <w:tab w:val="right" w:pos="2155"/>
        </w:tabs>
        <w:spacing w:after="80"/>
        <w:ind w:left="680"/>
        <w:rPr>
          <w:u w:val="single"/>
        </w:rPr>
      </w:pPr>
      <w:r w:rsidRPr="00D171D4">
        <w:rPr>
          <w:u w:val="single"/>
        </w:rPr>
        <w:tab/>
      </w:r>
    </w:p>
  </w:footnote>
  <w:footnote w:type="continuationNotice" w:id="1">
    <w:p w:rsidR="00C82548" w:rsidRPr="00C451B9" w:rsidRDefault="00C82548"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275406">
    <w:pPr>
      <w:pStyle w:val="Header"/>
    </w:pPr>
    <w:r w:rsidRPr="00D623A7">
      <w:t>E/</w:t>
    </w:r>
    <w:proofErr w:type="spellStart"/>
    <w:r w:rsidRPr="00D623A7">
      <w:t>ECE</w:t>
    </w:r>
    <w:proofErr w:type="spellEnd"/>
    <w:r w:rsidRPr="00D623A7">
      <w:t>/324</w:t>
    </w:r>
    <w:r>
      <w:t>/Rev.1/Add.58/Rev.2/Amend.1</w:t>
    </w:r>
    <w:r>
      <w:br/>
    </w:r>
    <w:r w:rsidRPr="00D623A7">
      <w:t>E/</w:t>
    </w:r>
    <w:proofErr w:type="spellStart"/>
    <w:r w:rsidRPr="00D623A7">
      <w:t>ECE</w:t>
    </w:r>
    <w:proofErr w:type="spellEnd"/>
    <w:r w:rsidRPr="00D623A7">
      <w:t>/TRANS/505</w:t>
    </w:r>
    <w:r>
      <w:t>/Rev.1/Add.58/Rev.2/Amend.1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D2" w:rsidRPr="00C577D2" w:rsidRDefault="00C577D2" w:rsidP="00C577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548"/>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102D"/>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75406"/>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7D2"/>
    <w:rsid w:val="00C57A2D"/>
    <w:rsid w:val="00C6018C"/>
    <w:rsid w:val="00C67D23"/>
    <w:rsid w:val="00C71827"/>
    <w:rsid w:val="00C75D25"/>
    <w:rsid w:val="00C82548"/>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0F0C"/>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4</TotalTime>
  <Pages>2</Pages>
  <Words>393</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4</cp:revision>
  <cp:lastPrinted>2016-02-04T14:59:00Z</cp:lastPrinted>
  <dcterms:created xsi:type="dcterms:W3CDTF">2015-09-22T11:52:00Z</dcterms:created>
  <dcterms:modified xsi:type="dcterms:W3CDTF">2016-02-04T15:28:00Z</dcterms:modified>
</cp:coreProperties>
</file>