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262BE7">
            <w:pPr>
              <w:jc w:val="right"/>
            </w:pPr>
            <w:r w:rsidRPr="00014D07">
              <w:rPr>
                <w:sz w:val="40"/>
              </w:rPr>
              <w:t>E</w:t>
            </w:r>
            <w:r>
              <w:t>/ECE/324/</w:t>
            </w:r>
            <w:r w:rsidR="00841EB5">
              <w:t>Rev.</w:t>
            </w:r>
            <w:r w:rsidR="00262BE7">
              <w:t>1</w:t>
            </w:r>
            <w:r w:rsidR="00841EB5">
              <w:t>/</w:t>
            </w:r>
            <w:r>
              <w:t>Add.</w:t>
            </w:r>
            <w:r w:rsidR="00262BE7">
              <w:t>58</w:t>
            </w:r>
            <w:r>
              <w:t>/Rev.</w:t>
            </w:r>
            <w:r w:rsidR="00262BE7">
              <w:t>2</w:t>
            </w:r>
            <w:r>
              <w:t>/</w:t>
            </w:r>
            <w:r w:rsidR="00D623A7">
              <w:t>Amend.</w:t>
            </w:r>
            <w:r w:rsidR="00262BE7">
              <w:t>1</w:t>
            </w:r>
            <w:r>
              <w:t>−</w:t>
            </w:r>
            <w:r w:rsidRPr="00014D07">
              <w:rPr>
                <w:sz w:val="40"/>
              </w:rPr>
              <w:t>E</w:t>
            </w:r>
            <w:r>
              <w:t>/ECE/TRANS/505</w:t>
            </w:r>
            <w:r w:rsidR="00262BE7">
              <w:t>/Rev.1/Add.58/Rev.2/Amend.1</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7D2C69" w:rsidP="003C3936">
            <w:pPr>
              <w:spacing w:before="120"/>
            </w:pPr>
            <w:r>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262BE7">
        <w:t>58</w:t>
      </w:r>
      <w:r>
        <w:t xml:space="preserve"> – Regulation No.</w:t>
      </w:r>
      <w:r w:rsidR="00271A7F">
        <w:t xml:space="preserve"> </w:t>
      </w:r>
      <w:r w:rsidR="00262BE7">
        <w:t>59</w:t>
      </w:r>
    </w:p>
    <w:p w:rsidR="0064636E" w:rsidRPr="00014D07" w:rsidRDefault="0064636E" w:rsidP="00A41529">
      <w:pPr>
        <w:pStyle w:val="H1G"/>
        <w:spacing w:before="240"/>
      </w:pPr>
      <w:r>
        <w:tab/>
      </w:r>
      <w:r>
        <w:tab/>
      </w:r>
      <w:r w:rsidRPr="00014D07">
        <w:t xml:space="preserve">Revision </w:t>
      </w:r>
      <w:r w:rsidR="00262BE7">
        <w:t>2</w:t>
      </w:r>
      <w:r w:rsidRPr="00014D07">
        <w:t xml:space="preserve"> - </w:t>
      </w:r>
      <w:r w:rsidR="00D623A7">
        <w:t>Amendment</w:t>
      </w:r>
      <w:r w:rsidRPr="00014D07">
        <w:t xml:space="preserve"> </w:t>
      </w:r>
      <w:r w:rsidR="00262BE7">
        <w:t>1</w:t>
      </w:r>
    </w:p>
    <w:p w:rsidR="0064636E" w:rsidRPr="00272880" w:rsidRDefault="00D623A7" w:rsidP="0064636E">
      <w:pPr>
        <w:pStyle w:val="SingleTxtG"/>
        <w:spacing w:after="360"/>
        <w:rPr>
          <w:spacing w:val="-2"/>
        </w:rPr>
      </w:pPr>
      <w:r>
        <w:rPr>
          <w:spacing w:val="-2"/>
        </w:rPr>
        <w:t xml:space="preserve">Supplement </w:t>
      </w:r>
      <w:r w:rsidR="00262BE7">
        <w:rPr>
          <w:spacing w:val="-2"/>
        </w:rPr>
        <w:t>1</w:t>
      </w:r>
      <w:r>
        <w:rPr>
          <w:spacing w:val="-2"/>
        </w:rPr>
        <w:t xml:space="preserve"> to </w:t>
      </w:r>
      <w:r w:rsidR="00271A7F">
        <w:rPr>
          <w:spacing w:val="-2"/>
        </w:rPr>
        <w:t xml:space="preserve">the </w:t>
      </w:r>
      <w:r w:rsidR="00262BE7">
        <w:rPr>
          <w:spacing w:val="-2"/>
        </w:rPr>
        <w:t>02</w:t>
      </w:r>
      <w:r>
        <w:rPr>
          <w:spacing w:val="-2"/>
        </w:rPr>
        <w:t xml:space="preserve"> series of amendments</w:t>
      </w:r>
      <w:r w:rsidR="0064636E" w:rsidRPr="00272880">
        <w:rPr>
          <w:spacing w:val="-2"/>
        </w:rPr>
        <w:t xml:space="preserve"> – Date of entry into force: </w:t>
      </w:r>
      <w:r w:rsidR="00262BE7">
        <w:rPr>
          <w:lang w:eastAsia="en-GB"/>
        </w:rPr>
        <w:t>20 January 2016</w:t>
      </w:r>
    </w:p>
    <w:p w:rsidR="0064636E" w:rsidRDefault="0064636E" w:rsidP="00A41529">
      <w:pPr>
        <w:pStyle w:val="H1G"/>
        <w:spacing w:before="120" w:after="120" w:line="240" w:lineRule="exact"/>
        <w:rPr>
          <w:lang w:val="en-US"/>
        </w:rPr>
      </w:pPr>
      <w:r>
        <w:rPr>
          <w:lang w:val="en-US"/>
        </w:rPr>
        <w:tab/>
      </w:r>
      <w:r>
        <w:rPr>
          <w:lang w:val="en-US"/>
        </w:rPr>
        <w:tab/>
      </w:r>
      <w:r w:rsidR="00262BE7" w:rsidRPr="00262BE7">
        <w:rPr>
          <w:lang w:val="en-US"/>
        </w:rPr>
        <w:t>Uniform provisions concerning the approval of replacement silencing systems</w:t>
      </w:r>
    </w:p>
    <w:p w:rsidR="00A41529" w:rsidRDefault="00B32121" w:rsidP="00262BE7">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262BE7">
        <w:rPr>
          <w:spacing w:val="-6"/>
          <w:lang w:eastAsia="en-GB"/>
        </w:rPr>
        <w:t>63.</w:t>
      </w:r>
    </w:p>
    <w:p w:rsidR="000D3A4F" w:rsidRPr="000D3A4F" w:rsidRDefault="007D2C69"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262BE7" w:rsidRDefault="00D5540C" w:rsidP="00262BE7">
      <w:pPr>
        <w:spacing w:after="120"/>
        <w:ind w:left="1134" w:right="1134"/>
        <w:jc w:val="both"/>
      </w:pPr>
      <w:r>
        <w:br w:type="page"/>
      </w:r>
    </w:p>
    <w:p w:rsidR="00262BE7" w:rsidRPr="00262BE7" w:rsidRDefault="00262BE7" w:rsidP="00262BE7">
      <w:pPr>
        <w:spacing w:after="120"/>
        <w:ind w:left="1134" w:right="1134"/>
        <w:jc w:val="both"/>
        <w:rPr>
          <w:lang w:eastAsia="en-GB"/>
        </w:rPr>
      </w:pPr>
      <w:r w:rsidRPr="00262BE7">
        <w:rPr>
          <w:i/>
          <w:iCs/>
        </w:rPr>
        <w:t xml:space="preserve">Paragraph 2.1., </w:t>
      </w:r>
      <w:r w:rsidRPr="00262BE7">
        <w:rPr>
          <w:iCs/>
        </w:rPr>
        <w:t>amend to read</w:t>
      </w:r>
      <w:r w:rsidRPr="00262BE7">
        <w:t xml:space="preserve">: </w:t>
      </w:r>
    </w:p>
    <w:p w:rsidR="00262BE7" w:rsidRPr="00262BE7" w:rsidRDefault="00262BE7" w:rsidP="00262BE7">
      <w:pPr>
        <w:spacing w:after="120"/>
        <w:ind w:left="2268" w:right="1134" w:hanging="1134"/>
        <w:jc w:val="both"/>
        <w:rPr>
          <w:bCs/>
          <w:strike/>
          <w:lang w:eastAsia="en-GB"/>
        </w:rPr>
      </w:pPr>
      <w:r w:rsidRPr="00262BE7">
        <w:rPr>
          <w:bCs/>
          <w:lang w:eastAsia="en-GB"/>
        </w:rPr>
        <w:t>"2.1.</w:t>
      </w:r>
      <w:r w:rsidRPr="00262BE7">
        <w:rPr>
          <w:bCs/>
          <w:lang w:eastAsia="en-GB"/>
        </w:rPr>
        <w:tab/>
        <w:t>"</w:t>
      </w:r>
      <w:r w:rsidRPr="00262BE7">
        <w:rPr>
          <w:bCs/>
          <w:i/>
          <w:lang w:eastAsia="en-GB"/>
        </w:rPr>
        <w:t>Silencing systems</w:t>
      </w:r>
      <w:r w:rsidRPr="00262BE7">
        <w:rPr>
          <w:bCs/>
          <w:lang w:eastAsia="en-GB"/>
        </w:rPr>
        <w:t>" means a complete set of components necessary for limiting the sound produced by an engine of a motor vehicle, its intake and its exhaust."</w:t>
      </w:r>
    </w:p>
    <w:p w:rsidR="005C7D03" w:rsidRDefault="00262BE7" w:rsidP="00262BE7">
      <w:pPr>
        <w:spacing w:after="120"/>
        <w:ind w:left="2268" w:right="1134" w:hanging="1134"/>
        <w:jc w:val="both"/>
        <w:rPr>
          <w:i/>
        </w:rPr>
      </w:pPr>
      <w:r w:rsidRPr="00262BE7">
        <w:rPr>
          <w:i/>
        </w:rPr>
        <w:t xml:space="preserve">Annex 6, </w:t>
      </w:r>
    </w:p>
    <w:p w:rsidR="00262BE7" w:rsidRPr="00262BE7" w:rsidRDefault="005C7D03" w:rsidP="00262BE7">
      <w:pPr>
        <w:spacing w:after="120"/>
        <w:ind w:left="2268" w:right="1134" w:hanging="1134"/>
        <w:jc w:val="both"/>
      </w:pPr>
      <w:proofErr w:type="gramStart"/>
      <w:r>
        <w:rPr>
          <w:i/>
        </w:rPr>
        <w:t>P</w:t>
      </w:r>
      <w:r w:rsidR="00262BE7" w:rsidRPr="00262BE7">
        <w:rPr>
          <w:i/>
        </w:rPr>
        <w:t>aragraphs 1.</w:t>
      </w:r>
      <w:proofErr w:type="gramEnd"/>
      <w:r w:rsidR="00262BE7" w:rsidRPr="00262BE7">
        <w:rPr>
          <w:i/>
        </w:rPr>
        <w:t xml:space="preserve"> </w:t>
      </w:r>
      <w:proofErr w:type="gramStart"/>
      <w:r w:rsidR="00262BE7" w:rsidRPr="00262BE7">
        <w:rPr>
          <w:i/>
        </w:rPr>
        <w:t>to</w:t>
      </w:r>
      <w:proofErr w:type="gramEnd"/>
      <w:r w:rsidR="00262BE7" w:rsidRPr="00262BE7">
        <w:rPr>
          <w:i/>
        </w:rPr>
        <w:t xml:space="preserve"> 3.</w:t>
      </w:r>
      <w:r w:rsidR="00262BE7" w:rsidRPr="00262BE7">
        <w:t>, amend to read:</w:t>
      </w:r>
    </w:p>
    <w:p w:rsidR="00262BE7" w:rsidRPr="00262BE7" w:rsidRDefault="00262BE7" w:rsidP="00262BE7">
      <w:pPr>
        <w:tabs>
          <w:tab w:val="left" w:pos="1700"/>
          <w:tab w:val="left" w:pos="2268"/>
          <w:tab w:val="left" w:leader="dot" w:pos="8505"/>
        </w:tabs>
        <w:spacing w:after="120"/>
        <w:ind w:left="2259" w:right="1134" w:hanging="1125"/>
        <w:jc w:val="both"/>
        <w:rPr>
          <w:bCs/>
        </w:rPr>
      </w:pPr>
      <w:r w:rsidRPr="00262BE7">
        <w:rPr>
          <w:bCs/>
        </w:rPr>
        <w:t>"1.</w:t>
      </w:r>
      <w:r w:rsidRPr="00262BE7">
        <w:rPr>
          <w:bCs/>
        </w:rPr>
        <w:tab/>
      </w:r>
      <w:r w:rsidRPr="00262BE7">
        <w:rPr>
          <w:bCs/>
        </w:rPr>
        <w:tab/>
        <w:t>Each exhaust replacement silencing system shall be accompanied by a document issued by the manufacturer of the exhaust replacement silencing system or their representative. That document shall at least bear the following information:</w:t>
      </w:r>
    </w:p>
    <w:p w:rsidR="00262BE7" w:rsidRPr="00262BE7" w:rsidRDefault="00262BE7" w:rsidP="00262BE7">
      <w:pPr>
        <w:spacing w:after="120"/>
        <w:ind w:left="2835" w:right="1134" w:hanging="567"/>
        <w:jc w:val="both"/>
      </w:pPr>
      <w:r w:rsidRPr="00262BE7">
        <w:t xml:space="preserve">(a) </w:t>
      </w:r>
      <w:r w:rsidRPr="00262BE7">
        <w:tab/>
        <w:t>The type-approval number of the exhaust replacement silencing system (the 5th section indicating the number of the extension of the type-approval can be omitted);</w:t>
      </w:r>
    </w:p>
    <w:p w:rsidR="00262BE7" w:rsidRPr="00262BE7" w:rsidRDefault="00262BE7" w:rsidP="00262BE7">
      <w:pPr>
        <w:spacing w:after="120"/>
        <w:ind w:left="2835" w:right="1134" w:hanging="567"/>
        <w:jc w:val="both"/>
      </w:pPr>
      <w:r w:rsidRPr="00262BE7">
        <w:t xml:space="preserve">(b) </w:t>
      </w:r>
      <w:r w:rsidRPr="00262BE7">
        <w:tab/>
        <w:t>The type-approval mark;</w:t>
      </w:r>
    </w:p>
    <w:p w:rsidR="00262BE7" w:rsidRPr="00262BE7" w:rsidRDefault="00262BE7" w:rsidP="00262BE7">
      <w:pPr>
        <w:spacing w:after="120"/>
        <w:ind w:left="2835" w:right="1134" w:hanging="567"/>
        <w:jc w:val="both"/>
      </w:pPr>
      <w:r w:rsidRPr="00262BE7">
        <w:t xml:space="preserve">(c) </w:t>
      </w:r>
      <w:r w:rsidRPr="00262BE7">
        <w:tab/>
        <w:t>Make (trade name of manufacturer);</w:t>
      </w:r>
    </w:p>
    <w:p w:rsidR="00262BE7" w:rsidRPr="00262BE7" w:rsidRDefault="00262BE7" w:rsidP="00262BE7">
      <w:pPr>
        <w:spacing w:after="120"/>
        <w:ind w:left="2835" w:right="1134" w:hanging="567"/>
        <w:jc w:val="both"/>
      </w:pPr>
      <w:r w:rsidRPr="00262BE7">
        <w:t xml:space="preserve">(d) </w:t>
      </w:r>
      <w:r w:rsidRPr="00262BE7">
        <w:tab/>
        <w:t>Type and commercial description and/or part number;</w:t>
      </w:r>
    </w:p>
    <w:p w:rsidR="00262BE7" w:rsidRPr="00262BE7" w:rsidRDefault="00262BE7" w:rsidP="00262BE7">
      <w:pPr>
        <w:spacing w:after="120"/>
        <w:ind w:left="2835" w:right="1134" w:hanging="567"/>
        <w:jc w:val="both"/>
      </w:pPr>
      <w:r w:rsidRPr="00262BE7">
        <w:t xml:space="preserve">(e) </w:t>
      </w:r>
      <w:r w:rsidRPr="00262BE7">
        <w:tab/>
        <w:t>Company name and address of manufacturer;</w:t>
      </w:r>
    </w:p>
    <w:p w:rsidR="00262BE7" w:rsidRPr="00262BE7" w:rsidRDefault="00262BE7" w:rsidP="00262BE7">
      <w:pPr>
        <w:spacing w:after="120"/>
        <w:ind w:left="2835" w:right="1134" w:hanging="567"/>
        <w:jc w:val="both"/>
      </w:pPr>
      <w:r w:rsidRPr="00262BE7">
        <w:t xml:space="preserve">(f) </w:t>
      </w:r>
      <w:r w:rsidRPr="00262BE7">
        <w:tab/>
        <w:t>Name and address of the manufacturer's representative (if any);</w:t>
      </w:r>
    </w:p>
    <w:p w:rsidR="00262BE7" w:rsidRPr="00262BE7" w:rsidRDefault="00262BE7" w:rsidP="00262BE7">
      <w:pPr>
        <w:spacing w:after="120"/>
        <w:ind w:left="2835" w:right="1134" w:hanging="567"/>
        <w:jc w:val="both"/>
      </w:pPr>
      <w:r w:rsidRPr="00262BE7">
        <w:t xml:space="preserve">(g) </w:t>
      </w:r>
      <w:r w:rsidRPr="00262BE7">
        <w:tab/>
        <w:t>Data of the vehicles for which the exhaust replacement silencing system is intended:</w:t>
      </w:r>
    </w:p>
    <w:p w:rsidR="00262BE7" w:rsidRPr="00262BE7" w:rsidRDefault="00262BE7" w:rsidP="00262BE7">
      <w:pPr>
        <w:spacing w:after="120"/>
        <w:ind w:left="3402" w:right="1134" w:hanging="567"/>
        <w:jc w:val="both"/>
      </w:pPr>
      <w:r w:rsidRPr="00262BE7">
        <w:t>(</w:t>
      </w:r>
      <w:proofErr w:type="spellStart"/>
      <w:r w:rsidRPr="00262BE7">
        <w:t>i</w:t>
      </w:r>
      <w:proofErr w:type="spellEnd"/>
      <w:r w:rsidRPr="00262BE7">
        <w:t>)</w:t>
      </w:r>
      <w:r w:rsidRPr="00262BE7">
        <w:tab/>
        <w:t>Make;</w:t>
      </w:r>
    </w:p>
    <w:p w:rsidR="00262BE7" w:rsidRPr="00262BE7" w:rsidRDefault="00262BE7" w:rsidP="00262BE7">
      <w:pPr>
        <w:spacing w:after="120"/>
        <w:ind w:left="3402" w:right="1134" w:hanging="567"/>
        <w:jc w:val="both"/>
      </w:pPr>
      <w:r w:rsidRPr="00262BE7">
        <w:t>(ii)</w:t>
      </w:r>
      <w:r w:rsidRPr="00262BE7">
        <w:tab/>
        <w:t>Type;</w:t>
      </w:r>
    </w:p>
    <w:p w:rsidR="00262BE7" w:rsidRPr="00262BE7" w:rsidRDefault="00262BE7" w:rsidP="00262BE7">
      <w:pPr>
        <w:spacing w:after="120"/>
        <w:ind w:left="3402" w:right="1134" w:hanging="567"/>
        <w:jc w:val="both"/>
      </w:pPr>
      <w:r w:rsidRPr="00262BE7">
        <w:t>(iii)</w:t>
      </w:r>
      <w:r w:rsidRPr="00262BE7">
        <w:tab/>
        <w:t>Type-approval number;</w:t>
      </w:r>
    </w:p>
    <w:p w:rsidR="00262BE7" w:rsidRPr="00262BE7" w:rsidRDefault="00262BE7" w:rsidP="00262BE7">
      <w:pPr>
        <w:spacing w:after="120"/>
        <w:ind w:left="3402" w:right="1134" w:hanging="567"/>
        <w:jc w:val="both"/>
      </w:pPr>
      <w:proofErr w:type="gramStart"/>
      <w:r w:rsidRPr="00262BE7">
        <w:t>(iv)</w:t>
      </w:r>
      <w:r w:rsidRPr="00262BE7">
        <w:tab/>
        <w:t>Engine</w:t>
      </w:r>
      <w:proofErr w:type="gramEnd"/>
      <w:r w:rsidRPr="00262BE7">
        <w:t xml:space="preserve"> code;</w:t>
      </w:r>
    </w:p>
    <w:p w:rsidR="00262BE7" w:rsidRPr="00262BE7" w:rsidRDefault="00262BE7" w:rsidP="00262BE7">
      <w:pPr>
        <w:spacing w:after="120"/>
        <w:ind w:left="3402" w:right="1134" w:hanging="567"/>
        <w:jc w:val="both"/>
      </w:pPr>
      <w:r w:rsidRPr="00262BE7">
        <w:t>(</w:t>
      </w:r>
      <w:proofErr w:type="gramStart"/>
      <w:r w:rsidRPr="00262BE7">
        <w:t>v</w:t>
      </w:r>
      <w:proofErr w:type="gramEnd"/>
      <w:r w:rsidRPr="00262BE7">
        <w:t>)</w:t>
      </w:r>
      <w:r w:rsidRPr="00262BE7">
        <w:tab/>
        <w:t>Rated maximum net power;</w:t>
      </w:r>
    </w:p>
    <w:p w:rsidR="00262BE7" w:rsidRPr="00262BE7" w:rsidRDefault="00262BE7" w:rsidP="00262BE7">
      <w:pPr>
        <w:spacing w:after="120"/>
        <w:ind w:left="3402" w:right="1134" w:hanging="567"/>
        <w:jc w:val="both"/>
      </w:pPr>
      <w:proofErr w:type="gramStart"/>
      <w:r w:rsidRPr="00262BE7">
        <w:t>(vi)</w:t>
      </w:r>
      <w:r w:rsidRPr="00262BE7">
        <w:tab/>
        <w:t>Kind of</w:t>
      </w:r>
      <w:proofErr w:type="gramEnd"/>
      <w:r w:rsidRPr="00262BE7">
        <w:t xml:space="preserve"> transmission;</w:t>
      </w:r>
    </w:p>
    <w:p w:rsidR="00262BE7" w:rsidRPr="00262BE7" w:rsidRDefault="00262BE7" w:rsidP="00262BE7">
      <w:pPr>
        <w:spacing w:after="120"/>
        <w:ind w:left="3402" w:right="1134" w:hanging="567"/>
        <w:jc w:val="both"/>
      </w:pPr>
      <w:r w:rsidRPr="00262BE7">
        <w:t>(vii)</w:t>
      </w:r>
      <w:r w:rsidRPr="00262BE7">
        <w:tab/>
        <w:t>Any restriction concerning the vehicles where the system can be mounted.</w:t>
      </w:r>
    </w:p>
    <w:p w:rsidR="00262BE7" w:rsidRPr="00262BE7" w:rsidRDefault="00262BE7" w:rsidP="00262BE7">
      <w:pPr>
        <w:spacing w:after="120"/>
        <w:ind w:left="2835" w:right="1134" w:hanging="567"/>
        <w:jc w:val="both"/>
        <w:rPr>
          <w:bCs/>
        </w:rPr>
      </w:pPr>
      <w:r w:rsidRPr="00262BE7">
        <w:t>(h)</w:t>
      </w:r>
      <w:r w:rsidRPr="00262BE7">
        <w:tab/>
        <w:t>Mounting instructions.</w:t>
      </w:r>
    </w:p>
    <w:p w:rsidR="00262BE7" w:rsidRPr="00262BE7" w:rsidRDefault="00262BE7" w:rsidP="00262BE7">
      <w:pPr>
        <w:tabs>
          <w:tab w:val="left" w:pos="2268"/>
        </w:tabs>
        <w:spacing w:after="120"/>
        <w:ind w:left="2259" w:right="1134" w:hanging="1125"/>
        <w:jc w:val="both"/>
        <w:rPr>
          <w:bCs/>
        </w:rPr>
      </w:pPr>
      <w:r w:rsidRPr="00262BE7">
        <w:rPr>
          <w:bCs/>
        </w:rPr>
        <w:t xml:space="preserve">2. </w:t>
      </w:r>
      <w:r w:rsidRPr="00262BE7">
        <w:rPr>
          <w:bCs/>
        </w:rPr>
        <w:tab/>
        <w:t xml:space="preserve">If the document referred to in paragraph 1. </w:t>
      </w:r>
      <w:proofErr w:type="gramStart"/>
      <w:r w:rsidRPr="00262BE7">
        <w:rPr>
          <w:bCs/>
        </w:rPr>
        <w:t>consists</w:t>
      </w:r>
      <w:proofErr w:type="gramEnd"/>
      <w:r w:rsidRPr="00262BE7">
        <w:rPr>
          <w:bCs/>
        </w:rPr>
        <w:t xml:space="preserve"> of more than one page, all pages shall bear at least a reference to the type-approval number. </w:t>
      </w:r>
    </w:p>
    <w:p w:rsidR="00262BE7" w:rsidRPr="00262BE7" w:rsidRDefault="00262BE7" w:rsidP="00262BE7">
      <w:pPr>
        <w:tabs>
          <w:tab w:val="left" w:pos="2268"/>
        </w:tabs>
        <w:spacing w:after="120"/>
        <w:ind w:left="2259" w:right="1134" w:hanging="1125"/>
        <w:jc w:val="both"/>
        <w:rPr>
          <w:bCs/>
        </w:rPr>
      </w:pPr>
      <w:r w:rsidRPr="00262BE7">
        <w:rPr>
          <w:bCs/>
        </w:rPr>
        <w:t xml:space="preserve">3. </w:t>
      </w:r>
      <w:r w:rsidRPr="00262BE7">
        <w:rPr>
          <w:bCs/>
        </w:rPr>
        <w:tab/>
        <w:t xml:space="preserve">The information concerning paragraphs 1 (g) and 1 (h) may be provided on the website of the manufacturer. In this case, the document accompanying the exhaust replacement silencing system shall indicate the website where the required information may be found and printed." </w:t>
      </w:r>
    </w:p>
    <w:p w:rsidR="00262BE7" w:rsidRPr="00262BE7" w:rsidRDefault="00262BE7" w:rsidP="00262BE7">
      <w:pPr>
        <w:spacing w:before="240"/>
        <w:ind w:left="1134" w:right="1134"/>
        <w:jc w:val="center"/>
        <w:rPr>
          <w:u w:val="single"/>
        </w:rPr>
      </w:pPr>
      <w:r w:rsidRPr="00262BE7">
        <w:rPr>
          <w:u w:val="single"/>
        </w:rPr>
        <w:tab/>
      </w:r>
      <w:r w:rsidRPr="00262BE7">
        <w:rPr>
          <w:u w:val="single"/>
        </w:rPr>
        <w:tab/>
      </w:r>
      <w:r w:rsidRPr="00262BE7">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E7" w:rsidRDefault="00262BE7"/>
  </w:endnote>
  <w:endnote w:type="continuationSeparator" w:id="0">
    <w:p w:rsidR="00262BE7" w:rsidRDefault="00262BE7"/>
  </w:endnote>
  <w:endnote w:type="continuationNotice" w:id="1">
    <w:p w:rsidR="00262BE7" w:rsidRDefault="00262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D2C6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62BE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E7" w:rsidRPr="000B175B" w:rsidRDefault="00262BE7" w:rsidP="000B175B">
      <w:pPr>
        <w:tabs>
          <w:tab w:val="right" w:pos="2155"/>
        </w:tabs>
        <w:spacing w:after="80"/>
        <w:ind w:left="680"/>
        <w:rPr>
          <w:u w:val="single"/>
        </w:rPr>
      </w:pPr>
      <w:r>
        <w:rPr>
          <w:u w:val="single"/>
        </w:rPr>
        <w:tab/>
      </w:r>
    </w:p>
  </w:footnote>
  <w:footnote w:type="continuationSeparator" w:id="0">
    <w:p w:rsidR="00262BE7" w:rsidRPr="00FC68B7" w:rsidRDefault="00262BE7" w:rsidP="00FC68B7">
      <w:pPr>
        <w:tabs>
          <w:tab w:val="left" w:pos="2155"/>
        </w:tabs>
        <w:spacing w:after="80"/>
        <w:ind w:left="680"/>
        <w:rPr>
          <w:u w:val="single"/>
        </w:rPr>
      </w:pPr>
      <w:r>
        <w:rPr>
          <w:u w:val="single"/>
        </w:rPr>
        <w:tab/>
      </w:r>
    </w:p>
  </w:footnote>
  <w:footnote w:type="continuationNotice" w:id="1">
    <w:p w:rsidR="00262BE7" w:rsidRDefault="00262BE7"/>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262BE7">
    <w:pPr>
      <w:pStyle w:val="Header"/>
    </w:pPr>
    <w:r w:rsidRPr="00D623A7">
      <w:t>E/</w:t>
    </w:r>
    <w:proofErr w:type="spellStart"/>
    <w:r w:rsidRPr="00D623A7">
      <w:t>ECE</w:t>
    </w:r>
    <w:proofErr w:type="spellEnd"/>
    <w:r w:rsidRPr="00D623A7">
      <w:t>/324</w:t>
    </w:r>
    <w:r w:rsidR="00262BE7">
      <w:t>/Rev.1/Add.58/Rev.2/Amend.1</w:t>
    </w:r>
    <w:r>
      <w:br/>
    </w:r>
    <w:r w:rsidRPr="00D623A7">
      <w:t>E/</w:t>
    </w:r>
    <w:proofErr w:type="spellStart"/>
    <w:r w:rsidRPr="00D623A7">
      <w:t>ECE</w:t>
    </w:r>
    <w:proofErr w:type="spellEnd"/>
    <w:r w:rsidRPr="00D623A7">
      <w:t>/TRANS/505</w:t>
    </w:r>
    <w:r w:rsidR="00262BE7">
      <w:t>/Rev.1/Add.58/Rev.2/Amend.1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w:t>
    </w:r>
    <w:proofErr w:type="spellStart"/>
    <w:r w:rsidRPr="00D623A7">
      <w:t>ECE</w:t>
    </w:r>
    <w:proofErr w:type="spellEnd"/>
    <w:r w:rsidRPr="00D623A7">
      <w:t>/TRANS/505/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D0" w:rsidRDefault="001F7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BE7"/>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1F77D0"/>
    <w:rsid w:val="00211E0B"/>
    <w:rsid w:val="002405A7"/>
    <w:rsid w:val="00262BE7"/>
    <w:rsid w:val="00271A7F"/>
    <w:rsid w:val="002A1E3A"/>
    <w:rsid w:val="002F13CB"/>
    <w:rsid w:val="003107FA"/>
    <w:rsid w:val="00312E48"/>
    <w:rsid w:val="003229D8"/>
    <w:rsid w:val="0033745A"/>
    <w:rsid w:val="00370FA0"/>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5C7D0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D2C69"/>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5A9C"/>
    <w:rsid w:val="00A879A4"/>
    <w:rsid w:val="00AE40E1"/>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2</TotalTime>
  <Pages>2</Pages>
  <Words>372</Words>
  <Characters>2122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5</cp:revision>
  <cp:lastPrinted>2016-02-04T14:42:00Z</cp:lastPrinted>
  <dcterms:created xsi:type="dcterms:W3CDTF">2015-08-28T10:02:00Z</dcterms:created>
  <dcterms:modified xsi:type="dcterms:W3CDTF">2016-02-04T14:42:00Z</dcterms:modified>
</cp:coreProperties>
</file>