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075CE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75CE7">
              <w:t>1</w:t>
            </w:r>
            <w:r w:rsidR="00841EB5">
              <w:t>/</w:t>
            </w:r>
            <w:r>
              <w:t>Add.</w:t>
            </w:r>
            <w:r w:rsidR="00075CE7">
              <w:t>53</w:t>
            </w:r>
            <w:r>
              <w:t>/Rev.</w:t>
            </w:r>
            <w:r w:rsidR="00075CE7">
              <w:t>3</w:t>
            </w:r>
            <w:r>
              <w:t>/</w:t>
            </w:r>
            <w:r w:rsidR="00D623A7">
              <w:t>Amend.</w:t>
            </w:r>
            <w:r w:rsidR="00075CE7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075CE7">
              <w:t>/Rev.1/Add.53/Rev.3/Amend.2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5A76E1" w:rsidP="003C3936">
            <w:pPr>
              <w:spacing w:before="120"/>
            </w:pPr>
            <w:r>
              <w:t>5 February 2016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75CE7">
        <w:t>53</w:t>
      </w:r>
      <w:r>
        <w:t xml:space="preserve"> – Regulation No.</w:t>
      </w:r>
      <w:r w:rsidR="00271A7F">
        <w:t xml:space="preserve"> </w:t>
      </w:r>
      <w:r w:rsidR="00075CE7">
        <w:t>54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75CE7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075CE7">
        <w:t>2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75CE7">
        <w:rPr>
          <w:spacing w:val="-2"/>
        </w:rPr>
        <w:t>20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75CE7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C94ECD">
        <w:rPr>
          <w:spacing w:val="-2"/>
        </w:rPr>
        <w:br/>
      </w:r>
      <w:r w:rsidR="00075CE7" w:rsidRPr="008D38B7">
        <w:t>20 January 2016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75CE7" w:rsidRPr="00075CE7">
        <w:rPr>
          <w:lang w:val="en-US"/>
        </w:rPr>
        <w:t xml:space="preserve">Uniform provisions concerning the approval of pneumatic </w:t>
      </w:r>
      <w:proofErr w:type="spellStart"/>
      <w:r w:rsidR="00075CE7" w:rsidRPr="00075CE7">
        <w:rPr>
          <w:lang w:val="en-US"/>
        </w:rPr>
        <w:t>tyres</w:t>
      </w:r>
      <w:proofErr w:type="spellEnd"/>
      <w:r w:rsidR="00075CE7" w:rsidRPr="00075CE7">
        <w:rPr>
          <w:lang w:val="en-US"/>
        </w:rPr>
        <w:t xml:space="preserve"> for </w:t>
      </w:r>
      <w:proofErr w:type="gramStart"/>
      <w:r w:rsidR="00075CE7" w:rsidRPr="00075CE7">
        <w:rPr>
          <w:lang w:val="en-US"/>
        </w:rPr>
        <w:t>commercial</w:t>
      </w:r>
      <w:proofErr w:type="gramEnd"/>
      <w:r w:rsidR="00075CE7" w:rsidRPr="00075CE7">
        <w:rPr>
          <w:lang w:val="en-US"/>
        </w:rPr>
        <w:t xml:space="preserve"> vehicles and their trailers</w:t>
      </w:r>
    </w:p>
    <w:p w:rsidR="00A41529" w:rsidRDefault="00B32121" w:rsidP="00C94ECD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C94ECD">
        <w:rPr>
          <w:spacing w:val="-6"/>
          <w:lang w:eastAsia="en-GB"/>
        </w:rPr>
        <w:t>66.</w:t>
      </w:r>
    </w:p>
    <w:p w:rsidR="000D3A4F" w:rsidRPr="000D3A4F" w:rsidRDefault="005A76E1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C94ECD" w:rsidRDefault="00C94ECD" w:rsidP="00A41529">
      <w:pPr>
        <w:suppressAutoHyphens w:val="0"/>
        <w:spacing w:line="240" w:lineRule="auto"/>
        <w:jc w:val="center"/>
        <w:rPr>
          <w:b/>
          <w:sz w:val="24"/>
        </w:rPr>
      </w:pPr>
    </w:p>
    <w:p w:rsidR="00C94ECD" w:rsidRDefault="00C94ECD" w:rsidP="00A41529">
      <w:pPr>
        <w:suppressAutoHyphens w:val="0"/>
        <w:spacing w:line="240" w:lineRule="auto"/>
        <w:jc w:val="center"/>
        <w:rPr>
          <w:b/>
          <w:sz w:val="24"/>
        </w:rPr>
      </w:pPr>
    </w:p>
    <w:p w:rsidR="00C94ECD" w:rsidRDefault="00C94ECD" w:rsidP="00A41529">
      <w:pPr>
        <w:suppressAutoHyphens w:val="0"/>
        <w:spacing w:line="240" w:lineRule="auto"/>
        <w:jc w:val="center"/>
        <w:rPr>
          <w:b/>
          <w:sz w:val="24"/>
        </w:rPr>
      </w:pPr>
    </w:p>
    <w:p w:rsidR="00C94ECD" w:rsidRPr="000D3A4F" w:rsidRDefault="00C94ECD" w:rsidP="00A41529">
      <w:pPr>
        <w:suppressAutoHyphens w:val="0"/>
        <w:spacing w:line="240" w:lineRule="auto"/>
        <w:jc w:val="center"/>
        <w:rPr>
          <w:b/>
          <w:sz w:val="24"/>
        </w:rPr>
      </w:pPr>
    </w:p>
    <w:p w:rsidR="00C94ECD" w:rsidRDefault="00C94ECD" w:rsidP="00075CE7">
      <w:pPr>
        <w:spacing w:after="120" w:line="240" w:lineRule="auto"/>
        <w:ind w:left="1134" w:right="993"/>
        <w:jc w:val="both"/>
        <w:rPr>
          <w:i/>
        </w:rPr>
      </w:pPr>
    </w:p>
    <w:p w:rsidR="00075CE7" w:rsidRDefault="00075CE7" w:rsidP="00075CE7">
      <w:pPr>
        <w:spacing w:after="120" w:line="240" w:lineRule="auto"/>
        <w:ind w:left="1134" w:right="993"/>
        <w:jc w:val="both"/>
      </w:pPr>
      <w:r>
        <w:rPr>
          <w:i/>
        </w:rPr>
        <w:t xml:space="preserve">Paragraph 3.1.13., </w:t>
      </w:r>
      <w:r>
        <w:t>amend to read:</w:t>
      </w:r>
    </w:p>
    <w:p w:rsidR="00075CE7" w:rsidRDefault="00075CE7" w:rsidP="00075CE7">
      <w:pPr>
        <w:spacing w:after="120"/>
        <w:ind w:left="2268" w:right="993" w:hanging="1134"/>
        <w:jc w:val="both"/>
        <w:rPr>
          <w:rFonts w:eastAsia="MS Gothic"/>
          <w:i/>
        </w:rPr>
      </w:pPr>
      <w:r>
        <w:t>"3.1.13.</w:t>
      </w:r>
      <w:r>
        <w:tab/>
      </w:r>
      <w:r w:rsidRPr="0055147A">
        <w:t xml:space="preserve">The </w:t>
      </w:r>
      <w:r w:rsidRPr="0055147A">
        <w:rPr>
          <w:lang w:val="en-US"/>
        </w:rPr>
        <w:t xml:space="preserve">prefix "LT" before the </w:t>
      </w:r>
      <w:proofErr w:type="spellStart"/>
      <w:r w:rsidRPr="0055147A">
        <w:rPr>
          <w:lang w:val="en-US"/>
        </w:rPr>
        <w:t>tyre</w:t>
      </w:r>
      <w:proofErr w:type="spellEnd"/>
      <w:r w:rsidRPr="0055147A">
        <w:rPr>
          <w:lang w:val="en-US"/>
        </w:rPr>
        <w:t xml:space="preserve"> size designation, or the </w:t>
      </w:r>
      <w:r w:rsidRPr="0055147A">
        <w:t>suffix "C" or "LT" after the rim diameter marking referred to in paragraph 2.17.1.3., and, if applicable, after the tyre to rim fitment configuration referred to in paragraph 2.17.1.4.</w:t>
      </w:r>
      <w:r w:rsidRPr="0055147A">
        <w:rPr>
          <w:lang w:val="en-US" w:eastAsia="ja-JP"/>
        </w:rPr>
        <w:t xml:space="preserve">, </w:t>
      </w:r>
      <w:r w:rsidRPr="0055147A">
        <w:rPr>
          <w:lang w:val="en-US"/>
        </w:rPr>
        <w:t xml:space="preserve">or </w:t>
      </w:r>
      <w:r w:rsidRPr="0055147A">
        <w:rPr>
          <w:lang w:val="en-US" w:eastAsia="ja-JP"/>
        </w:rPr>
        <w:t xml:space="preserve">the </w:t>
      </w:r>
      <w:r w:rsidRPr="0055147A">
        <w:t xml:space="preserve">suffix "LT" </w:t>
      </w:r>
      <w:r w:rsidRPr="0055147A">
        <w:rPr>
          <w:lang w:val="en-US" w:eastAsia="ja-JP"/>
        </w:rPr>
        <w:t xml:space="preserve">after the </w:t>
      </w:r>
      <w:r w:rsidRPr="0055147A">
        <w:rPr>
          <w:lang w:val="en-US"/>
        </w:rPr>
        <w:t>service description</w:t>
      </w:r>
      <w:r w:rsidRPr="0055147A">
        <w:t>.</w:t>
      </w:r>
      <w:r w:rsidRPr="0055147A">
        <w:rPr>
          <w:lang w:val="en-US"/>
        </w:rPr>
        <w:t>"</w:t>
      </w:r>
    </w:p>
    <w:p w:rsidR="00C94ECD" w:rsidRDefault="00075CE7" w:rsidP="00075CE7">
      <w:pPr>
        <w:spacing w:after="120"/>
        <w:ind w:left="1134"/>
        <w:rPr>
          <w:i/>
        </w:rPr>
      </w:pPr>
      <w:r>
        <w:rPr>
          <w:i/>
        </w:rPr>
        <w:t xml:space="preserve">Annex 5, </w:t>
      </w:r>
    </w:p>
    <w:p w:rsidR="00075CE7" w:rsidRDefault="00C94ECD" w:rsidP="00075CE7">
      <w:pPr>
        <w:spacing w:after="120"/>
        <w:ind w:left="1134"/>
        <w:rPr>
          <w:rFonts w:eastAsia="MS Gothic"/>
          <w:i/>
        </w:rPr>
      </w:pPr>
      <w:r>
        <w:rPr>
          <w:i/>
        </w:rPr>
        <w:t>P</w:t>
      </w:r>
      <w:r w:rsidR="00075CE7">
        <w:rPr>
          <w:i/>
        </w:rPr>
        <w:t xml:space="preserve">art II, </w:t>
      </w:r>
      <w:r>
        <w:rPr>
          <w:i/>
        </w:rPr>
        <w:t>T</w:t>
      </w:r>
      <w:r w:rsidR="00075CE7">
        <w:rPr>
          <w:i/>
        </w:rPr>
        <w:t xml:space="preserve">able B, </w:t>
      </w:r>
      <w:r w:rsidR="00075CE7">
        <w:t>amend to read:</w:t>
      </w:r>
    </w:p>
    <w:p w:rsidR="00075CE7" w:rsidRDefault="00075CE7" w:rsidP="00075CE7">
      <w:pPr>
        <w:tabs>
          <w:tab w:val="left" w:pos="-1227"/>
          <w:tab w:val="left" w:pos="-720"/>
          <w:tab w:val="left" w:pos="720"/>
          <w:tab w:val="left" w:pos="1080"/>
          <w:tab w:val="left" w:pos="1418"/>
          <w:tab w:val="left" w:pos="2160"/>
          <w:tab w:val="left" w:pos="2890"/>
          <w:tab w:val="left" w:pos="3286"/>
          <w:tab w:val="left" w:pos="4320"/>
          <w:tab w:val="left" w:pos="5040"/>
          <w:tab w:val="left" w:pos="5400"/>
        </w:tabs>
        <w:spacing w:line="240" w:lineRule="auto"/>
        <w:ind w:left="2268" w:right="992" w:hanging="1134"/>
        <w:rPr>
          <w:b/>
        </w:rPr>
      </w:pPr>
      <w:r>
        <w:t>"Table B</w:t>
      </w:r>
      <w:r>
        <w:rPr>
          <w:b/>
        </w:rPr>
        <w:t xml:space="preserve"> </w:t>
      </w:r>
    </w:p>
    <w:p w:rsidR="00075CE7" w:rsidRPr="00CE5D96" w:rsidRDefault="00075CE7" w:rsidP="00075CE7">
      <w:pPr>
        <w:spacing w:line="240" w:lineRule="auto"/>
        <w:ind w:left="1134"/>
        <w:outlineLvl w:val="0"/>
        <w:rPr>
          <w:b/>
        </w:rPr>
      </w:pPr>
      <w:bookmarkStart w:id="3" w:name="_Toc340745103"/>
      <w:bookmarkStart w:id="4" w:name="_Toc340666241"/>
      <w:r w:rsidRPr="00CE5D96">
        <w:rPr>
          <w:b/>
        </w:rPr>
        <w:t>Tyres for light commercial vehicles (high flotation tyres)</w:t>
      </w:r>
      <w:bookmarkEnd w:id="3"/>
      <w:bookmarkEnd w:id="4"/>
    </w:p>
    <w:p w:rsidR="00075CE7" w:rsidRDefault="00075CE7" w:rsidP="00075CE7">
      <w:pPr>
        <w:spacing w:after="120" w:line="240" w:lineRule="auto"/>
        <w:ind w:left="1134"/>
        <w:outlineLvl w:val="0"/>
      </w:pPr>
      <w:bookmarkStart w:id="5" w:name="_Toc340745104"/>
      <w:bookmarkStart w:id="6" w:name="_Toc340666242"/>
      <w:r w:rsidRPr="00CE5D96">
        <w:rPr>
          <w:b/>
        </w:rPr>
        <w:t>Diagonal and radial</w:t>
      </w:r>
      <w:bookmarkEnd w:id="5"/>
      <w:bookmarkEnd w:id="6"/>
    </w:p>
    <w:tbl>
      <w:tblPr>
        <w:tblW w:w="736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149"/>
        <w:gridCol w:w="1119"/>
        <w:gridCol w:w="890"/>
        <w:gridCol w:w="1026"/>
        <w:gridCol w:w="1090"/>
      </w:tblGrid>
      <w:tr w:rsidR="00075CE7" w:rsidTr="00A403A8">
        <w:trPr>
          <w:trHeight w:val="665"/>
          <w:tblHeader/>
        </w:trPr>
        <w:tc>
          <w:tcPr>
            <w:tcW w:w="2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5CE7" w:rsidRDefault="00075CE7" w:rsidP="00A403A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Tyre-size </w:t>
            </w:r>
            <w:r>
              <w:rPr>
                <w:i/>
                <w:sz w:val="16"/>
                <w:szCs w:val="16"/>
              </w:rPr>
              <w:t>designation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075CE7" w:rsidRDefault="00075CE7" w:rsidP="00A403A8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C94ECD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Measuring </w:t>
            </w:r>
            <w:r>
              <w:rPr>
                <w:i/>
                <w:sz w:val="16"/>
                <w:szCs w:val="16"/>
              </w:rPr>
              <w:t xml:space="preserve">rim width </w:t>
            </w:r>
            <w:r>
              <w:rPr>
                <w:i/>
                <w:sz w:val="16"/>
                <w:szCs w:val="16"/>
                <w:lang w:val="fr-FR"/>
              </w:rPr>
              <w:t>code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C94ECD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Nominal </w:t>
            </w:r>
            <w:r>
              <w:rPr>
                <w:i/>
                <w:sz w:val="16"/>
                <w:szCs w:val="16"/>
              </w:rPr>
              <w:t>rim diameter</w:t>
            </w:r>
          </w:p>
          <w:p w:rsidR="00075CE7" w:rsidRDefault="00075CE7" w:rsidP="00C94ECD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  <w:szCs w:val="16"/>
                <w:lang w:val="en-US"/>
              </w:rPr>
              <w:t>d (mm)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C94ECD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Outer diameter</w:t>
            </w:r>
            <w:r>
              <w:rPr>
                <w:i/>
                <w:sz w:val="16"/>
              </w:rPr>
              <w:br/>
            </w:r>
            <w:r>
              <w:rPr>
                <w:i/>
                <w:sz w:val="16"/>
                <w:szCs w:val="16"/>
                <w:lang w:val="fr-FR"/>
              </w:rPr>
              <w:t>D (mm)</w:t>
            </w:r>
            <w:r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5CE7" w:rsidRDefault="00075CE7" w:rsidP="00C94ECD">
            <w:pPr>
              <w:suppressAutoHyphens w:val="0"/>
              <w:spacing w:before="80" w:after="80" w:line="200" w:lineRule="exact"/>
              <w:ind w:left="88" w:right="113"/>
              <w:jc w:val="righ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</w:rPr>
              <w:t>Section width</w:t>
            </w:r>
            <w:r>
              <w:rPr>
                <w:i/>
                <w:sz w:val="16"/>
              </w:rPr>
              <w:br/>
            </w:r>
            <w:r>
              <w:rPr>
                <w:i/>
                <w:sz w:val="16"/>
                <w:szCs w:val="16"/>
              </w:rPr>
              <w:t>S (mm)</w:t>
            </w:r>
            <w:r>
              <w:rPr>
                <w:i/>
                <w:sz w:val="16"/>
                <w:szCs w:val="16"/>
                <w:vertAlign w:val="superscript"/>
              </w:rPr>
              <w:t>3</w:t>
            </w:r>
          </w:p>
          <w:p w:rsidR="00075CE7" w:rsidRDefault="00075CE7" w:rsidP="00C94ECD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</w:rPr>
            </w:pPr>
          </w:p>
        </w:tc>
      </w:tr>
      <w:tr w:rsidR="00075CE7" w:rsidTr="00A403A8">
        <w:trPr>
          <w:trHeight w:val="305"/>
          <w:tblHeader/>
        </w:trPr>
        <w:tc>
          <w:tcPr>
            <w:tcW w:w="209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75CE7" w:rsidRDefault="00075CE7" w:rsidP="00A403A8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75CE7" w:rsidRDefault="00075CE7" w:rsidP="00A403A8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75CE7" w:rsidRDefault="00075CE7" w:rsidP="00A403A8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C94ECD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fr-FR"/>
              </w:rPr>
              <w:t>Normal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C94ECD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Snow</w:t>
            </w: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75CE7" w:rsidRDefault="00075CE7" w:rsidP="00A403A8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9-15LT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744 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755 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254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10-15LT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773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783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264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11-15LT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777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788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279 </w:t>
            </w:r>
          </w:p>
        </w:tc>
      </w:tr>
      <w:tr w:rsidR="00075CE7" w:rsidTr="00A403A8">
        <w:trPr>
          <w:trHeight w:hRule="exact" w:val="219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24x7.50-13LT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330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597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604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191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27x8.50-14LT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356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674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680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218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28x8.50-15LT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699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705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218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29x9.50-15LT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7.50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724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731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30x9.50-15LT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7.50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750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756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31x10.50-15LT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8.50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775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781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268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31x11.50-15LT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775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781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290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31x12.50R15LT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775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781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31x13.50-15LT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11.00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775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781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345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31x15.50-15LT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12.00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775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781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390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32x11.50-15LT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801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807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290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33x9.50 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7.50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240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33x10.50R15LT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8.50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268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33x10.50R17LT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8.50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268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33x10.50R18LT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8.50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268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33x11.50R18LT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10.00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826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832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318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33x12.50R22LT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33x13.50R15LT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33x15.50R15LT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34x10.50R17LT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8.50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851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858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268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34x12.50R18LT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851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858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35x12.50-15LT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10.00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877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883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318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lastRenderedPageBreak/>
              <w:t>35x12.50R17LT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35x12.50R18LT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35x12.50R20LT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35x12.50R22LT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35x13.50R15LT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35x13.50R18LT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35x13.50R20LT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35x14.50R15LT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36x13.50R18LT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36x14.50R15LT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36x14.50R17LT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36x14.50R18LT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36x15.50R15LT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10.00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928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934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318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 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37x12.50R22LT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37x13.50R22LT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37x13.50R24LT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610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37x14.50-15LT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12.00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928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934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372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38x13.50R17LT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38x13.50R20LT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38x13.50R24LT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610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38x14.50R17LT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38x14.50R18LT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38x14.50R20LT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38x15.50R15LT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38x15.50R17LT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38x15.50R18LT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38x15.50R20LT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39x13.50R17LT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978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985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40x13.50R17LT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40x13.50R20LT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40x14.50R17LT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40x14.50R18LT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40x14.50R20LT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40x15.50R20LT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40x15.50R22LT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40x15.50R24LT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610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42x14.50R17LT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42x14.50R20LT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Pr="0055147A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075CE7" w:rsidTr="00A403A8">
        <w:trPr>
          <w:trHeight w:val="193"/>
        </w:trPr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8.00-16.5LT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6.00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720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730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203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8.75-16.5LT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6.75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748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759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222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9.50-16.5LT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6.75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776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787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241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10-16.5LT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762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773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264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12-16.5LT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9.75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818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831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307 </w:t>
            </w:r>
          </w:p>
        </w:tc>
      </w:tr>
      <w:tr w:rsidR="00075CE7" w:rsidTr="00A403A8">
        <w:trPr>
          <w:trHeight w:val="193"/>
        </w:trPr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30x9.50-16.5LT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7.50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750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761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31x10.50-16.5LT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787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266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33x12.50-16.5LT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9.75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826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838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315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35x12.50 R16.5LT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37x12.50-16.5LT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9.75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928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939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315 </w:t>
            </w:r>
          </w:p>
        </w:tc>
      </w:tr>
      <w:tr w:rsidR="00075CE7" w:rsidTr="00A403A8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37x14.50-16.5LT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11.25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75CE7" w:rsidRDefault="00075CE7" w:rsidP="00A403A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</w:tr>
      <w:tr w:rsidR="00075CE7" w:rsidTr="00A403A8">
        <w:trPr>
          <w:trHeight w:hRule="exact" w:val="1064"/>
        </w:trPr>
        <w:tc>
          <w:tcPr>
            <w:tcW w:w="736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5CE7" w:rsidRDefault="00075CE7" w:rsidP="00C94ECD">
            <w:pPr>
              <w:tabs>
                <w:tab w:val="left" w:pos="441"/>
              </w:tabs>
              <w:spacing w:before="40" w:line="220" w:lineRule="exact"/>
              <w:ind w:left="147" w:right="709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ab/>
            </w:r>
            <w:r>
              <w:rPr>
                <w:spacing w:val="2"/>
                <w:sz w:val="18"/>
              </w:rPr>
              <w:t xml:space="preserve">Tyres in Radial construction are identified by the letter "R" in place of "-" (e.g. </w:t>
            </w:r>
            <w:r>
              <w:rPr>
                <w:spacing w:val="2"/>
                <w:sz w:val="18"/>
              </w:rPr>
              <w:tab/>
              <w:t>24x7.50 R 13LT).</w:t>
            </w:r>
          </w:p>
          <w:p w:rsidR="00075CE7" w:rsidRDefault="00075CE7" w:rsidP="00C94ECD">
            <w:pPr>
              <w:tabs>
                <w:tab w:val="left" w:pos="441"/>
              </w:tabs>
              <w:spacing w:line="220" w:lineRule="exact"/>
              <w:ind w:left="147" w:right="1134"/>
              <w:rPr>
                <w:sz w:val="18"/>
              </w:rPr>
            </w:pP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ab/>
              <w:t xml:space="preserve">Coefficient 'b' for the calculation of </w:t>
            </w:r>
            <w:proofErr w:type="spellStart"/>
            <w:r>
              <w:rPr>
                <w:sz w:val="18"/>
              </w:rPr>
              <w:t>D</w:t>
            </w:r>
            <w:r w:rsidRPr="00387043">
              <w:rPr>
                <w:sz w:val="18"/>
                <w:vertAlign w:val="subscript"/>
              </w:rPr>
              <w:t>max</w:t>
            </w:r>
            <w:proofErr w:type="spellEnd"/>
            <w:r>
              <w:rPr>
                <w:sz w:val="18"/>
              </w:rPr>
              <w:t xml:space="preserve">: 1.07. </w:t>
            </w:r>
          </w:p>
          <w:p w:rsidR="00075CE7" w:rsidRDefault="00075CE7" w:rsidP="00C94ECD">
            <w:pPr>
              <w:tabs>
                <w:tab w:val="left" w:pos="441"/>
              </w:tabs>
              <w:suppressAutoHyphens w:val="0"/>
              <w:spacing w:before="40" w:after="120" w:line="220" w:lineRule="exact"/>
              <w:ind w:left="147" w:right="113"/>
              <w:rPr>
                <w:sz w:val="18"/>
              </w:rPr>
            </w:pP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ab/>
              <w:t>Overall width may exceed this value up to +7 per cent.</w:t>
            </w:r>
          </w:p>
        </w:tc>
      </w:tr>
    </w:tbl>
    <w:p w:rsidR="00075CE7" w:rsidRDefault="00075CE7" w:rsidP="00075CE7">
      <w:pPr>
        <w:tabs>
          <w:tab w:val="right" w:pos="1021"/>
          <w:tab w:val="left" w:pos="1418"/>
        </w:tabs>
        <w:spacing w:line="220" w:lineRule="exact"/>
        <w:ind w:left="1134" w:right="1134"/>
        <w:jc w:val="right"/>
        <w:rPr>
          <w:sz w:val="18"/>
        </w:rPr>
      </w:pPr>
      <w:r>
        <w:rPr>
          <w:sz w:val="18"/>
        </w:rPr>
        <w:t>"</w:t>
      </w:r>
    </w:p>
    <w:p w:rsidR="00075CE7" w:rsidRPr="00440085" w:rsidRDefault="00075CE7" w:rsidP="00075CE7">
      <w:pPr>
        <w:spacing w:before="240"/>
        <w:ind w:left="1134" w:right="1134"/>
        <w:jc w:val="center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623A7" w:rsidRDefault="00D623A7">
      <w:pPr>
        <w:suppressAutoHyphens w:val="0"/>
        <w:spacing w:line="240" w:lineRule="auto"/>
      </w:pPr>
    </w:p>
    <w:p w:rsidR="00776D12" w:rsidRDefault="00776D12" w:rsidP="00C711C7">
      <w:pPr>
        <w:jc w:val="center"/>
      </w:pPr>
    </w:p>
    <w:sectPr w:rsidR="00776D12" w:rsidSect="00C94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127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E7" w:rsidRDefault="00075CE7"/>
  </w:endnote>
  <w:endnote w:type="continuationSeparator" w:id="0">
    <w:p w:rsidR="00075CE7" w:rsidRDefault="00075CE7"/>
  </w:endnote>
  <w:endnote w:type="continuationNotice" w:id="1">
    <w:p w:rsidR="00075CE7" w:rsidRDefault="00075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A76E1">
      <w:rPr>
        <w:b/>
        <w:noProof/>
        <w:sz w:val="18"/>
        <w:szCs w:val="18"/>
      </w:rPr>
      <w:t>4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A76E1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214AF6" w:rsidRDefault="00B701B3" w:rsidP="00214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E7" w:rsidRPr="000B175B" w:rsidRDefault="00075C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5CE7" w:rsidRPr="00FC68B7" w:rsidRDefault="00075C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75CE7" w:rsidRDefault="00075CE7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075CE7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075CE7">
      <w:t>/Rev.1/Add.53/Rev.3/Amend.2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075CE7">
      <w:t>/Rev.1/Add.53/Rev.3/Amend.2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075CE7">
      <w:t>/Rev.1/Add.53/Rev.3/Amend.2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075CE7">
      <w:t>/Rev.1/Add.53/Rev.3/Amend.2</w:t>
    </w:r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6" w:rsidRDefault="00214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CE7"/>
    <w:rsid w:val="00050F6B"/>
    <w:rsid w:val="00072C8C"/>
    <w:rsid w:val="00075CE7"/>
    <w:rsid w:val="000931C0"/>
    <w:rsid w:val="000B175B"/>
    <w:rsid w:val="000B3A0F"/>
    <w:rsid w:val="000B7217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14AF6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A76E1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86BAE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94ECD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13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Rev.24</cp:lastModifiedBy>
  <cp:revision>4</cp:revision>
  <cp:lastPrinted>2016-02-04T14:41:00Z</cp:lastPrinted>
  <dcterms:created xsi:type="dcterms:W3CDTF">2015-08-24T12:19:00Z</dcterms:created>
  <dcterms:modified xsi:type="dcterms:W3CDTF">2016-02-04T14:41:00Z</dcterms:modified>
</cp:coreProperties>
</file>