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F34106" w:rsidP="002C5B16">
            <w:pPr>
              <w:jc w:val="right"/>
            </w:pPr>
            <w:r w:rsidRPr="00014D07">
              <w:rPr>
                <w:sz w:val="40"/>
              </w:rPr>
              <w:t>E</w:t>
            </w:r>
            <w:r>
              <w:t>/ECE/324/Rev.1/</w:t>
            </w:r>
            <w:r w:rsidRPr="0063785D">
              <w:t>Add.4</w:t>
            </w:r>
            <w:r>
              <w:t>8</w:t>
            </w:r>
            <w:r w:rsidRPr="0063785D">
              <w:t>/Rev.</w:t>
            </w:r>
            <w:r>
              <w:t>6</w:t>
            </w:r>
            <w:r w:rsidRPr="0063785D">
              <w:t>/Amend.3</w:t>
            </w:r>
            <w:r>
              <w:t>−</w:t>
            </w:r>
            <w:r w:rsidRPr="00014D07">
              <w:rPr>
                <w:sz w:val="40"/>
              </w:rPr>
              <w:t>E</w:t>
            </w:r>
            <w:r>
              <w:t>/ECE/TRANS/505/Rev.1/</w:t>
            </w:r>
            <w:r w:rsidRPr="0063785D">
              <w:t>Add.4</w:t>
            </w:r>
            <w:r>
              <w:t>8</w:t>
            </w:r>
            <w:r w:rsidRPr="0063785D">
              <w:t>/Rev.</w:t>
            </w:r>
            <w:r>
              <w:t>6</w:t>
            </w:r>
            <w:r w:rsidRPr="0063785D">
              <w:t>/Amend.3</w:t>
            </w:r>
          </w:p>
        </w:tc>
      </w:tr>
      <w:tr w:rsidR="00421A10" w:rsidRPr="00DB58B5" w:rsidTr="00495A7B">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95A7B">
            <w:pPr>
              <w:spacing w:before="120" w:line="380" w:lineRule="exact"/>
            </w:pPr>
          </w:p>
        </w:tc>
        <w:tc>
          <w:tcPr>
            <w:tcW w:w="2835" w:type="dxa"/>
            <w:tcBorders>
              <w:top w:val="single" w:sz="4" w:space="0" w:color="auto"/>
              <w:bottom w:val="single" w:sz="12" w:space="0" w:color="auto"/>
            </w:tcBorders>
            <w:shd w:val="clear" w:color="auto" w:fill="auto"/>
          </w:tcPr>
          <w:p w:rsidR="00421A10" w:rsidRDefault="00421A10" w:rsidP="00495A7B">
            <w:pPr>
              <w:spacing w:before="480" w:line="240" w:lineRule="exact"/>
            </w:pPr>
          </w:p>
          <w:p w:rsidR="0005106D" w:rsidRPr="00DB58B5" w:rsidRDefault="0005106D" w:rsidP="00495A7B">
            <w:pPr>
              <w:spacing w:before="480" w:line="240" w:lineRule="exact"/>
            </w:pPr>
            <w:r w:rsidRPr="0005106D">
              <w:t>5 février 2016</w:t>
            </w:r>
            <w:bookmarkStart w:id="0" w:name="_GoBack"/>
            <w:bookmarkEnd w:id="0"/>
          </w:p>
        </w:tc>
      </w:tr>
    </w:tbl>
    <w:p w:rsidR="00421A10" w:rsidRPr="006549FF" w:rsidRDefault="0029791D" w:rsidP="00242268">
      <w:pPr>
        <w:pStyle w:val="HChG"/>
        <w:spacing w:before="320" w:after="220" w:line="260" w:lineRule="exact"/>
      </w:pPr>
      <w:r>
        <w:tab/>
      </w:r>
      <w:r>
        <w:tab/>
      </w:r>
      <w:r w:rsidR="00421A10" w:rsidRPr="006549FF">
        <w:t>Accord</w:t>
      </w:r>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411662">
      <w:pPr>
        <w:pStyle w:val="H1G"/>
      </w:pPr>
      <w:r>
        <w:tab/>
      </w:r>
      <w:r>
        <w:tab/>
      </w:r>
      <w:r w:rsidR="00421A10" w:rsidRPr="006549FF">
        <w:t xml:space="preserve">Additif </w:t>
      </w:r>
      <w:r w:rsidR="006D636A">
        <w:t>48</w:t>
      </w:r>
      <w:r w:rsidR="00421A10" w:rsidRPr="006549FF">
        <w:t>: Règlement</w:t>
      </w:r>
      <w:r w:rsidR="00421A10">
        <w:t xml:space="preserve"> </w:t>
      </w:r>
      <w:r w:rsidR="00421A10" w:rsidRPr="00B371BF">
        <w:t>n</w:t>
      </w:r>
      <w:r w:rsidR="00421A10" w:rsidRPr="00B371BF">
        <w:rPr>
          <w:vertAlign w:val="superscript"/>
        </w:rPr>
        <w:t>o</w:t>
      </w:r>
      <w:r w:rsidR="00421A10">
        <w:t> </w:t>
      </w:r>
      <w:r w:rsidR="006D636A">
        <w:t>49</w:t>
      </w:r>
    </w:p>
    <w:p w:rsidR="00421A10" w:rsidRPr="006549FF" w:rsidRDefault="0029791D" w:rsidP="00242268">
      <w:pPr>
        <w:pStyle w:val="H1G"/>
        <w:spacing w:before="220" w:after="100" w:line="240" w:lineRule="exact"/>
      </w:pPr>
      <w:r>
        <w:tab/>
      </w:r>
      <w:r>
        <w:tab/>
      </w:r>
      <w:r w:rsidR="00421A10" w:rsidRPr="006549FF">
        <w:t xml:space="preserve">Révision </w:t>
      </w:r>
      <w:r w:rsidR="006D636A">
        <w:t>6</w:t>
      </w:r>
      <w:r w:rsidR="000314C7">
        <w:t xml:space="preserve"> − Amendement </w:t>
      </w:r>
      <w:r w:rsidR="006D636A">
        <w:t>3</w:t>
      </w:r>
    </w:p>
    <w:p w:rsidR="00015650" w:rsidRPr="00FC2CA9" w:rsidRDefault="003A58D8" w:rsidP="00242268">
      <w:pPr>
        <w:pStyle w:val="SingleTxtG"/>
        <w:spacing w:after="100" w:line="200" w:lineRule="atLeast"/>
        <w:jc w:val="left"/>
        <w:rPr>
          <w:spacing w:val="-2"/>
        </w:rPr>
      </w:pPr>
      <w:r w:rsidRPr="00FC2CA9">
        <w:rPr>
          <w:spacing w:val="-2"/>
        </w:rPr>
        <w:t xml:space="preserve">Complément </w:t>
      </w:r>
      <w:r w:rsidR="006D636A">
        <w:rPr>
          <w:spacing w:val="-2"/>
        </w:rPr>
        <w:t>3</w:t>
      </w:r>
      <w:r w:rsidR="00FC2CA9" w:rsidRPr="00FC2CA9">
        <w:rPr>
          <w:spacing w:val="-2"/>
        </w:rPr>
        <w:t xml:space="preserve"> </w:t>
      </w:r>
      <w:r w:rsidRPr="00FC2CA9">
        <w:rPr>
          <w:spacing w:val="-2"/>
        </w:rPr>
        <w:t>à la</w:t>
      </w:r>
      <w:r w:rsidR="00FC2CA9" w:rsidRPr="00FC2CA9">
        <w:rPr>
          <w:spacing w:val="-2"/>
        </w:rPr>
        <w:t xml:space="preserve"> </w:t>
      </w:r>
      <w:r w:rsidR="00EF5EBC">
        <w:rPr>
          <w:spacing w:val="-2"/>
        </w:rPr>
        <w:t xml:space="preserve">série </w:t>
      </w:r>
      <w:r w:rsidR="006D636A">
        <w:rPr>
          <w:spacing w:val="-2"/>
        </w:rPr>
        <w:t>06</w:t>
      </w:r>
      <w:r w:rsidR="00EF5EBC">
        <w:rPr>
          <w:spacing w:val="-2"/>
        </w:rPr>
        <w:t xml:space="preserve"> d'amendements a</w:t>
      </w:r>
      <w:r w:rsidR="00FC2CA9" w:rsidRPr="00FC2CA9">
        <w:rPr>
          <w:spacing w:val="-2"/>
        </w:rPr>
        <w:t>u</w:t>
      </w:r>
      <w:r w:rsidR="00015650" w:rsidRPr="00FC2CA9">
        <w:rPr>
          <w:spacing w:val="-2"/>
        </w:rPr>
        <w:t xml:space="preserve"> Règlement − Date d’entrée en vigueur:</w:t>
      </w:r>
      <w:r w:rsidR="00182EA1">
        <w:rPr>
          <w:spacing w:val="-2"/>
        </w:rPr>
        <w:br/>
      </w:r>
      <w:r w:rsidR="006D636A">
        <w:rPr>
          <w:lang w:val="en-GB" w:eastAsia="en-GB"/>
        </w:rPr>
        <w:t xml:space="preserve">20 </w:t>
      </w:r>
      <w:proofErr w:type="spellStart"/>
      <w:r w:rsidR="006D636A">
        <w:rPr>
          <w:lang w:val="en-GB" w:eastAsia="en-GB"/>
        </w:rPr>
        <w:t>janvier</w:t>
      </w:r>
      <w:proofErr w:type="spellEnd"/>
      <w:r w:rsidR="006D636A">
        <w:rPr>
          <w:lang w:val="en-GB" w:eastAsia="en-GB"/>
        </w:rPr>
        <w:t xml:space="preserve"> 2016</w:t>
      </w:r>
    </w:p>
    <w:p w:rsidR="00DD1ED8" w:rsidRPr="00242268" w:rsidRDefault="00DD1ED8" w:rsidP="00242268">
      <w:pPr>
        <w:pStyle w:val="H1G"/>
        <w:spacing w:line="260" w:lineRule="exact"/>
        <w:rPr>
          <w:spacing w:val="-2"/>
        </w:rPr>
      </w:pPr>
      <w:r>
        <w:tab/>
      </w:r>
      <w:r>
        <w:tab/>
      </w:r>
      <w:r w:rsidR="009A4CB5" w:rsidRPr="009A4CB5">
        <w:rPr>
          <w:spacing w:val="-2"/>
        </w:rPr>
        <w:t>Prescriptions uniformes concernant les mesures à prendre pour réduire les émissions de gaz polluants et de particules émises par les moteurs à allumage par compression et par les moteurs à allumage commandé utilisés pour la propulsion des véhicules</w:t>
      </w:r>
    </w:p>
    <w:p w:rsidR="00D5218B" w:rsidRDefault="001D3393" w:rsidP="006D636A">
      <w:pPr>
        <w:pStyle w:val="SingleTxtG"/>
        <w:rPr>
          <w:lang w:val="en-GB" w:eastAsia="en-GB"/>
        </w:rPr>
      </w:pPr>
      <w:r w:rsidRPr="001D3393">
        <w:rPr>
          <w:lang w:val="en-GB" w:eastAsia="en-GB"/>
        </w:rPr>
        <w:t xml:space="preserve">Ce document </w:t>
      </w:r>
      <w:proofErr w:type="spellStart"/>
      <w:r w:rsidRPr="001D3393">
        <w:rPr>
          <w:lang w:val="en-GB" w:eastAsia="en-GB"/>
        </w:rPr>
        <w:t>constitue</w:t>
      </w:r>
      <w:proofErr w:type="spellEnd"/>
      <w:r w:rsidRPr="001D3393">
        <w:rPr>
          <w:lang w:val="en-GB" w:eastAsia="en-GB"/>
        </w:rPr>
        <w:t xml:space="preserve"> </w:t>
      </w:r>
      <w:proofErr w:type="gramStart"/>
      <w:r w:rsidRPr="001D3393">
        <w:rPr>
          <w:lang w:val="en-GB" w:eastAsia="en-GB"/>
        </w:rPr>
        <w:t>un</w:t>
      </w:r>
      <w:proofErr w:type="gramEnd"/>
      <w:r w:rsidRPr="001D3393">
        <w:rPr>
          <w:lang w:val="en-GB" w:eastAsia="en-GB"/>
        </w:rPr>
        <w:t xml:space="preserve"> </w:t>
      </w:r>
      <w:proofErr w:type="spellStart"/>
      <w:r w:rsidRPr="001D3393">
        <w:rPr>
          <w:lang w:val="en-GB" w:eastAsia="en-GB"/>
        </w:rPr>
        <w:t>outil</w:t>
      </w:r>
      <w:proofErr w:type="spellEnd"/>
      <w:r w:rsidRPr="001D3393">
        <w:rPr>
          <w:lang w:val="en-GB" w:eastAsia="en-GB"/>
        </w:rPr>
        <w:t xml:space="preserve"> de documentation. Le </w:t>
      </w:r>
      <w:proofErr w:type="spellStart"/>
      <w:r w:rsidRPr="001D3393">
        <w:rPr>
          <w:lang w:val="en-GB" w:eastAsia="en-GB"/>
        </w:rPr>
        <w:t>texte</w:t>
      </w:r>
      <w:proofErr w:type="spellEnd"/>
      <w:r w:rsidRPr="001D3393">
        <w:rPr>
          <w:lang w:val="en-GB" w:eastAsia="en-GB"/>
        </w:rPr>
        <w:t xml:space="preserve"> </w:t>
      </w:r>
      <w:proofErr w:type="spellStart"/>
      <w:r w:rsidRPr="001D3393">
        <w:rPr>
          <w:lang w:val="en-GB" w:eastAsia="en-GB"/>
        </w:rPr>
        <w:t>authentique</w:t>
      </w:r>
      <w:proofErr w:type="spellEnd"/>
      <w:r w:rsidRPr="001D3393">
        <w:rPr>
          <w:lang w:val="en-GB" w:eastAsia="en-GB"/>
        </w:rPr>
        <w:t xml:space="preserve"> </w:t>
      </w:r>
      <w:proofErr w:type="gramStart"/>
      <w:r w:rsidRPr="001D3393">
        <w:rPr>
          <w:lang w:val="en-GB" w:eastAsia="en-GB"/>
        </w:rPr>
        <w:t>et</w:t>
      </w:r>
      <w:proofErr w:type="gramEnd"/>
      <w:r w:rsidRPr="001D3393">
        <w:rPr>
          <w:lang w:val="en-GB" w:eastAsia="en-GB"/>
        </w:rPr>
        <w:t xml:space="preserve"> </w:t>
      </w:r>
      <w:proofErr w:type="spellStart"/>
      <w:r w:rsidRPr="001D3393">
        <w:rPr>
          <w:lang w:val="en-GB" w:eastAsia="en-GB"/>
        </w:rPr>
        <w:t>contraignant</w:t>
      </w:r>
      <w:proofErr w:type="spellEnd"/>
      <w:r w:rsidRPr="001D3393">
        <w:rPr>
          <w:lang w:val="en-GB" w:eastAsia="en-GB"/>
        </w:rPr>
        <w:t xml:space="preserve"> </w:t>
      </w:r>
      <w:proofErr w:type="spellStart"/>
      <w:r w:rsidRPr="001D3393">
        <w:rPr>
          <w:lang w:val="en-GB" w:eastAsia="en-GB"/>
        </w:rPr>
        <w:t>juridique</w:t>
      </w:r>
      <w:proofErr w:type="spellEnd"/>
      <w:r w:rsidRPr="001D3393">
        <w:rPr>
          <w:lang w:val="en-GB" w:eastAsia="en-GB"/>
        </w:rPr>
        <w:t xml:space="preserve"> </w:t>
      </w:r>
      <w:proofErr w:type="spellStart"/>
      <w:r w:rsidRPr="001D3393">
        <w:rPr>
          <w:lang w:val="en-GB" w:eastAsia="en-GB"/>
        </w:rPr>
        <w:t>est</w:t>
      </w:r>
      <w:proofErr w:type="spellEnd"/>
      <w:r w:rsidRPr="001D3393">
        <w:rPr>
          <w:lang w:val="en-GB" w:eastAsia="en-GB"/>
        </w:rPr>
        <w:t xml:space="preserve"> </w:t>
      </w:r>
      <w:proofErr w:type="spellStart"/>
      <w:r w:rsidRPr="001D3393">
        <w:rPr>
          <w:lang w:val="en-GB" w:eastAsia="en-GB"/>
        </w:rPr>
        <w:t>ECE</w:t>
      </w:r>
      <w:proofErr w:type="spellEnd"/>
      <w:r w:rsidRPr="001D3393">
        <w:rPr>
          <w:lang w:val="en-GB" w:eastAsia="en-GB"/>
        </w:rPr>
        <w:t>/TRANS/WP.29/201</w:t>
      </w:r>
      <w:r w:rsidR="00CE75E7">
        <w:rPr>
          <w:lang w:val="en-GB" w:eastAsia="en-GB"/>
        </w:rPr>
        <w:t>5</w:t>
      </w:r>
      <w:r w:rsidR="00FC2CA9">
        <w:rPr>
          <w:lang w:val="en-GB" w:eastAsia="en-GB"/>
        </w:rPr>
        <w:t>/</w:t>
      </w:r>
      <w:r w:rsidR="006D636A">
        <w:rPr>
          <w:lang w:val="en-GB" w:eastAsia="en-GB"/>
        </w:rPr>
        <w:t>55.</w:t>
      </w:r>
    </w:p>
    <w:p w:rsidR="00106460" w:rsidRPr="00106460" w:rsidRDefault="00DD1ED8" w:rsidP="00106460">
      <w:pPr>
        <w:pStyle w:val="SingleTxtG"/>
        <w:rPr>
          <w:i/>
          <w:lang w:val="fr-FR"/>
        </w:rPr>
      </w:pPr>
      <w:r>
        <w:br w:type="page"/>
      </w:r>
      <w:r w:rsidR="00106460" w:rsidRPr="00106460">
        <w:rPr>
          <w:i/>
          <w:lang w:val="fr-FR"/>
        </w:rPr>
        <w:lastRenderedPageBreak/>
        <w:t>Paragraphe 4.10.8</w:t>
      </w:r>
      <w:r w:rsidR="00106460" w:rsidRPr="00106460">
        <w:rPr>
          <w:lang w:val="fr-FR"/>
        </w:rPr>
        <w:t xml:space="preserve">, </w:t>
      </w:r>
      <w:proofErr w:type="gramStart"/>
      <w:r w:rsidR="00106460" w:rsidRPr="00106460">
        <w:rPr>
          <w:lang w:val="fr-FR"/>
        </w:rPr>
        <w:t>modifier</w:t>
      </w:r>
      <w:proofErr w:type="gramEnd"/>
      <w:r w:rsidR="00106460" w:rsidRPr="00106460">
        <w:rPr>
          <w:lang w:val="fr-FR"/>
        </w:rPr>
        <w:t xml:space="preserve"> comme suit:</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«4.10.8</w:t>
      </w:r>
      <w:r w:rsidRPr="00106460">
        <w:rPr>
          <w:lang w:val="fr-FR"/>
        </w:rPr>
        <w:tab/>
        <w:t>Le constructeur peut également, jusqu’à la date indiquée au paragraphe 13.2.3 pour une nouvelle homologation de type, appliquer d’autres dispositions pour la surveillance du filtre à particules pour moteurs diesel, en application du paragraphe 2.3.2.2 de l’annexe 9A.».</w:t>
      </w:r>
    </w:p>
    <w:p w:rsidR="00106460" w:rsidRPr="00106460" w:rsidRDefault="00106460" w:rsidP="00106460">
      <w:pPr>
        <w:kinsoku w:val="0"/>
        <w:overflowPunct w:val="0"/>
        <w:autoSpaceDE w:val="0"/>
        <w:autoSpaceDN w:val="0"/>
        <w:adjustRightInd w:val="0"/>
        <w:snapToGrid w:val="0"/>
        <w:spacing w:after="120"/>
        <w:ind w:left="1134" w:right="1134"/>
        <w:jc w:val="both"/>
        <w:rPr>
          <w:lang w:val="fr-FR"/>
        </w:rPr>
      </w:pPr>
      <w:r w:rsidRPr="00106460">
        <w:rPr>
          <w:i/>
          <w:lang w:val="fr-FR"/>
        </w:rPr>
        <w:t>Paragraphes 13.2.1 à 13.3.3</w:t>
      </w:r>
      <w:r w:rsidRPr="00106460">
        <w:rPr>
          <w:lang w:val="fr-FR"/>
        </w:rPr>
        <w:t xml:space="preserve">, </w:t>
      </w:r>
      <w:proofErr w:type="gramStart"/>
      <w:r w:rsidRPr="00106460">
        <w:rPr>
          <w:lang w:val="fr-FR"/>
        </w:rPr>
        <w:t>modifier</w:t>
      </w:r>
      <w:proofErr w:type="gramEnd"/>
      <w:r w:rsidRPr="00106460">
        <w:rPr>
          <w:lang w:val="fr-FR"/>
        </w:rPr>
        <w:t xml:space="preserve"> comme suit:</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«13.2.1</w:t>
      </w:r>
      <w:r w:rsidRPr="00106460">
        <w:rPr>
          <w:lang w:val="fr-FR"/>
        </w:rPr>
        <w:tab/>
        <w:t>À dater de l’entrée en vigueur de la série 06 d’amendements au présent Règlement, les Parties contractantes appliquant le Règlement ne délivreront une homologation CEE pour un système moteur ou un véhicule que si celui</w:t>
      </w:r>
      <w:r w:rsidRPr="00106460">
        <w:rPr>
          <w:lang w:val="fr-FR"/>
        </w:rPr>
        <w:noBreakHyphen/>
        <w:t>ci satisfait:</w:t>
      </w:r>
    </w:p>
    <w:p w:rsidR="00106460" w:rsidRPr="00106460" w:rsidRDefault="00106460" w:rsidP="00106460">
      <w:pPr>
        <w:kinsoku w:val="0"/>
        <w:overflowPunct w:val="0"/>
        <w:autoSpaceDE w:val="0"/>
        <w:autoSpaceDN w:val="0"/>
        <w:adjustRightInd w:val="0"/>
        <w:snapToGrid w:val="0"/>
        <w:spacing w:after="120"/>
        <w:ind w:left="2835" w:right="1134" w:hanging="567"/>
        <w:jc w:val="both"/>
        <w:rPr>
          <w:lang w:val="fr-FR"/>
        </w:rPr>
      </w:pPr>
      <w:r w:rsidRPr="00106460">
        <w:rPr>
          <w:lang w:val="fr-FR"/>
        </w:rPr>
        <w:t>a)</w:t>
      </w:r>
      <w:r w:rsidRPr="00106460">
        <w:rPr>
          <w:lang w:val="fr-FR"/>
        </w:rPr>
        <w:tab/>
        <w:t>Aux prescriptions du paragraphe 4.1 du présent Règlement;</w:t>
      </w:r>
    </w:p>
    <w:p w:rsidR="00106460" w:rsidRPr="00106460" w:rsidRDefault="00106460" w:rsidP="00106460">
      <w:pPr>
        <w:kinsoku w:val="0"/>
        <w:overflowPunct w:val="0"/>
        <w:autoSpaceDE w:val="0"/>
        <w:autoSpaceDN w:val="0"/>
        <w:adjustRightInd w:val="0"/>
        <w:snapToGrid w:val="0"/>
        <w:spacing w:after="120"/>
        <w:ind w:left="2835" w:right="1134" w:hanging="567"/>
        <w:jc w:val="both"/>
        <w:rPr>
          <w:lang w:val="fr-FR"/>
        </w:rPr>
      </w:pPr>
      <w:r w:rsidRPr="00106460">
        <w:rPr>
          <w:lang w:val="fr-FR"/>
        </w:rPr>
        <w:t>b)</w:t>
      </w:r>
      <w:r w:rsidRPr="00106460">
        <w:rPr>
          <w:lang w:val="fr-FR"/>
        </w:rPr>
        <w:tab/>
        <w:t xml:space="preserve">Aux prescriptions de surveillance de l’efficacité énoncées au paragraphe 2.3.2.2 de l’annexe 9A, dans le cas des moteurs et véhicules à allumage par compression et </w:t>
      </w:r>
      <w:proofErr w:type="spellStart"/>
      <w:r w:rsidRPr="00106460">
        <w:rPr>
          <w:lang w:val="fr-FR"/>
        </w:rPr>
        <w:t>bicarburant</w:t>
      </w:r>
      <w:proofErr w:type="spellEnd"/>
      <w:r w:rsidRPr="00106460">
        <w:rPr>
          <w:lang w:val="fr-FR"/>
        </w:rPr>
        <w:t>;</w:t>
      </w:r>
    </w:p>
    <w:p w:rsidR="00106460" w:rsidRPr="00106460" w:rsidRDefault="00106460" w:rsidP="00106460">
      <w:pPr>
        <w:kinsoku w:val="0"/>
        <w:overflowPunct w:val="0"/>
        <w:autoSpaceDE w:val="0"/>
        <w:autoSpaceDN w:val="0"/>
        <w:adjustRightInd w:val="0"/>
        <w:snapToGrid w:val="0"/>
        <w:spacing w:after="120"/>
        <w:ind w:left="2835" w:right="1134" w:hanging="567"/>
        <w:jc w:val="both"/>
        <w:rPr>
          <w:lang w:val="fr-FR"/>
        </w:rPr>
      </w:pPr>
      <w:r w:rsidRPr="00106460">
        <w:rPr>
          <w:lang w:val="fr-FR"/>
        </w:rPr>
        <w:t>c)</w:t>
      </w:r>
      <w:r w:rsidRPr="00106460">
        <w:rPr>
          <w:lang w:val="fr-FR"/>
        </w:rPr>
        <w:tab/>
        <w:t xml:space="preserve">Aux prescriptions de surveillance des valeurs limites </w:t>
      </w:r>
      <w:proofErr w:type="spellStart"/>
      <w:r w:rsidRPr="00106460">
        <w:rPr>
          <w:lang w:val="fr-FR"/>
        </w:rPr>
        <w:t>OBD</w:t>
      </w:r>
      <w:proofErr w:type="spellEnd"/>
      <w:r w:rsidRPr="00106460">
        <w:rPr>
          <w:lang w:val="fr-FR"/>
        </w:rPr>
        <w:t xml:space="preserve"> pour les oxydes d’azote, telles qu’elles sont énoncées dans le tableau 1 de l’annexe 9A, sur la ligne correspondant à la phase de transition, dans le cas des moteurs et véhicules à allumage par compression et </w:t>
      </w:r>
      <w:proofErr w:type="spellStart"/>
      <w:r w:rsidRPr="00106460">
        <w:rPr>
          <w:lang w:val="fr-FR"/>
        </w:rPr>
        <w:t>bicarburant</w:t>
      </w:r>
      <w:proofErr w:type="spellEnd"/>
      <w:r w:rsidRPr="00106460">
        <w:rPr>
          <w:lang w:val="fr-FR"/>
        </w:rPr>
        <w:t>;</w:t>
      </w:r>
    </w:p>
    <w:p w:rsidR="00106460" w:rsidRPr="00106460" w:rsidRDefault="00106460" w:rsidP="00106460">
      <w:pPr>
        <w:kinsoku w:val="0"/>
        <w:overflowPunct w:val="0"/>
        <w:autoSpaceDE w:val="0"/>
        <w:autoSpaceDN w:val="0"/>
        <w:adjustRightInd w:val="0"/>
        <w:snapToGrid w:val="0"/>
        <w:spacing w:after="120"/>
        <w:ind w:left="2835" w:right="1134" w:hanging="567"/>
        <w:jc w:val="both"/>
        <w:rPr>
          <w:lang w:val="fr-FR"/>
        </w:rPr>
      </w:pPr>
      <w:r w:rsidRPr="00106460">
        <w:rPr>
          <w:lang w:val="fr-FR"/>
        </w:rPr>
        <w:t>d)</w:t>
      </w:r>
      <w:r w:rsidRPr="00106460">
        <w:rPr>
          <w:lang w:val="fr-FR"/>
        </w:rPr>
        <w:tab/>
        <w:t xml:space="preserve">Aux prescriptions de surveillance des valeurs limites </w:t>
      </w:r>
      <w:proofErr w:type="spellStart"/>
      <w:r w:rsidRPr="00106460">
        <w:rPr>
          <w:lang w:val="fr-FR"/>
        </w:rPr>
        <w:t>OBD</w:t>
      </w:r>
      <w:proofErr w:type="spellEnd"/>
      <w:r w:rsidRPr="00106460">
        <w:rPr>
          <w:lang w:val="fr-FR"/>
        </w:rPr>
        <w:t xml:space="preserve"> pour les oxydes d’azote, telles qu’elles sont énoncées dans le tableau 2 de l’annexe 9A, sur la ligne correspondant à la phase de transition, dans le cas des moteurs et véhicules à allumage commandé;</w:t>
      </w:r>
    </w:p>
    <w:p w:rsidR="00106460" w:rsidRPr="00106460" w:rsidRDefault="00106460" w:rsidP="00106460">
      <w:pPr>
        <w:kinsoku w:val="0"/>
        <w:overflowPunct w:val="0"/>
        <w:autoSpaceDE w:val="0"/>
        <w:autoSpaceDN w:val="0"/>
        <w:adjustRightInd w:val="0"/>
        <w:snapToGrid w:val="0"/>
        <w:spacing w:after="120"/>
        <w:ind w:left="2835" w:right="1134" w:hanging="567"/>
        <w:jc w:val="both"/>
        <w:rPr>
          <w:lang w:val="fr-FR"/>
        </w:rPr>
      </w:pPr>
      <w:r w:rsidRPr="00106460">
        <w:rPr>
          <w:lang w:val="fr-FR"/>
        </w:rPr>
        <w:t>e)</w:t>
      </w:r>
      <w:r w:rsidRPr="00106460">
        <w:rPr>
          <w:lang w:val="fr-FR"/>
        </w:rPr>
        <w:tab/>
        <w:t>Aux prescriptions de la phase de transition concernant la qualité du réactif, telles qu’elles sont énoncées au paragraphe 7.1.1.1 de l’annexe 11.</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13.2.1.1</w:t>
      </w:r>
      <w:r w:rsidRPr="00106460">
        <w:rPr>
          <w:lang w:val="fr-FR"/>
        </w:rPr>
        <w:tab/>
        <w:t xml:space="preserve">Conformément aux dispositions du paragraphe 6.4.4 de l’annexe 9A, les constructeurs sont dispensés de soumettre une déclaration relative à la conformité de l’efficacité en service du système </w:t>
      </w:r>
      <w:proofErr w:type="spellStart"/>
      <w:r w:rsidRPr="00106460">
        <w:rPr>
          <w:lang w:val="fr-FR"/>
        </w:rPr>
        <w:t>OBD</w:t>
      </w:r>
      <w:proofErr w:type="spellEnd"/>
      <w:r w:rsidRPr="00106460">
        <w:rPr>
          <w:lang w:val="fr-FR"/>
        </w:rPr>
        <w:t>.</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13.2.2</w:t>
      </w:r>
      <w:r w:rsidRPr="00106460">
        <w:rPr>
          <w:lang w:val="fr-FR"/>
        </w:rPr>
        <w:tab/>
        <w:t>Dans le cas des moteurs et véhicules à allumage commandé, à compter du 1</w:t>
      </w:r>
      <w:r w:rsidRPr="00106460">
        <w:rPr>
          <w:vertAlign w:val="superscript"/>
          <w:lang w:val="fr-FR"/>
        </w:rPr>
        <w:t>er</w:t>
      </w:r>
      <w:r w:rsidRPr="00106460">
        <w:rPr>
          <w:lang w:val="fr-FR"/>
        </w:rPr>
        <w:t> septembre 2014, les Parties contractantes appliquant le présent Règlement ne délivreront une homologation de type pour un système moteur ou un véhicule que si celui-ci satisfait:</w:t>
      </w:r>
    </w:p>
    <w:p w:rsidR="00106460" w:rsidRPr="00106460" w:rsidRDefault="00106460" w:rsidP="00106460">
      <w:pPr>
        <w:kinsoku w:val="0"/>
        <w:overflowPunct w:val="0"/>
        <w:autoSpaceDE w:val="0"/>
        <w:autoSpaceDN w:val="0"/>
        <w:adjustRightInd w:val="0"/>
        <w:snapToGrid w:val="0"/>
        <w:spacing w:after="120"/>
        <w:ind w:left="2835" w:right="1134" w:hanging="567"/>
        <w:jc w:val="both"/>
        <w:rPr>
          <w:lang w:val="fr-FR"/>
        </w:rPr>
      </w:pPr>
      <w:r w:rsidRPr="00106460">
        <w:rPr>
          <w:lang w:val="fr-FR"/>
        </w:rPr>
        <w:t>a)</w:t>
      </w:r>
      <w:r w:rsidRPr="00106460">
        <w:rPr>
          <w:lang w:val="fr-FR"/>
        </w:rPr>
        <w:tab/>
        <w:t>Aux prescriptions du paragraphe 4.1 du présent Règlement;</w:t>
      </w:r>
    </w:p>
    <w:p w:rsidR="00106460" w:rsidRPr="00106460" w:rsidRDefault="00106460" w:rsidP="00106460">
      <w:pPr>
        <w:kinsoku w:val="0"/>
        <w:overflowPunct w:val="0"/>
        <w:autoSpaceDE w:val="0"/>
        <w:autoSpaceDN w:val="0"/>
        <w:adjustRightInd w:val="0"/>
        <w:snapToGrid w:val="0"/>
        <w:spacing w:after="120"/>
        <w:ind w:left="2835" w:right="1134" w:hanging="567"/>
        <w:jc w:val="both"/>
        <w:rPr>
          <w:lang w:val="fr-FR"/>
        </w:rPr>
      </w:pPr>
      <w:r w:rsidRPr="00106460">
        <w:rPr>
          <w:lang w:val="fr-FR"/>
        </w:rPr>
        <w:t>b)</w:t>
      </w:r>
      <w:r w:rsidRPr="00106460">
        <w:rPr>
          <w:b/>
          <w:lang w:val="fr-FR"/>
        </w:rPr>
        <w:tab/>
      </w:r>
      <w:r w:rsidRPr="00106460">
        <w:rPr>
          <w:lang w:val="fr-FR"/>
        </w:rPr>
        <w:t xml:space="preserve">Aux prescriptions de surveillance des valeurs limites </w:t>
      </w:r>
      <w:proofErr w:type="spellStart"/>
      <w:r w:rsidRPr="00106460">
        <w:rPr>
          <w:lang w:val="fr-FR"/>
        </w:rPr>
        <w:t>OBD</w:t>
      </w:r>
      <w:proofErr w:type="spellEnd"/>
      <w:r w:rsidRPr="00106460">
        <w:rPr>
          <w:lang w:val="fr-FR"/>
        </w:rPr>
        <w:t xml:space="preserve"> pour les oxydes d’azote, telles qu’elles sont énoncées dans le tableau 2 de l’annexe 9A, sur la ligne correspondant à la phase de transition;</w:t>
      </w:r>
    </w:p>
    <w:p w:rsidR="00106460" w:rsidRPr="00106460" w:rsidRDefault="00106460" w:rsidP="00106460">
      <w:pPr>
        <w:kinsoku w:val="0"/>
        <w:overflowPunct w:val="0"/>
        <w:autoSpaceDE w:val="0"/>
        <w:autoSpaceDN w:val="0"/>
        <w:adjustRightInd w:val="0"/>
        <w:snapToGrid w:val="0"/>
        <w:spacing w:after="120"/>
        <w:ind w:left="2835" w:right="1134" w:hanging="567"/>
        <w:jc w:val="both"/>
        <w:rPr>
          <w:lang w:val="fr-FR"/>
        </w:rPr>
      </w:pPr>
      <w:r w:rsidRPr="00106460">
        <w:rPr>
          <w:lang w:val="fr-FR"/>
        </w:rPr>
        <w:t>c)</w:t>
      </w:r>
      <w:r w:rsidRPr="00106460">
        <w:rPr>
          <w:lang w:val="fr-FR"/>
        </w:rPr>
        <w:tab/>
        <w:t xml:space="preserve">Aux prescriptions de surveillance des valeurs limites </w:t>
      </w:r>
      <w:proofErr w:type="spellStart"/>
      <w:r w:rsidRPr="00106460">
        <w:rPr>
          <w:lang w:val="fr-FR"/>
        </w:rPr>
        <w:t>OBD</w:t>
      </w:r>
      <w:proofErr w:type="spellEnd"/>
      <w:r w:rsidRPr="00106460">
        <w:rPr>
          <w:lang w:val="fr-FR"/>
        </w:rPr>
        <w:t xml:space="preserve"> pour le monoxyde de carbone, telles qu’elles sont énoncées dans le tableau 2 de l’annexe 9A, sur la ligne correspondant à la phase de transition;</w:t>
      </w:r>
    </w:p>
    <w:p w:rsidR="00106460" w:rsidRPr="00106460" w:rsidRDefault="00106460" w:rsidP="00106460">
      <w:pPr>
        <w:kinsoku w:val="0"/>
        <w:overflowPunct w:val="0"/>
        <w:autoSpaceDE w:val="0"/>
        <w:autoSpaceDN w:val="0"/>
        <w:adjustRightInd w:val="0"/>
        <w:snapToGrid w:val="0"/>
        <w:spacing w:after="120"/>
        <w:ind w:left="2835" w:right="1134" w:hanging="567"/>
        <w:jc w:val="both"/>
        <w:rPr>
          <w:lang w:val="fr-FR"/>
        </w:rPr>
      </w:pPr>
      <w:r w:rsidRPr="00106460">
        <w:rPr>
          <w:lang w:val="fr-FR"/>
        </w:rPr>
        <w:t>d)</w:t>
      </w:r>
      <w:r w:rsidRPr="00106460">
        <w:rPr>
          <w:lang w:val="fr-FR"/>
        </w:rPr>
        <w:tab/>
        <w:t>Aux prescriptions de la phase de transition concernant la qualité du réactif, telles qu’elles sont énoncées au paragraphe 7.1.1.1 de l’annexe 11.</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13.2.2.1</w:t>
      </w:r>
      <w:r w:rsidRPr="00106460">
        <w:rPr>
          <w:lang w:val="fr-FR"/>
        </w:rPr>
        <w:tab/>
        <w:t xml:space="preserve">Conformément aux dispositions du paragraphe 6.4.4 de l’annexe 9A, les constructeurs sont dispensés de soumettre une déclaration relative à la conformité de l’efficacité en service du système </w:t>
      </w:r>
      <w:proofErr w:type="spellStart"/>
      <w:r w:rsidRPr="00106460">
        <w:rPr>
          <w:lang w:val="fr-FR"/>
        </w:rPr>
        <w:t>OBD</w:t>
      </w:r>
      <w:proofErr w:type="spellEnd"/>
      <w:r w:rsidRPr="00106460">
        <w:rPr>
          <w:lang w:val="fr-FR"/>
        </w:rPr>
        <w:t>.</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lastRenderedPageBreak/>
        <w:t>13.2.3</w:t>
      </w:r>
      <w:r w:rsidRPr="00106460">
        <w:rPr>
          <w:lang w:val="fr-FR"/>
        </w:rPr>
        <w:tab/>
        <w:t xml:space="preserve">À compter du 31 décembre 2015, les Parties contractantes appliquant le présent Règlement ne délivreront une homologation de type pour un système moteur ou un véhicule que si celui-ci satisfait: </w:t>
      </w:r>
    </w:p>
    <w:p w:rsidR="00106460" w:rsidRPr="00106460" w:rsidRDefault="00106460" w:rsidP="00106460">
      <w:pPr>
        <w:kinsoku w:val="0"/>
        <w:overflowPunct w:val="0"/>
        <w:autoSpaceDE w:val="0"/>
        <w:autoSpaceDN w:val="0"/>
        <w:adjustRightInd w:val="0"/>
        <w:snapToGrid w:val="0"/>
        <w:spacing w:after="120"/>
        <w:ind w:left="2835" w:right="1134" w:hanging="567"/>
        <w:jc w:val="both"/>
        <w:rPr>
          <w:lang w:val="fr-FR"/>
        </w:rPr>
      </w:pPr>
      <w:r w:rsidRPr="00106460">
        <w:rPr>
          <w:lang w:val="fr-FR"/>
        </w:rPr>
        <w:t>a)</w:t>
      </w:r>
      <w:r w:rsidRPr="00106460">
        <w:rPr>
          <w:lang w:val="fr-FR"/>
        </w:rPr>
        <w:tab/>
        <w:t>Aux prescriptions du paragraphe 4.1 du présent Règlement;</w:t>
      </w:r>
    </w:p>
    <w:p w:rsidR="00106460" w:rsidRPr="00106460" w:rsidRDefault="00106460" w:rsidP="00106460">
      <w:pPr>
        <w:kinsoku w:val="0"/>
        <w:overflowPunct w:val="0"/>
        <w:autoSpaceDE w:val="0"/>
        <w:autoSpaceDN w:val="0"/>
        <w:adjustRightInd w:val="0"/>
        <w:snapToGrid w:val="0"/>
        <w:spacing w:after="120"/>
        <w:ind w:left="2835" w:right="1134" w:hanging="567"/>
        <w:jc w:val="both"/>
        <w:rPr>
          <w:lang w:val="fr-FR"/>
        </w:rPr>
      </w:pPr>
      <w:r w:rsidRPr="00106460">
        <w:rPr>
          <w:lang w:val="fr-FR"/>
        </w:rPr>
        <w:t>b)</w:t>
      </w:r>
      <w:r w:rsidRPr="00106460">
        <w:rPr>
          <w:lang w:val="fr-FR"/>
        </w:rPr>
        <w:tab/>
        <w:t xml:space="preserve">Aux prescriptions de surveillance des valeurs limites </w:t>
      </w:r>
      <w:proofErr w:type="spellStart"/>
      <w:r w:rsidRPr="00106460">
        <w:rPr>
          <w:lang w:val="fr-FR"/>
        </w:rPr>
        <w:t>OBD</w:t>
      </w:r>
      <w:proofErr w:type="spellEnd"/>
      <w:r w:rsidRPr="00106460">
        <w:rPr>
          <w:lang w:val="fr-FR"/>
        </w:rPr>
        <w:t xml:space="preserve"> pour la masse de particules, telles qu’elles sont énoncées dans le tableau 1 de l’annexe 9A, sur la ligne correspondant aux “Prescriptions générales”, dans le cas des moteurs et véhicules à allumage par compression et </w:t>
      </w:r>
      <w:proofErr w:type="spellStart"/>
      <w:r w:rsidRPr="00106460">
        <w:rPr>
          <w:lang w:val="fr-FR"/>
        </w:rPr>
        <w:t>bicarburant</w:t>
      </w:r>
      <w:proofErr w:type="spellEnd"/>
      <w:r w:rsidRPr="00106460">
        <w:rPr>
          <w:lang w:val="fr-FR"/>
        </w:rPr>
        <w:t>;</w:t>
      </w:r>
    </w:p>
    <w:p w:rsidR="00106460" w:rsidRPr="00106460" w:rsidRDefault="00106460" w:rsidP="00106460">
      <w:pPr>
        <w:kinsoku w:val="0"/>
        <w:overflowPunct w:val="0"/>
        <w:autoSpaceDE w:val="0"/>
        <w:autoSpaceDN w:val="0"/>
        <w:adjustRightInd w:val="0"/>
        <w:snapToGrid w:val="0"/>
        <w:spacing w:after="120"/>
        <w:ind w:left="2835" w:right="1134" w:hanging="567"/>
        <w:jc w:val="both"/>
        <w:rPr>
          <w:lang w:val="fr-FR"/>
        </w:rPr>
      </w:pPr>
      <w:r w:rsidRPr="00106460">
        <w:rPr>
          <w:lang w:val="fr-FR"/>
        </w:rPr>
        <w:t>c)</w:t>
      </w:r>
      <w:r w:rsidRPr="00106460">
        <w:rPr>
          <w:b/>
          <w:lang w:val="fr-FR"/>
        </w:rPr>
        <w:tab/>
      </w:r>
      <w:r w:rsidRPr="00106460">
        <w:rPr>
          <w:lang w:val="fr-FR"/>
        </w:rPr>
        <w:t xml:space="preserve">Aux prescriptions de surveillance des valeurs limites </w:t>
      </w:r>
      <w:proofErr w:type="spellStart"/>
      <w:r w:rsidRPr="00106460">
        <w:rPr>
          <w:lang w:val="fr-FR"/>
        </w:rPr>
        <w:t>OBD</w:t>
      </w:r>
      <w:proofErr w:type="spellEnd"/>
      <w:r w:rsidRPr="00106460">
        <w:rPr>
          <w:lang w:val="fr-FR"/>
        </w:rPr>
        <w:t xml:space="preserve"> pour les oxydes d’azote, telles qu’elles sont énoncées dans le tableau 2 de l’annexe 9A, sur la ligne correspondant aux “Prescriptions générales”, dans le cas des moteurs et véhicules à allumage par compression et </w:t>
      </w:r>
      <w:proofErr w:type="spellStart"/>
      <w:r w:rsidRPr="00106460">
        <w:rPr>
          <w:lang w:val="fr-FR"/>
        </w:rPr>
        <w:t>bicarburant</w:t>
      </w:r>
      <w:proofErr w:type="spellEnd"/>
      <w:r w:rsidRPr="00106460">
        <w:rPr>
          <w:lang w:val="fr-FR"/>
        </w:rPr>
        <w:t>;</w:t>
      </w:r>
    </w:p>
    <w:p w:rsidR="00106460" w:rsidRPr="00106460" w:rsidRDefault="00106460" w:rsidP="00106460">
      <w:pPr>
        <w:kinsoku w:val="0"/>
        <w:overflowPunct w:val="0"/>
        <w:autoSpaceDE w:val="0"/>
        <w:autoSpaceDN w:val="0"/>
        <w:adjustRightInd w:val="0"/>
        <w:snapToGrid w:val="0"/>
        <w:spacing w:after="120"/>
        <w:ind w:left="2835" w:right="1134" w:hanging="567"/>
        <w:jc w:val="both"/>
        <w:rPr>
          <w:lang w:val="fr-FR"/>
        </w:rPr>
      </w:pPr>
      <w:r w:rsidRPr="00106460">
        <w:rPr>
          <w:lang w:val="fr-FR"/>
        </w:rPr>
        <w:t>d)</w:t>
      </w:r>
      <w:r w:rsidRPr="00106460">
        <w:rPr>
          <w:lang w:val="fr-FR"/>
        </w:rPr>
        <w:tab/>
        <w:t xml:space="preserve">Aux prescriptions de surveillance des valeurs limites </w:t>
      </w:r>
      <w:proofErr w:type="spellStart"/>
      <w:r w:rsidRPr="00106460">
        <w:rPr>
          <w:lang w:val="fr-FR"/>
        </w:rPr>
        <w:t>OBD</w:t>
      </w:r>
      <w:proofErr w:type="spellEnd"/>
      <w:r w:rsidRPr="00106460">
        <w:rPr>
          <w:lang w:val="fr-FR"/>
        </w:rPr>
        <w:t xml:space="preserve"> pour les oxydes d’azote et le monoxyde de carbone, telles qu’elles sont énoncées dans le tableau 2 de l’annexe 9A, sur la ligne correspondant aux “Prescriptions générales”, dans le cas des moteurs et véhicules à allumage commandé;</w:t>
      </w:r>
    </w:p>
    <w:p w:rsidR="00106460" w:rsidRPr="00106460" w:rsidRDefault="00106460" w:rsidP="00106460">
      <w:pPr>
        <w:kinsoku w:val="0"/>
        <w:overflowPunct w:val="0"/>
        <w:autoSpaceDE w:val="0"/>
        <w:autoSpaceDN w:val="0"/>
        <w:adjustRightInd w:val="0"/>
        <w:snapToGrid w:val="0"/>
        <w:spacing w:after="120"/>
        <w:ind w:left="2835" w:right="1134" w:hanging="567"/>
        <w:jc w:val="both"/>
        <w:rPr>
          <w:lang w:val="fr-FR"/>
        </w:rPr>
      </w:pPr>
      <w:r w:rsidRPr="00106460">
        <w:rPr>
          <w:lang w:val="fr-FR"/>
        </w:rPr>
        <w:t>e)</w:t>
      </w:r>
      <w:r w:rsidRPr="00106460">
        <w:rPr>
          <w:lang w:val="fr-FR"/>
        </w:rPr>
        <w:tab/>
        <w:t>Aux prescriptions générales concernant la qualité du réactif, telles qu’elles sont énoncées au paragraphe 7.1.1.1 de l’annexe 11;</w:t>
      </w:r>
    </w:p>
    <w:p w:rsidR="00106460" w:rsidRPr="00106460" w:rsidRDefault="00106460" w:rsidP="00106460">
      <w:pPr>
        <w:kinsoku w:val="0"/>
        <w:overflowPunct w:val="0"/>
        <w:autoSpaceDE w:val="0"/>
        <w:autoSpaceDN w:val="0"/>
        <w:adjustRightInd w:val="0"/>
        <w:snapToGrid w:val="0"/>
        <w:spacing w:after="120"/>
        <w:ind w:left="2835" w:right="1134" w:hanging="567"/>
        <w:jc w:val="both"/>
        <w:rPr>
          <w:lang w:val="fr-FR"/>
        </w:rPr>
      </w:pPr>
      <w:r w:rsidRPr="00106460">
        <w:rPr>
          <w:lang w:val="fr-FR"/>
        </w:rPr>
        <w:t>f)</w:t>
      </w:r>
      <w:r w:rsidRPr="00106460">
        <w:rPr>
          <w:lang w:val="fr-FR"/>
        </w:rPr>
        <w:tab/>
        <w:t>Aux prescriptions concernant la conception et la mise en œuvre des méthodes de surveillance, énoncées aux paragraphes 2.3.1.2 et 2.3.1.2.1 de l’annexe 9A;</w:t>
      </w:r>
    </w:p>
    <w:p w:rsidR="00106460" w:rsidRPr="00106460" w:rsidRDefault="00106460" w:rsidP="00106460">
      <w:pPr>
        <w:kinsoku w:val="0"/>
        <w:overflowPunct w:val="0"/>
        <w:autoSpaceDE w:val="0"/>
        <w:autoSpaceDN w:val="0"/>
        <w:adjustRightInd w:val="0"/>
        <w:snapToGrid w:val="0"/>
        <w:spacing w:after="120"/>
        <w:ind w:left="2835" w:right="1134" w:hanging="567"/>
        <w:jc w:val="both"/>
        <w:rPr>
          <w:lang w:val="fr-FR"/>
        </w:rPr>
      </w:pPr>
      <w:r w:rsidRPr="00106460">
        <w:rPr>
          <w:lang w:val="fr-FR"/>
        </w:rPr>
        <w:t>g)</w:t>
      </w:r>
      <w:r w:rsidRPr="00106460">
        <w:rPr>
          <w:lang w:val="fr-FR"/>
        </w:rPr>
        <w:tab/>
        <w:t xml:space="preserve">Aux prescriptions du paragraphe 6.4.1 de l’annexe 9A, concernant la soumission d’une déclaration relative à la conformité de l’efficacité en service du système </w:t>
      </w:r>
      <w:proofErr w:type="spellStart"/>
      <w:r w:rsidRPr="00106460">
        <w:rPr>
          <w:lang w:val="fr-FR"/>
        </w:rPr>
        <w:t>OBD</w:t>
      </w:r>
      <w:proofErr w:type="spellEnd"/>
      <w:r w:rsidRPr="00106460">
        <w:rPr>
          <w:lang w:val="fr-FR"/>
        </w:rPr>
        <w:t>.</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13.3</w:t>
      </w:r>
      <w:r w:rsidRPr="00106460">
        <w:rPr>
          <w:lang w:val="fr-FR"/>
        </w:rPr>
        <w:tab/>
        <w:t>Acceptation des homologations de type déjà délivrées</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13.3.1</w:t>
      </w:r>
      <w:r w:rsidRPr="00106460">
        <w:rPr>
          <w:lang w:val="fr-FR"/>
        </w:rPr>
        <w:tab/>
        <w:t>À dater du 31 décembre 2013, les Parties contractantes peuvent refuser les homologations de type délivrées conformément au présent Règlement qui ne satisfont pas aux prescriptions énoncées au paragraphe 13.2.1 ci-dessus.</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13.3.2</w:t>
      </w:r>
      <w:r w:rsidRPr="00106460">
        <w:rPr>
          <w:lang w:val="fr-FR"/>
        </w:rPr>
        <w:tab/>
        <w:t>À dater du 1</w:t>
      </w:r>
      <w:r w:rsidRPr="00106460">
        <w:rPr>
          <w:vertAlign w:val="superscript"/>
          <w:lang w:val="fr-FR"/>
        </w:rPr>
        <w:t>er</w:t>
      </w:r>
      <w:r w:rsidRPr="00106460">
        <w:rPr>
          <w:lang w:val="fr-FR"/>
        </w:rPr>
        <w:t> septembre 2015, les Parties contractantes pourront refuser les homologations de type des moteurs et des véhicules à allumage commandé délivrées conformément au présent Règlement qui ne satisfont pas aux prescriptions énoncées au paragraphe 13.2.2 ci-dessus.</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13.3.3</w:t>
      </w:r>
      <w:r w:rsidRPr="00106460">
        <w:rPr>
          <w:lang w:val="fr-FR"/>
        </w:rPr>
        <w:tab/>
        <w:t>À dater du 31 décembre 2016, les Parties contractantes pourront refuser les homologations de type délivrées conformément au présent Règlement qui ne satisfont pas aux prescriptions énoncées au paragraphe 13.2.3 ci-dessus.»</w:t>
      </w:r>
    </w:p>
    <w:p w:rsidR="00F34106" w:rsidRDefault="00106460" w:rsidP="00106460">
      <w:pPr>
        <w:kinsoku w:val="0"/>
        <w:overflowPunct w:val="0"/>
        <w:autoSpaceDE w:val="0"/>
        <w:autoSpaceDN w:val="0"/>
        <w:adjustRightInd w:val="0"/>
        <w:snapToGrid w:val="0"/>
        <w:spacing w:after="120"/>
        <w:ind w:left="1134" w:right="1134"/>
        <w:jc w:val="both"/>
        <w:rPr>
          <w:i/>
          <w:lang w:val="fr-FR"/>
        </w:rPr>
      </w:pPr>
      <w:r w:rsidRPr="00106460">
        <w:rPr>
          <w:i/>
          <w:lang w:val="fr-FR"/>
        </w:rPr>
        <w:t xml:space="preserve">Annexe 1, </w:t>
      </w:r>
    </w:p>
    <w:p w:rsidR="00106460" w:rsidRPr="00106460" w:rsidRDefault="00106460" w:rsidP="00106460">
      <w:pPr>
        <w:kinsoku w:val="0"/>
        <w:overflowPunct w:val="0"/>
        <w:autoSpaceDE w:val="0"/>
        <w:autoSpaceDN w:val="0"/>
        <w:adjustRightInd w:val="0"/>
        <w:snapToGrid w:val="0"/>
        <w:spacing w:after="120"/>
        <w:ind w:left="1134" w:right="1134"/>
        <w:jc w:val="both"/>
        <w:rPr>
          <w:lang w:val="fr-FR"/>
        </w:rPr>
      </w:pPr>
      <w:r w:rsidRPr="00106460">
        <w:rPr>
          <w:i/>
          <w:lang w:val="fr-FR"/>
        </w:rPr>
        <w:t>Partie 1, dans le tableau</w:t>
      </w:r>
      <w:r w:rsidRPr="00106460">
        <w:rPr>
          <w:lang w:val="fr-FR"/>
        </w:rPr>
        <w:t>, supprimer le paragraphe 3.2.12.2.8.6.</w:t>
      </w:r>
    </w:p>
    <w:p w:rsidR="00106460" w:rsidRPr="00106460" w:rsidRDefault="00106460" w:rsidP="00106460">
      <w:pPr>
        <w:kinsoku w:val="0"/>
        <w:overflowPunct w:val="0"/>
        <w:autoSpaceDE w:val="0"/>
        <w:autoSpaceDN w:val="0"/>
        <w:adjustRightInd w:val="0"/>
        <w:snapToGrid w:val="0"/>
        <w:spacing w:after="120"/>
        <w:ind w:left="1134" w:right="1134"/>
        <w:jc w:val="both"/>
        <w:rPr>
          <w:lang w:val="fr-FR"/>
        </w:rPr>
      </w:pPr>
    </w:p>
    <w:p w:rsidR="00106460" w:rsidRPr="00106460" w:rsidRDefault="00106460" w:rsidP="00106460">
      <w:pPr>
        <w:kinsoku w:val="0"/>
        <w:overflowPunct w:val="0"/>
        <w:autoSpaceDE w:val="0"/>
        <w:autoSpaceDN w:val="0"/>
        <w:adjustRightInd w:val="0"/>
        <w:snapToGrid w:val="0"/>
        <w:spacing w:after="120"/>
        <w:ind w:left="1134" w:right="1134"/>
        <w:jc w:val="both"/>
        <w:rPr>
          <w:lang w:val="fr-FR"/>
        </w:rPr>
        <w:sectPr w:rsidR="00106460" w:rsidRPr="00106460" w:rsidSect="00BF5575">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701" w:right="1134" w:bottom="2268" w:left="1134" w:header="1134" w:footer="1701" w:gutter="0"/>
          <w:cols w:space="708"/>
          <w:titlePg/>
          <w:docGrid w:linePitch="360"/>
        </w:sectPr>
      </w:pPr>
    </w:p>
    <w:p w:rsidR="00106460" w:rsidRPr="00106460" w:rsidRDefault="00106460" w:rsidP="00106460">
      <w:pPr>
        <w:keepNext/>
        <w:kinsoku w:val="0"/>
        <w:overflowPunct w:val="0"/>
        <w:autoSpaceDE w:val="0"/>
        <w:autoSpaceDN w:val="0"/>
        <w:adjustRightInd w:val="0"/>
        <w:snapToGrid w:val="0"/>
        <w:spacing w:after="120"/>
        <w:ind w:left="1134" w:right="1134"/>
        <w:jc w:val="both"/>
      </w:pPr>
      <w:r w:rsidRPr="00106460">
        <w:rPr>
          <w:i/>
          <w:lang w:val="fr-FR"/>
        </w:rPr>
        <w:t>Annexe 3, tableau 1 (y compris les notes)</w:t>
      </w:r>
      <w:r w:rsidRPr="00106460">
        <w:t xml:space="preserve">, </w:t>
      </w:r>
      <w:r w:rsidRPr="00106460">
        <w:rPr>
          <w:lang w:val="fr-FR"/>
        </w:rPr>
        <w:t>modifier comme suit</w:t>
      </w:r>
      <w:r w:rsidRPr="00106460">
        <w:t>:</w:t>
      </w:r>
    </w:p>
    <w:p w:rsidR="00106460" w:rsidRPr="00106460" w:rsidRDefault="00106460" w:rsidP="00106460">
      <w:pPr>
        <w:keepNext/>
        <w:keepLines/>
        <w:kinsoku w:val="0"/>
        <w:overflowPunct w:val="0"/>
        <w:autoSpaceDE w:val="0"/>
        <w:autoSpaceDN w:val="0"/>
        <w:adjustRightInd w:val="0"/>
        <w:snapToGrid w:val="0"/>
        <w:spacing w:line="240" w:lineRule="auto"/>
        <w:ind w:left="284"/>
        <w:outlineLvl w:val="0"/>
        <w:rPr>
          <w:lang w:eastAsia="en-GB"/>
        </w:rPr>
      </w:pPr>
      <w:r w:rsidRPr="00106460">
        <w:rPr>
          <w:lang w:eastAsia="en-GB"/>
        </w:rPr>
        <w:t>«Tableau 1</w:t>
      </w:r>
    </w:p>
    <w:p w:rsidR="00106460" w:rsidRPr="00106460" w:rsidRDefault="00106460" w:rsidP="00106460">
      <w:pPr>
        <w:kinsoku w:val="0"/>
        <w:overflowPunct w:val="0"/>
        <w:autoSpaceDE w:val="0"/>
        <w:autoSpaceDN w:val="0"/>
        <w:adjustRightInd w:val="0"/>
        <w:snapToGrid w:val="0"/>
        <w:spacing w:after="120"/>
        <w:ind w:left="284"/>
        <w:rPr>
          <w:b/>
          <w:bCs/>
          <w:lang w:val="fr-FR" w:eastAsia="en-GB"/>
        </w:rPr>
      </w:pPr>
      <w:r w:rsidRPr="00106460">
        <w:rPr>
          <w:b/>
          <w:bCs/>
          <w:lang w:val="fr-FR" w:eastAsia="en-GB"/>
        </w:rPr>
        <w:t>Lettres indiquant le stade des prescriptions concernant les systèmes d’autodiagnostic (OBD) et de réduction catalytique sélective (RCS)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9"/>
        <w:gridCol w:w="1749"/>
        <w:gridCol w:w="1656"/>
        <w:gridCol w:w="1648"/>
        <w:gridCol w:w="1077"/>
        <w:gridCol w:w="1069"/>
        <w:gridCol w:w="1285"/>
        <w:gridCol w:w="1713"/>
        <w:gridCol w:w="1827"/>
      </w:tblGrid>
      <w:tr w:rsidR="00106460" w:rsidRPr="00106460" w:rsidTr="00EE1EA2">
        <w:tc>
          <w:tcPr>
            <w:tcW w:w="569" w:type="dxa"/>
            <w:tcBorders>
              <w:bottom w:val="single" w:sz="4" w:space="0" w:color="auto"/>
            </w:tcBorders>
            <w:vAlign w:val="bottom"/>
          </w:tcPr>
          <w:p w:rsidR="00106460" w:rsidRPr="00106460" w:rsidRDefault="00106460" w:rsidP="00106460">
            <w:pPr>
              <w:suppressAutoHyphens w:val="0"/>
              <w:kinsoku w:val="0"/>
              <w:overflowPunct w:val="0"/>
              <w:autoSpaceDE w:val="0"/>
              <w:autoSpaceDN w:val="0"/>
              <w:adjustRightInd w:val="0"/>
              <w:snapToGrid w:val="0"/>
              <w:spacing w:before="40" w:after="40" w:line="200" w:lineRule="atLeast"/>
              <w:ind w:left="57" w:right="57"/>
              <w:jc w:val="center"/>
              <w:rPr>
                <w:i/>
                <w:noProof/>
                <w:sz w:val="16"/>
                <w:szCs w:val="16"/>
                <w:lang w:eastAsia="en-GB"/>
              </w:rPr>
            </w:pPr>
            <w:r w:rsidRPr="00106460">
              <w:rPr>
                <w:i/>
                <w:noProof/>
                <w:sz w:val="16"/>
                <w:szCs w:val="16"/>
                <w:lang w:eastAsia="en-GB"/>
              </w:rPr>
              <w:t>Lettre</w:t>
            </w:r>
          </w:p>
        </w:tc>
        <w:tc>
          <w:tcPr>
            <w:tcW w:w="1749" w:type="dxa"/>
            <w:tcBorders>
              <w:bottom w:val="single" w:sz="4" w:space="0" w:color="auto"/>
            </w:tcBorders>
            <w:vAlign w:val="bottom"/>
          </w:tcPr>
          <w:p w:rsidR="00106460" w:rsidRPr="00106460" w:rsidRDefault="00106460" w:rsidP="00106460">
            <w:pPr>
              <w:suppressAutoHyphens w:val="0"/>
              <w:kinsoku w:val="0"/>
              <w:overflowPunct w:val="0"/>
              <w:autoSpaceDE w:val="0"/>
              <w:autoSpaceDN w:val="0"/>
              <w:adjustRightInd w:val="0"/>
              <w:snapToGrid w:val="0"/>
              <w:spacing w:before="40" w:after="40" w:line="200" w:lineRule="atLeast"/>
              <w:ind w:left="57" w:right="57"/>
              <w:jc w:val="center"/>
              <w:rPr>
                <w:i/>
                <w:noProof/>
                <w:sz w:val="16"/>
                <w:szCs w:val="16"/>
                <w:lang w:eastAsia="en-GB"/>
              </w:rPr>
            </w:pPr>
            <w:r w:rsidRPr="00106460">
              <w:rPr>
                <w:i/>
                <w:noProof/>
                <w:sz w:val="16"/>
                <w:szCs w:val="16"/>
                <w:lang w:val="fr-FR" w:eastAsia="en-GB"/>
              </w:rPr>
              <w:t>Valeurs limites OBD pour les oxydes d’azote</w:t>
            </w:r>
            <w:r w:rsidRPr="00106460">
              <w:rPr>
                <w:i/>
                <w:noProof/>
                <w:sz w:val="16"/>
                <w:szCs w:val="16"/>
                <w:vertAlign w:val="superscript"/>
                <w:lang w:eastAsia="en-GB"/>
              </w:rPr>
              <w:t>1</w:t>
            </w:r>
          </w:p>
        </w:tc>
        <w:tc>
          <w:tcPr>
            <w:tcW w:w="1656" w:type="dxa"/>
            <w:tcBorders>
              <w:bottom w:val="single" w:sz="4" w:space="0" w:color="auto"/>
            </w:tcBorders>
            <w:vAlign w:val="bottom"/>
          </w:tcPr>
          <w:p w:rsidR="00106460" w:rsidRPr="00106460" w:rsidRDefault="00106460" w:rsidP="00106460">
            <w:pPr>
              <w:suppressAutoHyphens w:val="0"/>
              <w:kinsoku w:val="0"/>
              <w:overflowPunct w:val="0"/>
              <w:autoSpaceDE w:val="0"/>
              <w:autoSpaceDN w:val="0"/>
              <w:adjustRightInd w:val="0"/>
              <w:snapToGrid w:val="0"/>
              <w:spacing w:before="40" w:after="40" w:line="200" w:lineRule="atLeast"/>
              <w:ind w:left="57" w:right="57"/>
              <w:jc w:val="center"/>
              <w:rPr>
                <w:i/>
                <w:noProof/>
                <w:sz w:val="16"/>
                <w:szCs w:val="16"/>
                <w:lang w:eastAsia="en-GB"/>
              </w:rPr>
            </w:pPr>
            <w:r w:rsidRPr="00106460">
              <w:rPr>
                <w:i/>
                <w:noProof/>
                <w:sz w:val="16"/>
                <w:szCs w:val="16"/>
                <w:lang w:val="fr-FR" w:eastAsia="en-GB"/>
              </w:rPr>
              <w:t>Valeurs limites OBD pour les particules</w:t>
            </w:r>
            <w:r w:rsidRPr="00106460">
              <w:rPr>
                <w:i/>
                <w:noProof/>
                <w:sz w:val="16"/>
                <w:szCs w:val="16"/>
                <w:vertAlign w:val="superscript"/>
                <w:lang w:eastAsia="en-GB"/>
              </w:rPr>
              <w:t>2</w:t>
            </w:r>
          </w:p>
        </w:tc>
        <w:tc>
          <w:tcPr>
            <w:tcW w:w="1648" w:type="dxa"/>
            <w:tcBorders>
              <w:bottom w:val="single" w:sz="4" w:space="0" w:color="auto"/>
            </w:tcBorders>
            <w:vAlign w:val="bottom"/>
          </w:tcPr>
          <w:p w:rsidR="00106460" w:rsidRPr="00106460" w:rsidRDefault="00106460" w:rsidP="00106460">
            <w:pPr>
              <w:suppressAutoHyphens w:val="0"/>
              <w:kinsoku w:val="0"/>
              <w:overflowPunct w:val="0"/>
              <w:autoSpaceDE w:val="0"/>
              <w:autoSpaceDN w:val="0"/>
              <w:adjustRightInd w:val="0"/>
              <w:snapToGrid w:val="0"/>
              <w:spacing w:before="40" w:after="40" w:line="200" w:lineRule="atLeast"/>
              <w:ind w:left="57" w:right="57"/>
              <w:jc w:val="center"/>
              <w:rPr>
                <w:i/>
                <w:noProof/>
                <w:sz w:val="16"/>
                <w:szCs w:val="16"/>
                <w:lang w:eastAsia="en-GB"/>
              </w:rPr>
            </w:pPr>
            <w:r w:rsidRPr="00106460">
              <w:rPr>
                <w:i/>
                <w:noProof/>
                <w:sz w:val="16"/>
                <w:szCs w:val="16"/>
                <w:lang w:val="fr-FR" w:eastAsia="en-GB"/>
              </w:rPr>
              <w:t>Valeurs limites OBD pour le monoxyde de carbone</w:t>
            </w:r>
            <w:r w:rsidRPr="00106460">
              <w:rPr>
                <w:i/>
                <w:noProof/>
                <w:sz w:val="16"/>
                <w:szCs w:val="16"/>
                <w:vertAlign w:val="superscript"/>
                <w:lang w:eastAsia="en-GB"/>
              </w:rPr>
              <w:t>6</w:t>
            </w:r>
          </w:p>
        </w:tc>
        <w:tc>
          <w:tcPr>
            <w:tcW w:w="1077" w:type="dxa"/>
            <w:tcBorders>
              <w:bottom w:val="single" w:sz="4" w:space="0" w:color="auto"/>
            </w:tcBorders>
            <w:vAlign w:val="bottom"/>
          </w:tcPr>
          <w:p w:rsidR="00106460" w:rsidRPr="00106460" w:rsidRDefault="00106460" w:rsidP="00106460">
            <w:pPr>
              <w:suppressAutoHyphens w:val="0"/>
              <w:kinsoku w:val="0"/>
              <w:overflowPunct w:val="0"/>
              <w:autoSpaceDE w:val="0"/>
              <w:autoSpaceDN w:val="0"/>
              <w:adjustRightInd w:val="0"/>
              <w:snapToGrid w:val="0"/>
              <w:spacing w:before="40" w:after="40" w:line="200" w:lineRule="atLeast"/>
              <w:ind w:left="57" w:right="57"/>
              <w:jc w:val="center"/>
              <w:rPr>
                <w:i/>
                <w:noProof/>
                <w:sz w:val="16"/>
                <w:szCs w:val="16"/>
                <w:lang w:eastAsia="en-GB"/>
              </w:rPr>
            </w:pPr>
            <w:r w:rsidRPr="00106460">
              <w:rPr>
                <w:i/>
                <w:noProof/>
                <w:sz w:val="16"/>
                <w:szCs w:val="16"/>
                <w:lang w:val="fr-FR" w:eastAsia="en-GB"/>
              </w:rPr>
              <w:t>Rapport d’efficacité en service (IUPR)</w:t>
            </w:r>
            <w:r w:rsidRPr="00106460">
              <w:rPr>
                <w:i/>
                <w:noProof/>
                <w:sz w:val="16"/>
                <w:szCs w:val="16"/>
                <w:vertAlign w:val="superscript"/>
                <w:lang w:val="fr-FR" w:eastAsia="en-GB"/>
              </w:rPr>
              <w:t>13</w:t>
            </w:r>
          </w:p>
        </w:tc>
        <w:tc>
          <w:tcPr>
            <w:tcW w:w="1069" w:type="dxa"/>
            <w:tcBorders>
              <w:bottom w:val="single" w:sz="4" w:space="0" w:color="auto"/>
            </w:tcBorders>
            <w:vAlign w:val="bottom"/>
          </w:tcPr>
          <w:p w:rsidR="00106460" w:rsidRPr="00106460" w:rsidRDefault="00106460" w:rsidP="00106460">
            <w:pPr>
              <w:suppressAutoHyphens w:val="0"/>
              <w:kinsoku w:val="0"/>
              <w:overflowPunct w:val="0"/>
              <w:autoSpaceDE w:val="0"/>
              <w:autoSpaceDN w:val="0"/>
              <w:adjustRightInd w:val="0"/>
              <w:snapToGrid w:val="0"/>
              <w:spacing w:before="40" w:after="40" w:line="200" w:lineRule="atLeast"/>
              <w:ind w:left="57" w:right="57"/>
              <w:jc w:val="center"/>
              <w:rPr>
                <w:i/>
                <w:noProof/>
                <w:sz w:val="16"/>
                <w:szCs w:val="16"/>
                <w:lang w:eastAsia="en-GB"/>
              </w:rPr>
            </w:pPr>
            <w:r w:rsidRPr="00106460">
              <w:rPr>
                <w:i/>
                <w:noProof/>
                <w:sz w:val="16"/>
                <w:szCs w:val="16"/>
                <w:lang w:val="fr-FR" w:eastAsia="en-GB"/>
              </w:rPr>
              <w:t>Qualité du réactif</w:t>
            </w:r>
          </w:p>
        </w:tc>
        <w:tc>
          <w:tcPr>
            <w:tcW w:w="1285" w:type="dxa"/>
            <w:tcBorders>
              <w:bottom w:val="single" w:sz="4" w:space="0" w:color="auto"/>
            </w:tcBorders>
            <w:vAlign w:val="bottom"/>
          </w:tcPr>
          <w:p w:rsidR="00106460" w:rsidRPr="00106460" w:rsidRDefault="00106460" w:rsidP="00106460">
            <w:pPr>
              <w:suppressAutoHyphens w:val="0"/>
              <w:kinsoku w:val="0"/>
              <w:overflowPunct w:val="0"/>
              <w:autoSpaceDE w:val="0"/>
              <w:autoSpaceDN w:val="0"/>
              <w:adjustRightInd w:val="0"/>
              <w:snapToGrid w:val="0"/>
              <w:spacing w:before="40" w:after="40" w:line="200" w:lineRule="atLeast"/>
              <w:ind w:left="57" w:right="57"/>
              <w:jc w:val="center"/>
              <w:rPr>
                <w:i/>
                <w:noProof/>
                <w:sz w:val="16"/>
                <w:szCs w:val="16"/>
                <w:lang w:eastAsia="en-GB"/>
              </w:rPr>
            </w:pPr>
            <w:r w:rsidRPr="00106460">
              <w:rPr>
                <w:i/>
                <w:noProof/>
                <w:sz w:val="16"/>
                <w:szCs w:val="16"/>
                <w:lang w:val="fr-FR" w:eastAsia="en-GB"/>
              </w:rPr>
              <w:t>Programmes de surveillance OBD supplémentaires</w:t>
            </w:r>
            <w:r w:rsidRPr="00106460">
              <w:rPr>
                <w:i/>
                <w:noProof/>
                <w:sz w:val="16"/>
                <w:szCs w:val="16"/>
                <w:vertAlign w:val="superscript"/>
                <w:lang w:eastAsia="en-GB"/>
              </w:rPr>
              <w:t>12</w:t>
            </w:r>
          </w:p>
        </w:tc>
        <w:tc>
          <w:tcPr>
            <w:tcW w:w="1713" w:type="dxa"/>
            <w:tcBorders>
              <w:bottom w:val="single" w:sz="4" w:space="0" w:color="auto"/>
            </w:tcBorders>
            <w:vAlign w:val="bottom"/>
          </w:tcPr>
          <w:p w:rsidR="00106460" w:rsidRPr="00106460" w:rsidRDefault="00106460" w:rsidP="00106460">
            <w:pPr>
              <w:suppressAutoHyphens w:val="0"/>
              <w:kinsoku w:val="0"/>
              <w:overflowPunct w:val="0"/>
              <w:autoSpaceDE w:val="0"/>
              <w:autoSpaceDN w:val="0"/>
              <w:adjustRightInd w:val="0"/>
              <w:snapToGrid w:val="0"/>
              <w:spacing w:before="40" w:after="40" w:line="200" w:lineRule="atLeast"/>
              <w:ind w:left="57" w:right="57"/>
              <w:jc w:val="center"/>
              <w:rPr>
                <w:i/>
                <w:noProof/>
                <w:sz w:val="16"/>
                <w:szCs w:val="16"/>
                <w:lang w:eastAsia="en-GB"/>
              </w:rPr>
            </w:pPr>
            <w:r w:rsidRPr="00106460">
              <w:rPr>
                <w:i/>
                <w:noProof/>
                <w:sz w:val="16"/>
                <w:szCs w:val="16"/>
                <w:lang w:val="fr-FR" w:eastAsia="en-GB"/>
              </w:rPr>
              <w:t>Dates d’application: nouveaux types</w:t>
            </w:r>
          </w:p>
        </w:tc>
        <w:tc>
          <w:tcPr>
            <w:tcW w:w="1827" w:type="dxa"/>
            <w:tcBorders>
              <w:bottom w:val="single" w:sz="4" w:space="0" w:color="auto"/>
            </w:tcBorders>
            <w:vAlign w:val="bottom"/>
          </w:tcPr>
          <w:p w:rsidR="00106460" w:rsidRPr="00106460" w:rsidRDefault="00106460" w:rsidP="00106460">
            <w:pPr>
              <w:suppressAutoHyphens w:val="0"/>
              <w:kinsoku w:val="0"/>
              <w:overflowPunct w:val="0"/>
              <w:autoSpaceDE w:val="0"/>
              <w:autoSpaceDN w:val="0"/>
              <w:adjustRightInd w:val="0"/>
              <w:snapToGrid w:val="0"/>
              <w:spacing w:before="40" w:after="40" w:line="200" w:lineRule="atLeast"/>
              <w:ind w:left="57" w:right="57"/>
              <w:jc w:val="center"/>
              <w:rPr>
                <w:i/>
                <w:noProof/>
                <w:sz w:val="16"/>
                <w:szCs w:val="16"/>
                <w:lang w:eastAsia="en-GB"/>
              </w:rPr>
            </w:pPr>
            <w:r w:rsidRPr="00106460">
              <w:rPr>
                <w:i/>
                <w:noProof/>
                <w:sz w:val="16"/>
                <w:szCs w:val="16"/>
                <w:lang w:val="fr-FR" w:eastAsia="en-GB"/>
              </w:rPr>
              <w:t>Date à partir de laquelle les Parties contractantes peuvent refuser l’homologation de type</w:t>
            </w:r>
          </w:p>
        </w:tc>
      </w:tr>
      <w:tr w:rsidR="00106460" w:rsidRPr="00106460" w:rsidTr="00EE1EA2">
        <w:tc>
          <w:tcPr>
            <w:tcW w:w="569" w:type="dxa"/>
            <w:tcBorders>
              <w:top w:val="single" w:sz="4" w:space="0" w:color="auto"/>
            </w:tcBorders>
            <w:vAlign w:val="center"/>
          </w:tcPr>
          <w:p w:rsidR="00106460" w:rsidRPr="00106460" w:rsidRDefault="00106460" w:rsidP="00106460">
            <w:pPr>
              <w:suppressAutoHyphens w:val="0"/>
              <w:kinsoku w:val="0"/>
              <w:overflowPunct w:val="0"/>
              <w:autoSpaceDE w:val="0"/>
              <w:autoSpaceDN w:val="0"/>
              <w:adjustRightInd w:val="0"/>
              <w:snapToGrid w:val="0"/>
              <w:spacing w:before="40" w:after="40" w:line="220" w:lineRule="atLeast"/>
              <w:ind w:left="57" w:right="57"/>
              <w:jc w:val="center"/>
              <w:rPr>
                <w:noProof/>
                <w:sz w:val="18"/>
                <w:szCs w:val="18"/>
                <w:lang w:val="fr-FR" w:eastAsia="en-GB"/>
              </w:rPr>
            </w:pPr>
            <w:r w:rsidRPr="00106460">
              <w:rPr>
                <w:noProof/>
                <w:sz w:val="18"/>
                <w:szCs w:val="18"/>
                <w:lang w:val="fr-FR" w:eastAsia="en-GB"/>
              </w:rPr>
              <w:t>A</w:t>
            </w:r>
            <w:r w:rsidRPr="00106460">
              <w:rPr>
                <w:i/>
                <w:noProof/>
                <w:sz w:val="18"/>
                <w:szCs w:val="18"/>
                <w:vertAlign w:val="superscript"/>
                <w:lang w:val="fr-FR" w:eastAsia="en-GB"/>
              </w:rPr>
              <w:t>9, 10</w:t>
            </w:r>
          </w:p>
          <w:p w:rsidR="00106460" w:rsidRPr="00106460" w:rsidRDefault="00106460" w:rsidP="00106460">
            <w:pPr>
              <w:suppressAutoHyphens w:val="0"/>
              <w:kinsoku w:val="0"/>
              <w:overflowPunct w:val="0"/>
              <w:autoSpaceDE w:val="0"/>
              <w:autoSpaceDN w:val="0"/>
              <w:adjustRightInd w:val="0"/>
              <w:snapToGrid w:val="0"/>
              <w:spacing w:before="40" w:after="40" w:line="220" w:lineRule="atLeast"/>
              <w:ind w:left="57" w:right="57"/>
              <w:jc w:val="center"/>
              <w:rPr>
                <w:noProof/>
                <w:sz w:val="18"/>
                <w:szCs w:val="18"/>
                <w:lang w:eastAsia="en-GB"/>
              </w:rPr>
            </w:pPr>
            <w:r w:rsidRPr="00106460">
              <w:rPr>
                <w:noProof/>
                <w:sz w:val="18"/>
                <w:szCs w:val="18"/>
                <w:lang w:val="fr-FR" w:eastAsia="en-GB"/>
              </w:rPr>
              <w:t>B</w:t>
            </w:r>
            <w:r w:rsidRPr="00106460">
              <w:rPr>
                <w:i/>
                <w:noProof/>
                <w:sz w:val="18"/>
                <w:szCs w:val="18"/>
                <w:vertAlign w:val="superscript"/>
                <w:lang w:val="fr-FR" w:eastAsia="en-GB"/>
              </w:rPr>
              <w:t>10</w:t>
            </w:r>
          </w:p>
        </w:tc>
        <w:tc>
          <w:tcPr>
            <w:tcW w:w="1749" w:type="dxa"/>
            <w:tcBorders>
              <w:top w:val="single" w:sz="4" w:space="0" w:color="auto"/>
            </w:tcBorders>
            <w:vAlign w:val="center"/>
          </w:tcPr>
          <w:p w:rsidR="00106460" w:rsidRPr="00106460" w:rsidRDefault="00106460" w:rsidP="00106460">
            <w:pPr>
              <w:suppressAutoHyphens w:val="0"/>
              <w:kinsoku w:val="0"/>
              <w:overflowPunct w:val="0"/>
              <w:autoSpaceDE w:val="0"/>
              <w:autoSpaceDN w:val="0"/>
              <w:adjustRightInd w:val="0"/>
              <w:snapToGrid w:val="0"/>
              <w:spacing w:before="40" w:after="40" w:line="220" w:lineRule="atLeast"/>
              <w:ind w:left="57" w:right="57"/>
              <w:jc w:val="center"/>
              <w:rPr>
                <w:noProof/>
                <w:sz w:val="18"/>
                <w:szCs w:val="18"/>
                <w:lang w:val="fr-FR" w:eastAsia="en-GB"/>
              </w:rPr>
            </w:pPr>
            <w:r w:rsidRPr="00106460">
              <w:rPr>
                <w:noProof/>
                <w:sz w:val="18"/>
                <w:szCs w:val="18"/>
                <w:lang w:val="fr-FR" w:eastAsia="en-GB"/>
              </w:rPr>
              <w:t>Ligne “Phase transitoire” des tableaux 1 et 2 de l’annexe 9A</w:t>
            </w:r>
          </w:p>
        </w:tc>
        <w:tc>
          <w:tcPr>
            <w:tcW w:w="1656" w:type="dxa"/>
            <w:tcBorders>
              <w:top w:val="single" w:sz="4" w:space="0" w:color="auto"/>
            </w:tcBorders>
            <w:vAlign w:val="center"/>
          </w:tcPr>
          <w:p w:rsidR="00106460" w:rsidRPr="00106460" w:rsidRDefault="00106460" w:rsidP="00106460">
            <w:pPr>
              <w:suppressAutoHyphens w:val="0"/>
              <w:kinsoku w:val="0"/>
              <w:overflowPunct w:val="0"/>
              <w:autoSpaceDE w:val="0"/>
              <w:autoSpaceDN w:val="0"/>
              <w:adjustRightInd w:val="0"/>
              <w:snapToGrid w:val="0"/>
              <w:spacing w:before="40" w:after="40" w:line="220" w:lineRule="atLeast"/>
              <w:ind w:left="57" w:right="57"/>
              <w:jc w:val="center"/>
              <w:rPr>
                <w:noProof/>
                <w:sz w:val="18"/>
                <w:szCs w:val="18"/>
                <w:vertAlign w:val="superscript"/>
                <w:lang w:eastAsia="en-GB"/>
              </w:rPr>
            </w:pPr>
            <w:r w:rsidRPr="00106460">
              <w:rPr>
                <w:noProof/>
                <w:sz w:val="18"/>
                <w:szCs w:val="18"/>
                <w:lang w:val="fr-FR" w:eastAsia="en-GB"/>
              </w:rPr>
              <w:t>Surveillance de l’efficacité</w:t>
            </w:r>
            <w:r w:rsidRPr="00106460">
              <w:rPr>
                <w:i/>
                <w:noProof/>
                <w:sz w:val="18"/>
                <w:szCs w:val="18"/>
                <w:vertAlign w:val="superscript"/>
                <w:lang w:val="fr-FR" w:eastAsia="en-GB"/>
              </w:rPr>
              <w:t>3</w:t>
            </w:r>
          </w:p>
        </w:tc>
        <w:tc>
          <w:tcPr>
            <w:tcW w:w="1648" w:type="dxa"/>
            <w:tcBorders>
              <w:top w:val="single" w:sz="4" w:space="0" w:color="auto"/>
            </w:tcBorders>
            <w:vAlign w:val="center"/>
          </w:tcPr>
          <w:p w:rsidR="00106460" w:rsidRPr="00106460" w:rsidRDefault="00106460" w:rsidP="00106460">
            <w:pPr>
              <w:suppressAutoHyphens w:val="0"/>
              <w:kinsoku w:val="0"/>
              <w:overflowPunct w:val="0"/>
              <w:autoSpaceDE w:val="0"/>
              <w:autoSpaceDN w:val="0"/>
              <w:adjustRightInd w:val="0"/>
              <w:snapToGrid w:val="0"/>
              <w:spacing w:before="40" w:after="40" w:line="220" w:lineRule="atLeast"/>
              <w:ind w:left="57" w:right="57"/>
              <w:jc w:val="center"/>
              <w:rPr>
                <w:noProof/>
                <w:sz w:val="18"/>
                <w:szCs w:val="18"/>
                <w:lang w:eastAsia="en-GB"/>
              </w:rPr>
            </w:pPr>
            <w:r w:rsidRPr="00106460">
              <w:rPr>
                <w:noProof/>
                <w:sz w:val="18"/>
                <w:szCs w:val="18"/>
                <w:lang w:val="fr-FR" w:eastAsia="en-GB"/>
              </w:rPr>
              <w:t>Sans objet</w:t>
            </w:r>
          </w:p>
        </w:tc>
        <w:tc>
          <w:tcPr>
            <w:tcW w:w="1077" w:type="dxa"/>
            <w:tcBorders>
              <w:top w:val="single" w:sz="4" w:space="0" w:color="auto"/>
            </w:tcBorders>
            <w:vAlign w:val="center"/>
          </w:tcPr>
          <w:p w:rsidR="00106460" w:rsidRPr="00106460" w:rsidRDefault="00106460" w:rsidP="00106460">
            <w:pPr>
              <w:suppressAutoHyphens w:val="0"/>
              <w:kinsoku w:val="0"/>
              <w:overflowPunct w:val="0"/>
              <w:autoSpaceDE w:val="0"/>
              <w:autoSpaceDN w:val="0"/>
              <w:adjustRightInd w:val="0"/>
              <w:snapToGrid w:val="0"/>
              <w:spacing w:before="40" w:after="40" w:line="220" w:lineRule="atLeast"/>
              <w:ind w:left="57" w:right="57"/>
              <w:jc w:val="center"/>
              <w:rPr>
                <w:noProof/>
                <w:sz w:val="18"/>
                <w:szCs w:val="18"/>
                <w:lang w:eastAsia="en-GB"/>
              </w:rPr>
            </w:pPr>
            <w:r w:rsidRPr="00106460">
              <w:rPr>
                <w:noProof/>
                <w:sz w:val="18"/>
                <w:szCs w:val="18"/>
                <w:lang w:val="fr-FR" w:eastAsia="en-GB"/>
              </w:rPr>
              <w:t>Phase transitoire</w:t>
            </w:r>
            <w:r w:rsidRPr="00106460">
              <w:rPr>
                <w:i/>
                <w:noProof/>
                <w:sz w:val="18"/>
                <w:szCs w:val="18"/>
                <w:vertAlign w:val="superscript"/>
                <w:lang w:val="fr-FR" w:eastAsia="en-GB"/>
              </w:rPr>
              <w:t>7</w:t>
            </w:r>
          </w:p>
        </w:tc>
        <w:tc>
          <w:tcPr>
            <w:tcW w:w="1069" w:type="dxa"/>
            <w:tcBorders>
              <w:top w:val="single" w:sz="4" w:space="0" w:color="auto"/>
            </w:tcBorders>
            <w:vAlign w:val="center"/>
          </w:tcPr>
          <w:p w:rsidR="00106460" w:rsidRPr="00106460" w:rsidRDefault="00106460" w:rsidP="00106460">
            <w:pPr>
              <w:suppressAutoHyphens w:val="0"/>
              <w:kinsoku w:val="0"/>
              <w:overflowPunct w:val="0"/>
              <w:autoSpaceDE w:val="0"/>
              <w:autoSpaceDN w:val="0"/>
              <w:adjustRightInd w:val="0"/>
              <w:snapToGrid w:val="0"/>
              <w:spacing w:before="40" w:after="40" w:line="220" w:lineRule="atLeast"/>
              <w:ind w:left="57" w:right="57"/>
              <w:jc w:val="center"/>
              <w:rPr>
                <w:noProof/>
                <w:sz w:val="18"/>
                <w:szCs w:val="18"/>
                <w:lang w:val="fr-FR" w:eastAsia="en-GB"/>
              </w:rPr>
            </w:pPr>
            <w:r w:rsidRPr="00106460">
              <w:rPr>
                <w:noProof/>
                <w:sz w:val="18"/>
                <w:szCs w:val="18"/>
                <w:lang w:val="fr-FR" w:eastAsia="en-GB"/>
              </w:rPr>
              <w:t>Phase transitoire</w:t>
            </w:r>
            <w:r w:rsidRPr="00106460">
              <w:rPr>
                <w:i/>
                <w:noProof/>
                <w:sz w:val="18"/>
                <w:szCs w:val="18"/>
                <w:vertAlign w:val="superscript"/>
                <w:lang w:val="fr-FR" w:eastAsia="en-GB"/>
              </w:rPr>
              <w:t>4</w:t>
            </w:r>
          </w:p>
        </w:tc>
        <w:tc>
          <w:tcPr>
            <w:tcW w:w="1285" w:type="dxa"/>
            <w:tcBorders>
              <w:top w:val="single" w:sz="4" w:space="0" w:color="auto"/>
            </w:tcBorders>
            <w:vAlign w:val="center"/>
          </w:tcPr>
          <w:p w:rsidR="00106460" w:rsidRPr="00106460" w:rsidRDefault="00106460" w:rsidP="00106460">
            <w:pPr>
              <w:suppressAutoHyphens w:val="0"/>
              <w:kinsoku w:val="0"/>
              <w:overflowPunct w:val="0"/>
              <w:autoSpaceDE w:val="0"/>
              <w:autoSpaceDN w:val="0"/>
              <w:adjustRightInd w:val="0"/>
              <w:snapToGrid w:val="0"/>
              <w:spacing w:before="40" w:after="40" w:line="220" w:lineRule="atLeast"/>
              <w:ind w:left="57" w:right="57"/>
              <w:jc w:val="center"/>
              <w:rPr>
                <w:noProof/>
                <w:sz w:val="18"/>
                <w:szCs w:val="18"/>
                <w:lang w:eastAsia="en-GB"/>
              </w:rPr>
            </w:pPr>
            <w:r w:rsidRPr="00106460">
              <w:rPr>
                <w:noProof/>
                <w:sz w:val="18"/>
                <w:szCs w:val="18"/>
                <w:lang w:val="fr-FR" w:eastAsia="en-GB"/>
              </w:rPr>
              <w:t>Sans objet</w:t>
            </w:r>
          </w:p>
        </w:tc>
        <w:tc>
          <w:tcPr>
            <w:tcW w:w="1713" w:type="dxa"/>
            <w:tcBorders>
              <w:top w:val="single" w:sz="4" w:space="0" w:color="auto"/>
            </w:tcBorders>
            <w:vAlign w:val="center"/>
          </w:tcPr>
          <w:p w:rsidR="00106460" w:rsidRPr="00106460" w:rsidRDefault="00106460" w:rsidP="00106460">
            <w:pPr>
              <w:suppressAutoHyphens w:val="0"/>
              <w:kinsoku w:val="0"/>
              <w:overflowPunct w:val="0"/>
              <w:autoSpaceDE w:val="0"/>
              <w:autoSpaceDN w:val="0"/>
              <w:adjustRightInd w:val="0"/>
              <w:snapToGrid w:val="0"/>
              <w:spacing w:before="40" w:after="40" w:line="220" w:lineRule="atLeast"/>
              <w:ind w:left="57" w:right="57"/>
              <w:jc w:val="center"/>
              <w:rPr>
                <w:noProof/>
                <w:sz w:val="18"/>
                <w:szCs w:val="18"/>
                <w:lang w:eastAsia="en-GB"/>
              </w:rPr>
            </w:pPr>
            <w:r w:rsidRPr="00106460">
              <w:rPr>
                <w:noProof/>
                <w:sz w:val="18"/>
                <w:szCs w:val="18"/>
                <w:lang w:val="fr-FR" w:eastAsia="en-GB"/>
              </w:rPr>
              <w:t>Date d’entrée en vigueur de la série 06 d’amendements au Règlement n</w:t>
            </w:r>
            <w:r w:rsidRPr="00106460">
              <w:rPr>
                <w:noProof/>
                <w:sz w:val="18"/>
                <w:szCs w:val="18"/>
                <w:vertAlign w:val="superscript"/>
                <w:lang w:val="fr-FR" w:eastAsia="en-GB"/>
              </w:rPr>
              <w:t>o</w:t>
            </w:r>
            <w:r w:rsidRPr="00106460">
              <w:rPr>
                <w:noProof/>
                <w:sz w:val="18"/>
                <w:szCs w:val="18"/>
                <w:lang w:val="fr-FR" w:eastAsia="en-GB"/>
              </w:rPr>
              <w:t> 49</w:t>
            </w:r>
          </w:p>
        </w:tc>
        <w:tc>
          <w:tcPr>
            <w:tcW w:w="1827" w:type="dxa"/>
            <w:tcBorders>
              <w:top w:val="single" w:sz="4" w:space="0" w:color="auto"/>
            </w:tcBorders>
            <w:vAlign w:val="center"/>
          </w:tcPr>
          <w:p w:rsidR="00106460" w:rsidRPr="00106460" w:rsidRDefault="00106460" w:rsidP="00106460">
            <w:pPr>
              <w:suppressAutoHyphens w:val="0"/>
              <w:kinsoku w:val="0"/>
              <w:overflowPunct w:val="0"/>
              <w:autoSpaceDE w:val="0"/>
              <w:autoSpaceDN w:val="0"/>
              <w:adjustRightInd w:val="0"/>
              <w:snapToGrid w:val="0"/>
              <w:spacing w:before="40" w:after="40" w:line="220" w:lineRule="atLeast"/>
              <w:ind w:left="57" w:right="57"/>
              <w:jc w:val="center"/>
              <w:rPr>
                <w:noProof/>
                <w:sz w:val="18"/>
                <w:szCs w:val="18"/>
                <w:lang w:val="fr-FR" w:eastAsia="en-GB"/>
              </w:rPr>
            </w:pPr>
            <w:r w:rsidRPr="00106460">
              <w:rPr>
                <w:noProof/>
                <w:sz w:val="18"/>
                <w:szCs w:val="18"/>
                <w:lang w:val="fr-FR" w:eastAsia="en-GB"/>
              </w:rPr>
              <w:t>1</w:t>
            </w:r>
            <w:r w:rsidRPr="00106460">
              <w:rPr>
                <w:noProof/>
                <w:sz w:val="18"/>
                <w:szCs w:val="18"/>
                <w:vertAlign w:val="superscript"/>
                <w:lang w:val="fr-FR" w:eastAsia="en-GB"/>
              </w:rPr>
              <w:t>er</w:t>
            </w:r>
            <w:r w:rsidRPr="00106460">
              <w:rPr>
                <w:noProof/>
                <w:sz w:val="18"/>
                <w:szCs w:val="18"/>
                <w:lang w:val="fr-FR" w:eastAsia="en-GB"/>
              </w:rPr>
              <w:t> septembre 2015</w:t>
            </w:r>
            <w:r w:rsidRPr="00106460">
              <w:rPr>
                <w:i/>
                <w:noProof/>
                <w:sz w:val="18"/>
                <w:szCs w:val="18"/>
                <w:vertAlign w:val="superscript"/>
                <w:lang w:val="fr-FR" w:eastAsia="en-GB"/>
              </w:rPr>
              <w:t>9</w:t>
            </w:r>
          </w:p>
          <w:p w:rsidR="00106460" w:rsidRPr="00106460" w:rsidRDefault="00106460" w:rsidP="00106460">
            <w:pPr>
              <w:suppressAutoHyphens w:val="0"/>
              <w:kinsoku w:val="0"/>
              <w:overflowPunct w:val="0"/>
              <w:autoSpaceDE w:val="0"/>
              <w:autoSpaceDN w:val="0"/>
              <w:adjustRightInd w:val="0"/>
              <w:snapToGrid w:val="0"/>
              <w:spacing w:before="40" w:after="40" w:line="220" w:lineRule="atLeast"/>
              <w:ind w:left="57" w:right="57"/>
              <w:jc w:val="center"/>
              <w:rPr>
                <w:noProof/>
                <w:sz w:val="18"/>
                <w:szCs w:val="18"/>
                <w:lang w:eastAsia="en-GB"/>
              </w:rPr>
            </w:pPr>
            <w:r w:rsidRPr="00106460">
              <w:rPr>
                <w:noProof/>
                <w:sz w:val="18"/>
                <w:szCs w:val="18"/>
                <w:lang w:val="fr-FR" w:eastAsia="en-GB"/>
              </w:rPr>
              <w:t>31 décembre 2016</w:t>
            </w:r>
            <w:r w:rsidRPr="00106460">
              <w:rPr>
                <w:i/>
                <w:noProof/>
                <w:sz w:val="18"/>
                <w:szCs w:val="18"/>
                <w:vertAlign w:val="superscript"/>
                <w:lang w:val="fr-FR" w:eastAsia="en-GB"/>
              </w:rPr>
              <w:t>10</w:t>
            </w:r>
          </w:p>
        </w:tc>
      </w:tr>
      <w:tr w:rsidR="00106460" w:rsidRPr="00106460" w:rsidTr="00EE1EA2">
        <w:tc>
          <w:tcPr>
            <w:tcW w:w="569" w:type="dxa"/>
            <w:tcBorders>
              <w:bottom w:val="single" w:sz="4" w:space="0" w:color="auto"/>
            </w:tcBorders>
            <w:vAlign w:val="center"/>
          </w:tcPr>
          <w:p w:rsidR="00106460" w:rsidRPr="00106460" w:rsidRDefault="00106460" w:rsidP="00106460">
            <w:pPr>
              <w:suppressAutoHyphens w:val="0"/>
              <w:kinsoku w:val="0"/>
              <w:overflowPunct w:val="0"/>
              <w:autoSpaceDE w:val="0"/>
              <w:autoSpaceDN w:val="0"/>
              <w:adjustRightInd w:val="0"/>
              <w:snapToGrid w:val="0"/>
              <w:spacing w:before="40" w:after="40" w:line="220" w:lineRule="atLeast"/>
              <w:ind w:left="57" w:right="57"/>
              <w:jc w:val="center"/>
              <w:rPr>
                <w:noProof/>
                <w:sz w:val="18"/>
                <w:szCs w:val="18"/>
                <w:lang w:eastAsia="en-GB"/>
              </w:rPr>
            </w:pPr>
            <w:r w:rsidRPr="00106460">
              <w:rPr>
                <w:noProof/>
                <w:sz w:val="18"/>
                <w:szCs w:val="18"/>
                <w:lang w:eastAsia="en-GB"/>
              </w:rPr>
              <w:t>B</w:t>
            </w:r>
            <w:r w:rsidRPr="00106460">
              <w:rPr>
                <w:i/>
                <w:noProof/>
                <w:sz w:val="16"/>
                <w:szCs w:val="16"/>
                <w:vertAlign w:val="superscript"/>
                <w:lang w:eastAsia="en-GB"/>
              </w:rPr>
              <w:t>11</w:t>
            </w:r>
          </w:p>
        </w:tc>
        <w:tc>
          <w:tcPr>
            <w:tcW w:w="1749" w:type="dxa"/>
            <w:tcBorders>
              <w:bottom w:val="single" w:sz="4" w:space="0" w:color="auto"/>
            </w:tcBorders>
            <w:vAlign w:val="center"/>
          </w:tcPr>
          <w:p w:rsidR="00106460" w:rsidRPr="00106460" w:rsidRDefault="00106460" w:rsidP="00106460">
            <w:pPr>
              <w:suppressAutoHyphens w:val="0"/>
              <w:kinsoku w:val="0"/>
              <w:overflowPunct w:val="0"/>
              <w:autoSpaceDE w:val="0"/>
              <w:autoSpaceDN w:val="0"/>
              <w:adjustRightInd w:val="0"/>
              <w:snapToGrid w:val="0"/>
              <w:spacing w:before="40" w:after="40" w:line="220" w:lineRule="atLeast"/>
              <w:ind w:left="57" w:right="57"/>
              <w:jc w:val="center"/>
              <w:rPr>
                <w:noProof/>
                <w:sz w:val="18"/>
                <w:szCs w:val="18"/>
                <w:lang w:eastAsia="en-GB"/>
              </w:rPr>
            </w:pPr>
            <w:r w:rsidRPr="00106460">
              <w:rPr>
                <w:noProof/>
                <w:sz w:val="18"/>
                <w:szCs w:val="18"/>
                <w:lang w:val="fr-FR" w:eastAsia="en-GB"/>
              </w:rPr>
              <w:t>Ligne “Phase transitoire” des tableaux 1 et 2 de l’annexe 9A</w:t>
            </w:r>
          </w:p>
        </w:tc>
        <w:tc>
          <w:tcPr>
            <w:tcW w:w="1656" w:type="dxa"/>
            <w:tcBorders>
              <w:bottom w:val="single" w:sz="4" w:space="0" w:color="auto"/>
            </w:tcBorders>
            <w:vAlign w:val="center"/>
          </w:tcPr>
          <w:p w:rsidR="00106460" w:rsidRPr="00106460" w:rsidRDefault="00106460" w:rsidP="00106460">
            <w:pPr>
              <w:suppressAutoHyphens w:val="0"/>
              <w:kinsoku w:val="0"/>
              <w:overflowPunct w:val="0"/>
              <w:autoSpaceDE w:val="0"/>
              <w:autoSpaceDN w:val="0"/>
              <w:adjustRightInd w:val="0"/>
              <w:snapToGrid w:val="0"/>
              <w:spacing w:before="40" w:after="40" w:line="220" w:lineRule="atLeast"/>
              <w:ind w:left="57" w:right="57"/>
              <w:jc w:val="center"/>
              <w:rPr>
                <w:noProof/>
                <w:sz w:val="18"/>
                <w:szCs w:val="18"/>
                <w:lang w:eastAsia="en-GB"/>
              </w:rPr>
            </w:pPr>
            <w:r w:rsidRPr="00106460">
              <w:rPr>
                <w:noProof/>
                <w:sz w:val="18"/>
                <w:szCs w:val="18"/>
                <w:lang w:val="fr-FR" w:eastAsia="en-GB"/>
              </w:rPr>
              <w:t>Sans objet</w:t>
            </w:r>
          </w:p>
        </w:tc>
        <w:tc>
          <w:tcPr>
            <w:tcW w:w="1648" w:type="dxa"/>
            <w:tcBorders>
              <w:bottom w:val="single" w:sz="4" w:space="0" w:color="auto"/>
            </w:tcBorders>
            <w:vAlign w:val="center"/>
          </w:tcPr>
          <w:p w:rsidR="00106460" w:rsidRPr="00106460" w:rsidRDefault="00106460" w:rsidP="00106460">
            <w:pPr>
              <w:suppressAutoHyphens w:val="0"/>
              <w:kinsoku w:val="0"/>
              <w:overflowPunct w:val="0"/>
              <w:autoSpaceDE w:val="0"/>
              <w:autoSpaceDN w:val="0"/>
              <w:adjustRightInd w:val="0"/>
              <w:snapToGrid w:val="0"/>
              <w:spacing w:before="40" w:after="40" w:line="220" w:lineRule="atLeast"/>
              <w:ind w:left="57" w:right="57"/>
              <w:jc w:val="center"/>
              <w:rPr>
                <w:noProof/>
                <w:sz w:val="18"/>
                <w:szCs w:val="18"/>
                <w:lang w:eastAsia="en-GB"/>
              </w:rPr>
            </w:pPr>
            <w:r w:rsidRPr="00106460">
              <w:rPr>
                <w:noProof/>
                <w:sz w:val="18"/>
                <w:szCs w:val="18"/>
                <w:lang w:val="fr-FR" w:eastAsia="en-GB"/>
              </w:rPr>
              <w:t>Ligne “Phase transitoire” du tableau 2 de l’annexe 9A</w:t>
            </w:r>
          </w:p>
        </w:tc>
        <w:tc>
          <w:tcPr>
            <w:tcW w:w="1077" w:type="dxa"/>
            <w:tcBorders>
              <w:bottom w:val="single" w:sz="4" w:space="0" w:color="auto"/>
            </w:tcBorders>
            <w:vAlign w:val="center"/>
          </w:tcPr>
          <w:p w:rsidR="00106460" w:rsidRPr="00106460" w:rsidRDefault="00106460" w:rsidP="00106460">
            <w:pPr>
              <w:suppressAutoHyphens w:val="0"/>
              <w:kinsoku w:val="0"/>
              <w:overflowPunct w:val="0"/>
              <w:autoSpaceDE w:val="0"/>
              <w:autoSpaceDN w:val="0"/>
              <w:adjustRightInd w:val="0"/>
              <w:snapToGrid w:val="0"/>
              <w:spacing w:before="40" w:after="40" w:line="220" w:lineRule="atLeast"/>
              <w:ind w:left="57" w:right="57"/>
              <w:jc w:val="center"/>
              <w:rPr>
                <w:noProof/>
                <w:sz w:val="18"/>
                <w:szCs w:val="18"/>
                <w:lang w:eastAsia="en-GB"/>
              </w:rPr>
            </w:pPr>
            <w:r w:rsidRPr="00106460">
              <w:rPr>
                <w:noProof/>
                <w:sz w:val="18"/>
                <w:szCs w:val="18"/>
                <w:lang w:val="fr-FR" w:eastAsia="en-GB"/>
              </w:rPr>
              <w:t>Sans objet</w:t>
            </w:r>
          </w:p>
        </w:tc>
        <w:tc>
          <w:tcPr>
            <w:tcW w:w="1069" w:type="dxa"/>
            <w:tcBorders>
              <w:bottom w:val="single" w:sz="4" w:space="0" w:color="auto"/>
            </w:tcBorders>
            <w:vAlign w:val="center"/>
          </w:tcPr>
          <w:p w:rsidR="00106460" w:rsidRPr="00106460" w:rsidRDefault="00106460" w:rsidP="00106460">
            <w:pPr>
              <w:suppressAutoHyphens w:val="0"/>
              <w:kinsoku w:val="0"/>
              <w:overflowPunct w:val="0"/>
              <w:autoSpaceDE w:val="0"/>
              <w:autoSpaceDN w:val="0"/>
              <w:adjustRightInd w:val="0"/>
              <w:snapToGrid w:val="0"/>
              <w:spacing w:before="40" w:after="40" w:line="220" w:lineRule="atLeast"/>
              <w:ind w:left="57" w:right="57"/>
              <w:jc w:val="center"/>
              <w:rPr>
                <w:noProof/>
                <w:sz w:val="18"/>
                <w:szCs w:val="18"/>
                <w:lang w:val="fr-FR" w:eastAsia="en-GB"/>
              </w:rPr>
            </w:pPr>
            <w:r w:rsidRPr="00106460">
              <w:rPr>
                <w:noProof/>
                <w:sz w:val="18"/>
                <w:szCs w:val="18"/>
                <w:lang w:val="fr-FR" w:eastAsia="en-GB"/>
              </w:rPr>
              <w:t>Phase transitoire</w:t>
            </w:r>
            <w:r w:rsidRPr="00106460">
              <w:rPr>
                <w:i/>
                <w:noProof/>
                <w:sz w:val="18"/>
                <w:szCs w:val="18"/>
                <w:vertAlign w:val="superscript"/>
                <w:lang w:val="fr-FR" w:eastAsia="en-GB"/>
              </w:rPr>
              <w:t>4</w:t>
            </w:r>
          </w:p>
        </w:tc>
        <w:tc>
          <w:tcPr>
            <w:tcW w:w="1285" w:type="dxa"/>
            <w:tcBorders>
              <w:bottom w:val="single" w:sz="4" w:space="0" w:color="auto"/>
            </w:tcBorders>
            <w:vAlign w:val="center"/>
          </w:tcPr>
          <w:p w:rsidR="00106460" w:rsidRPr="00106460" w:rsidRDefault="00106460" w:rsidP="00106460">
            <w:pPr>
              <w:suppressAutoHyphens w:val="0"/>
              <w:kinsoku w:val="0"/>
              <w:overflowPunct w:val="0"/>
              <w:autoSpaceDE w:val="0"/>
              <w:autoSpaceDN w:val="0"/>
              <w:adjustRightInd w:val="0"/>
              <w:snapToGrid w:val="0"/>
              <w:spacing w:before="40" w:after="40" w:line="220" w:lineRule="atLeast"/>
              <w:ind w:left="57" w:right="57"/>
              <w:jc w:val="center"/>
              <w:rPr>
                <w:noProof/>
                <w:sz w:val="18"/>
                <w:szCs w:val="18"/>
                <w:lang w:eastAsia="en-GB"/>
              </w:rPr>
            </w:pPr>
            <w:r w:rsidRPr="00106460">
              <w:rPr>
                <w:noProof/>
                <w:sz w:val="18"/>
                <w:szCs w:val="18"/>
                <w:lang w:val="fr-FR" w:eastAsia="en-GB"/>
              </w:rPr>
              <w:t>Sans objet</w:t>
            </w:r>
          </w:p>
        </w:tc>
        <w:tc>
          <w:tcPr>
            <w:tcW w:w="1713" w:type="dxa"/>
            <w:tcBorders>
              <w:bottom w:val="single" w:sz="4" w:space="0" w:color="auto"/>
            </w:tcBorders>
            <w:vAlign w:val="center"/>
          </w:tcPr>
          <w:p w:rsidR="00106460" w:rsidRPr="00106460" w:rsidRDefault="00106460" w:rsidP="00106460">
            <w:pPr>
              <w:suppressAutoHyphens w:val="0"/>
              <w:kinsoku w:val="0"/>
              <w:overflowPunct w:val="0"/>
              <w:autoSpaceDE w:val="0"/>
              <w:autoSpaceDN w:val="0"/>
              <w:adjustRightInd w:val="0"/>
              <w:snapToGrid w:val="0"/>
              <w:spacing w:before="40" w:after="40" w:line="220" w:lineRule="atLeast"/>
              <w:ind w:left="57" w:right="57"/>
              <w:jc w:val="center"/>
              <w:rPr>
                <w:noProof/>
                <w:sz w:val="18"/>
                <w:szCs w:val="18"/>
                <w:lang w:eastAsia="en-GB"/>
              </w:rPr>
            </w:pPr>
            <w:r w:rsidRPr="00106460">
              <w:rPr>
                <w:noProof/>
                <w:sz w:val="18"/>
                <w:szCs w:val="18"/>
                <w:lang w:val="fr-FR" w:eastAsia="en-GB"/>
              </w:rPr>
              <w:t>1</w:t>
            </w:r>
            <w:r w:rsidRPr="00106460">
              <w:rPr>
                <w:noProof/>
                <w:sz w:val="18"/>
                <w:szCs w:val="18"/>
                <w:vertAlign w:val="superscript"/>
                <w:lang w:val="fr-FR" w:eastAsia="en-GB"/>
              </w:rPr>
              <w:t>er</w:t>
            </w:r>
            <w:r w:rsidRPr="00106460">
              <w:rPr>
                <w:noProof/>
                <w:sz w:val="18"/>
                <w:szCs w:val="18"/>
                <w:lang w:val="fr-FR" w:eastAsia="en-GB"/>
              </w:rPr>
              <w:t xml:space="preserve"> septembre </w:t>
            </w:r>
            <w:r w:rsidRPr="00106460">
              <w:rPr>
                <w:noProof/>
                <w:sz w:val="18"/>
                <w:szCs w:val="18"/>
                <w:lang w:eastAsia="en-GB"/>
              </w:rPr>
              <w:t>2014</w:t>
            </w:r>
          </w:p>
        </w:tc>
        <w:tc>
          <w:tcPr>
            <w:tcW w:w="1827" w:type="dxa"/>
            <w:tcBorders>
              <w:bottom w:val="single" w:sz="4" w:space="0" w:color="auto"/>
            </w:tcBorders>
            <w:vAlign w:val="center"/>
          </w:tcPr>
          <w:p w:rsidR="00106460" w:rsidRPr="00106460" w:rsidRDefault="00106460" w:rsidP="00106460">
            <w:pPr>
              <w:suppressAutoHyphens w:val="0"/>
              <w:kinsoku w:val="0"/>
              <w:overflowPunct w:val="0"/>
              <w:autoSpaceDE w:val="0"/>
              <w:autoSpaceDN w:val="0"/>
              <w:adjustRightInd w:val="0"/>
              <w:snapToGrid w:val="0"/>
              <w:spacing w:before="40" w:after="40" w:line="220" w:lineRule="atLeast"/>
              <w:ind w:left="57" w:right="57"/>
              <w:jc w:val="center"/>
              <w:rPr>
                <w:noProof/>
                <w:sz w:val="18"/>
                <w:szCs w:val="18"/>
                <w:lang w:eastAsia="en-GB"/>
              </w:rPr>
            </w:pPr>
            <w:r w:rsidRPr="00106460">
              <w:rPr>
                <w:noProof/>
                <w:sz w:val="18"/>
                <w:szCs w:val="18"/>
                <w:lang w:val="fr-FR" w:eastAsia="en-GB"/>
              </w:rPr>
              <w:t xml:space="preserve">31 décembre </w:t>
            </w:r>
            <w:r w:rsidRPr="00106460">
              <w:rPr>
                <w:noProof/>
                <w:sz w:val="18"/>
                <w:szCs w:val="18"/>
                <w:lang w:eastAsia="en-GB"/>
              </w:rPr>
              <w:t>2016</w:t>
            </w:r>
          </w:p>
        </w:tc>
      </w:tr>
      <w:tr w:rsidR="00106460" w:rsidRPr="00106460" w:rsidTr="00EE1EA2">
        <w:tc>
          <w:tcPr>
            <w:tcW w:w="569" w:type="dxa"/>
            <w:tcBorders>
              <w:bottom w:val="single" w:sz="4" w:space="0" w:color="auto"/>
            </w:tcBorders>
            <w:vAlign w:val="center"/>
          </w:tcPr>
          <w:p w:rsidR="00106460" w:rsidRPr="00106460" w:rsidRDefault="00106460" w:rsidP="00106460">
            <w:pPr>
              <w:suppressAutoHyphens w:val="0"/>
              <w:kinsoku w:val="0"/>
              <w:overflowPunct w:val="0"/>
              <w:autoSpaceDE w:val="0"/>
              <w:autoSpaceDN w:val="0"/>
              <w:adjustRightInd w:val="0"/>
              <w:snapToGrid w:val="0"/>
              <w:spacing w:before="40" w:after="40" w:line="220" w:lineRule="atLeast"/>
              <w:ind w:left="57" w:right="57"/>
              <w:jc w:val="center"/>
              <w:rPr>
                <w:noProof/>
                <w:sz w:val="18"/>
                <w:szCs w:val="18"/>
                <w:lang w:eastAsia="en-GB"/>
              </w:rPr>
            </w:pPr>
            <w:r w:rsidRPr="00106460">
              <w:rPr>
                <w:noProof/>
                <w:sz w:val="18"/>
                <w:szCs w:val="18"/>
                <w:lang w:eastAsia="en-GB"/>
              </w:rPr>
              <w:t>C</w:t>
            </w:r>
          </w:p>
        </w:tc>
        <w:tc>
          <w:tcPr>
            <w:tcW w:w="1749" w:type="dxa"/>
            <w:tcBorders>
              <w:bottom w:val="single" w:sz="4" w:space="0" w:color="auto"/>
            </w:tcBorders>
            <w:vAlign w:val="center"/>
          </w:tcPr>
          <w:p w:rsidR="00106460" w:rsidRPr="00106460" w:rsidRDefault="00106460" w:rsidP="00106460">
            <w:pPr>
              <w:suppressAutoHyphens w:val="0"/>
              <w:kinsoku w:val="0"/>
              <w:overflowPunct w:val="0"/>
              <w:autoSpaceDE w:val="0"/>
              <w:autoSpaceDN w:val="0"/>
              <w:adjustRightInd w:val="0"/>
              <w:snapToGrid w:val="0"/>
              <w:spacing w:before="40" w:after="40" w:line="220" w:lineRule="atLeast"/>
              <w:ind w:left="57" w:right="57"/>
              <w:jc w:val="center"/>
              <w:rPr>
                <w:noProof/>
                <w:sz w:val="18"/>
                <w:szCs w:val="18"/>
                <w:lang w:eastAsia="en-GB"/>
              </w:rPr>
            </w:pPr>
            <w:r w:rsidRPr="00106460">
              <w:rPr>
                <w:noProof/>
                <w:sz w:val="18"/>
                <w:szCs w:val="18"/>
                <w:lang w:val="fr-FR" w:eastAsia="en-GB"/>
              </w:rPr>
              <w:t>Ligne “Prescriptions générales” des tableaux 1 et 2 de l’annexe 9A</w:t>
            </w:r>
          </w:p>
        </w:tc>
        <w:tc>
          <w:tcPr>
            <w:tcW w:w="1656" w:type="dxa"/>
            <w:tcBorders>
              <w:bottom w:val="single" w:sz="4" w:space="0" w:color="auto"/>
            </w:tcBorders>
            <w:vAlign w:val="center"/>
          </w:tcPr>
          <w:p w:rsidR="00106460" w:rsidRPr="00106460" w:rsidRDefault="00106460" w:rsidP="00106460">
            <w:pPr>
              <w:suppressAutoHyphens w:val="0"/>
              <w:kinsoku w:val="0"/>
              <w:overflowPunct w:val="0"/>
              <w:autoSpaceDE w:val="0"/>
              <w:autoSpaceDN w:val="0"/>
              <w:adjustRightInd w:val="0"/>
              <w:snapToGrid w:val="0"/>
              <w:spacing w:before="40" w:after="40" w:line="220" w:lineRule="atLeast"/>
              <w:ind w:left="57" w:right="57"/>
              <w:jc w:val="center"/>
              <w:rPr>
                <w:noProof/>
                <w:sz w:val="18"/>
                <w:szCs w:val="18"/>
                <w:lang w:eastAsia="en-GB"/>
              </w:rPr>
            </w:pPr>
            <w:r w:rsidRPr="00106460">
              <w:rPr>
                <w:noProof/>
                <w:sz w:val="18"/>
                <w:szCs w:val="18"/>
                <w:lang w:val="fr-FR" w:eastAsia="en-GB"/>
              </w:rPr>
              <w:t>Ligne “Prescriptions générales” du tableau 1 de l’annexe 9A</w:t>
            </w:r>
          </w:p>
        </w:tc>
        <w:tc>
          <w:tcPr>
            <w:tcW w:w="1648" w:type="dxa"/>
            <w:tcBorders>
              <w:bottom w:val="single" w:sz="4" w:space="0" w:color="auto"/>
            </w:tcBorders>
            <w:vAlign w:val="center"/>
          </w:tcPr>
          <w:p w:rsidR="00106460" w:rsidRPr="00106460" w:rsidRDefault="00106460" w:rsidP="00106460">
            <w:pPr>
              <w:suppressAutoHyphens w:val="0"/>
              <w:kinsoku w:val="0"/>
              <w:overflowPunct w:val="0"/>
              <w:autoSpaceDE w:val="0"/>
              <w:autoSpaceDN w:val="0"/>
              <w:adjustRightInd w:val="0"/>
              <w:snapToGrid w:val="0"/>
              <w:spacing w:before="40" w:after="40" w:line="220" w:lineRule="atLeast"/>
              <w:ind w:left="57" w:right="57"/>
              <w:jc w:val="center"/>
              <w:rPr>
                <w:noProof/>
                <w:sz w:val="18"/>
                <w:szCs w:val="18"/>
                <w:lang w:eastAsia="en-GB"/>
              </w:rPr>
            </w:pPr>
            <w:r w:rsidRPr="00106460">
              <w:rPr>
                <w:noProof/>
                <w:sz w:val="18"/>
                <w:szCs w:val="18"/>
                <w:lang w:val="fr-FR" w:eastAsia="en-GB"/>
              </w:rPr>
              <w:t>Ligne “Prescriptions générales” du tableau 2 de l’annexe 9A</w:t>
            </w:r>
          </w:p>
        </w:tc>
        <w:tc>
          <w:tcPr>
            <w:tcW w:w="1077" w:type="dxa"/>
            <w:tcBorders>
              <w:bottom w:val="single" w:sz="4" w:space="0" w:color="auto"/>
            </w:tcBorders>
            <w:vAlign w:val="center"/>
          </w:tcPr>
          <w:p w:rsidR="00106460" w:rsidRPr="00106460" w:rsidRDefault="00106460" w:rsidP="00106460">
            <w:pPr>
              <w:suppressAutoHyphens w:val="0"/>
              <w:kinsoku w:val="0"/>
              <w:overflowPunct w:val="0"/>
              <w:autoSpaceDE w:val="0"/>
              <w:autoSpaceDN w:val="0"/>
              <w:adjustRightInd w:val="0"/>
              <w:snapToGrid w:val="0"/>
              <w:spacing w:before="40" w:after="40" w:line="220" w:lineRule="atLeast"/>
              <w:ind w:left="57" w:right="57"/>
              <w:jc w:val="center"/>
              <w:rPr>
                <w:noProof/>
                <w:sz w:val="18"/>
                <w:szCs w:val="18"/>
                <w:lang w:eastAsia="en-GB"/>
              </w:rPr>
            </w:pPr>
            <w:r w:rsidRPr="00106460">
              <w:rPr>
                <w:noProof/>
                <w:sz w:val="18"/>
                <w:szCs w:val="18"/>
                <w:lang w:val="fr-FR" w:eastAsia="en-GB"/>
              </w:rPr>
              <w:t>Prescriptions générales</w:t>
            </w:r>
            <w:r w:rsidRPr="00106460">
              <w:rPr>
                <w:i/>
                <w:noProof/>
                <w:sz w:val="16"/>
                <w:szCs w:val="16"/>
                <w:vertAlign w:val="superscript"/>
                <w:lang w:eastAsia="en-GB"/>
              </w:rPr>
              <w:t>8</w:t>
            </w:r>
          </w:p>
        </w:tc>
        <w:tc>
          <w:tcPr>
            <w:tcW w:w="1069" w:type="dxa"/>
            <w:tcBorders>
              <w:bottom w:val="single" w:sz="4" w:space="0" w:color="auto"/>
            </w:tcBorders>
            <w:vAlign w:val="center"/>
          </w:tcPr>
          <w:p w:rsidR="00106460" w:rsidRPr="00106460" w:rsidRDefault="00106460" w:rsidP="00106460">
            <w:pPr>
              <w:suppressAutoHyphens w:val="0"/>
              <w:kinsoku w:val="0"/>
              <w:overflowPunct w:val="0"/>
              <w:autoSpaceDE w:val="0"/>
              <w:autoSpaceDN w:val="0"/>
              <w:adjustRightInd w:val="0"/>
              <w:snapToGrid w:val="0"/>
              <w:spacing w:before="40" w:after="40" w:line="220" w:lineRule="atLeast"/>
              <w:ind w:left="57" w:right="57"/>
              <w:jc w:val="center"/>
              <w:rPr>
                <w:noProof/>
                <w:sz w:val="18"/>
                <w:szCs w:val="18"/>
                <w:vertAlign w:val="superscript"/>
                <w:lang w:eastAsia="en-GB"/>
              </w:rPr>
            </w:pPr>
            <w:r w:rsidRPr="00106460">
              <w:rPr>
                <w:noProof/>
                <w:sz w:val="18"/>
                <w:szCs w:val="18"/>
                <w:lang w:val="fr-FR" w:eastAsia="en-GB"/>
              </w:rPr>
              <w:t>Prescriptions générales</w:t>
            </w:r>
            <w:r w:rsidRPr="00106460">
              <w:rPr>
                <w:i/>
                <w:noProof/>
                <w:sz w:val="16"/>
                <w:szCs w:val="16"/>
                <w:vertAlign w:val="superscript"/>
                <w:lang w:eastAsia="en-GB"/>
              </w:rPr>
              <w:t>5</w:t>
            </w:r>
          </w:p>
        </w:tc>
        <w:tc>
          <w:tcPr>
            <w:tcW w:w="1285" w:type="dxa"/>
            <w:tcBorders>
              <w:bottom w:val="single" w:sz="4" w:space="0" w:color="auto"/>
            </w:tcBorders>
            <w:vAlign w:val="center"/>
          </w:tcPr>
          <w:p w:rsidR="00106460" w:rsidRPr="00106460" w:rsidRDefault="00106460" w:rsidP="00106460">
            <w:pPr>
              <w:suppressAutoHyphens w:val="0"/>
              <w:kinsoku w:val="0"/>
              <w:overflowPunct w:val="0"/>
              <w:autoSpaceDE w:val="0"/>
              <w:autoSpaceDN w:val="0"/>
              <w:adjustRightInd w:val="0"/>
              <w:snapToGrid w:val="0"/>
              <w:spacing w:before="40" w:after="40" w:line="220" w:lineRule="atLeast"/>
              <w:ind w:left="57" w:right="57"/>
              <w:jc w:val="center"/>
              <w:rPr>
                <w:noProof/>
                <w:sz w:val="18"/>
                <w:szCs w:val="18"/>
                <w:lang w:eastAsia="en-GB"/>
              </w:rPr>
            </w:pPr>
            <w:r w:rsidRPr="00106460">
              <w:rPr>
                <w:noProof/>
                <w:sz w:val="18"/>
                <w:szCs w:val="18"/>
                <w:lang w:eastAsia="en-GB"/>
              </w:rPr>
              <w:t>Oui</w:t>
            </w:r>
          </w:p>
        </w:tc>
        <w:tc>
          <w:tcPr>
            <w:tcW w:w="1713" w:type="dxa"/>
            <w:tcBorders>
              <w:bottom w:val="single" w:sz="4" w:space="0" w:color="auto"/>
            </w:tcBorders>
            <w:vAlign w:val="center"/>
          </w:tcPr>
          <w:p w:rsidR="00106460" w:rsidRPr="00106460" w:rsidRDefault="00106460" w:rsidP="00106460">
            <w:pPr>
              <w:suppressAutoHyphens w:val="0"/>
              <w:kinsoku w:val="0"/>
              <w:overflowPunct w:val="0"/>
              <w:autoSpaceDE w:val="0"/>
              <w:autoSpaceDN w:val="0"/>
              <w:adjustRightInd w:val="0"/>
              <w:snapToGrid w:val="0"/>
              <w:spacing w:before="40" w:after="40" w:line="220" w:lineRule="atLeast"/>
              <w:ind w:left="57" w:right="57"/>
              <w:jc w:val="center"/>
              <w:rPr>
                <w:noProof/>
                <w:sz w:val="18"/>
                <w:szCs w:val="18"/>
                <w:lang w:eastAsia="en-GB"/>
              </w:rPr>
            </w:pPr>
            <w:r w:rsidRPr="00106460">
              <w:rPr>
                <w:noProof/>
                <w:sz w:val="18"/>
                <w:szCs w:val="18"/>
                <w:lang w:val="fr-FR" w:eastAsia="en-GB"/>
              </w:rPr>
              <w:t xml:space="preserve">31 décembre </w:t>
            </w:r>
            <w:r w:rsidRPr="00106460">
              <w:rPr>
                <w:noProof/>
                <w:sz w:val="18"/>
                <w:szCs w:val="18"/>
                <w:lang w:eastAsia="en-GB"/>
              </w:rPr>
              <w:t>2015</w:t>
            </w:r>
          </w:p>
        </w:tc>
        <w:tc>
          <w:tcPr>
            <w:tcW w:w="1827" w:type="dxa"/>
            <w:tcBorders>
              <w:bottom w:val="single" w:sz="4" w:space="0" w:color="auto"/>
            </w:tcBorders>
            <w:vAlign w:val="center"/>
          </w:tcPr>
          <w:p w:rsidR="00106460" w:rsidRPr="00106460" w:rsidRDefault="00106460" w:rsidP="00106460">
            <w:pPr>
              <w:suppressAutoHyphens w:val="0"/>
              <w:kinsoku w:val="0"/>
              <w:overflowPunct w:val="0"/>
              <w:autoSpaceDE w:val="0"/>
              <w:autoSpaceDN w:val="0"/>
              <w:adjustRightInd w:val="0"/>
              <w:snapToGrid w:val="0"/>
              <w:spacing w:before="40" w:after="40" w:line="220" w:lineRule="atLeast"/>
              <w:ind w:left="57" w:right="57"/>
              <w:jc w:val="center"/>
              <w:rPr>
                <w:noProof/>
                <w:sz w:val="18"/>
                <w:szCs w:val="18"/>
                <w:lang w:eastAsia="en-GB"/>
              </w:rPr>
            </w:pPr>
          </w:p>
        </w:tc>
      </w:tr>
    </w:tbl>
    <w:p w:rsidR="00106460" w:rsidRPr="00106460" w:rsidRDefault="00106460" w:rsidP="00106460">
      <w:pPr>
        <w:kinsoku w:val="0"/>
        <w:overflowPunct w:val="0"/>
        <w:autoSpaceDE w:val="0"/>
        <w:autoSpaceDN w:val="0"/>
        <w:adjustRightInd w:val="0"/>
        <w:snapToGrid w:val="0"/>
        <w:spacing w:before="120"/>
        <w:ind w:left="284"/>
        <w:rPr>
          <w:sz w:val="18"/>
          <w:szCs w:val="18"/>
        </w:rPr>
      </w:pPr>
      <w:r w:rsidRPr="00106460">
        <w:rPr>
          <w:i/>
          <w:sz w:val="18"/>
          <w:szCs w:val="18"/>
        </w:rPr>
        <w:t>Notes</w:t>
      </w:r>
      <w:r w:rsidRPr="00106460">
        <w:rPr>
          <w:sz w:val="18"/>
          <w:szCs w:val="18"/>
        </w:rPr>
        <w:t>:</w:t>
      </w:r>
    </w:p>
    <w:p w:rsidR="00106460" w:rsidRPr="00106460" w:rsidRDefault="00106460" w:rsidP="00106460">
      <w:pPr>
        <w:kinsoku w:val="0"/>
        <w:overflowPunct w:val="0"/>
        <w:autoSpaceDE w:val="0"/>
        <w:autoSpaceDN w:val="0"/>
        <w:adjustRightInd w:val="0"/>
        <w:snapToGrid w:val="0"/>
        <w:ind w:left="568" w:hanging="284"/>
        <w:rPr>
          <w:sz w:val="18"/>
          <w:szCs w:val="18"/>
        </w:rPr>
      </w:pPr>
      <w:r w:rsidRPr="00106460">
        <w:rPr>
          <w:i/>
          <w:sz w:val="18"/>
          <w:szCs w:val="18"/>
          <w:vertAlign w:val="superscript"/>
        </w:rPr>
        <w:t>1</w:t>
      </w:r>
      <w:r w:rsidRPr="00106460">
        <w:rPr>
          <w:sz w:val="18"/>
          <w:szCs w:val="18"/>
        </w:rPr>
        <w:tab/>
      </w:r>
      <w:r w:rsidRPr="00106460">
        <w:rPr>
          <w:sz w:val="18"/>
          <w:szCs w:val="18"/>
          <w:lang w:val="fr-FR"/>
        </w:rPr>
        <w:t>Prescriptions de surveillance des valeurs limites OBD pour les oxydes d’azote, telles qu’énoncées dans le tableau 1 de l’annexe 9A pour les moteurs et véhicules à allumage par compression et bicarburant et au tableau 2 de l’annexe 9A pour les moteurs et véhicules à allumage commandé</w:t>
      </w:r>
      <w:r w:rsidRPr="00106460">
        <w:rPr>
          <w:sz w:val="18"/>
          <w:szCs w:val="18"/>
        </w:rPr>
        <w:t>.</w:t>
      </w:r>
    </w:p>
    <w:p w:rsidR="00106460" w:rsidRPr="00106460" w:rsidRDefault="00106460" w:rsidP="00106460">
      <w:pPr>
        <w:kinsoku w:val="0"/>
        <w:overflowPunct w:val="0"/>
        <w:autoSpaceDE w:val="0"/>
        <w:autoSpaceDN w:val="0"/>
        <w:adjustRightInd w:val="0"/>
        <w:snapToGrid w:val="0"/>
        <w:ind w:left="568" w:hanging="284"/>
        <w:rPr>
          <w:sz w:val="18"/>
          <w:szCs w:val="18"/>
        </w:rPr>
      </w:pPr>
      <w:r w:rsidRPr="00106460">
        <w:rPr>
          <w:i/>
          <w:sz w:val="18"/>
          <w:szCs w:val="18"/>
          <w:vertAlign w:val="superscript"/>
        </w:rPr>
        <w:t>2</w:t>
      </w:r>
      <w:r w:rsidRPr="00106460">
        <w:rPr>
          <w:sz w:val="18"/>
          <w:szCs w:val="18"/>
        </w:rPr>
        <w:tab/>
      </w:r>
      <w:r w:rsidRPr="00106460">
        <w:rPr>
          <w:sz w:val="18"/>
          <w:szCs w:val="18"/>
          <w:lang w:val="fr-FR"/>
        </w:rPr>
        <w:t>Prescriptions de surveillance des valeurs limites OBD pour les particules, telles qu’énoncées dans le tableau 1 de l’annexe 9A pour les moteurs et véhicules à allumage par compression et bicarburant</w:t>
      </w:r>
      <w:r w:rsidRPr="00106460">
        <w:rPr>
          <w:sz w:val="18"/>
          <w:szCs w:val="18"/>
        </w:rPr>
        <w:t>.</w:t>
      </w:r>
    </w:p>
    <w:p w:rsidR="00106460" w:rsidRPr="00106460" w:rsidRDefault="00106460" w:rsidP="00106460">
      <w:pPr>
        <w:kinsoku w:val="0"/>
        <w:overflowPunct w:val="0"/>
        <w:autoSpaceDE w:val="0"/>
        <w:autoSpaceDN w:val="0"/>
        <w:adjustRightInd w:val="0"/>
        <w:snapToGrid w:val="0"/>
        <w:ind w:left="568" w:hanging="284"/>
        <w:rPr>
          <w:sz w:val="18"/>
          <w:szCs w:val="18"/>
        </w:rPr>
      </w:pPr>
      <w:r w:rsidRPr="00106460">
        <w:rPr>
          <w:i/>
          <w:sz w:val="18"/>
          <w:szCs w:val="18"/>
          <w:vertAlign w:val="superscript"/>
        </w:rPr>
        <w:t>3</w:t>
      </w:r>
      <w:r w:rsidRPr="00106460">
        <w:rPr>
          <w:sz w:val="18"/>
          <w:szCs w:val="18"/>
        </w:rPr>
        <w:tab/>
      </w:r>
      <w:r w:rsidRPr="00106460">
        <w:rPr>
          <w:sz w:val="18"/>
          <w:szCs w:val="18"/>
          <w:lang w:val="fr-FR"/>
        </w:rPr>
        <w:t>Prescriptions de surveillance de l’efficacité, telles qu’énoncées dans le paragraphe 2.3.2.2 de l’annexe 9A</w:t>
      </w:r>
      <w:r w:rsidRPr="00106460">
        <w:rPr>
          <w:sz w:val="18"/>
          <w:szCs w:val="18"/>
        </w:rPr>
        <w:t>.</w:t>
      </w:r>
    </w:p>
    <w:p w:rsidR="00106460" w:rsidRPr="00106460" w:rsidRDefault="00106460" w:rsidP="00106460">
      <w:pPr>
        <w:kinsoku w:val="0"/>
        <w:overflowPunct w:val="0"/>
        <w:autoSpaceDE w:val="0"/>
        <w:autoSpaceDN w:val="0"/>
        <w:adjustRightInd w:val="0"/>
        <w:snapToGrid w:val="0"/>
        <w:ind w:left="568" w:hanging="284"/>
        <w:rPr>
          <w:sz w:val="18"/>
          <w:szCs w:val="18"/>
        </w:rPr>
      </w:pPr>
      <w:r w:rsidRPr="00106460">
        <w:rPr>
          <w:i/>
          <w:sz w:val="18"/>
          <w:szCs w:val="18"/>
          <w:vertAlign w:val="superscript"/>
        </w:rPr>
        <w:t>4</w:t>
      </w:r>
      <w:r w:rsidRPr="00106460">
        <w:rPr>
          <w:sz w:val="18"/>
          <w:szCs w:val="18"/>
        </w:rPr>
        <w:tab/>
      </w:r>
      <w:r w:rsidRPr="00106460">
        <w:rPr>
          <w:sz w:val="18"/>
          <w:szCs w:val="18"/>
          <w:lang w:val="fr-FR"/>
        </w:rPr>
        <w:t>Prescriptions de la phase de transition concernant la qualité du réactif, telles qu’énoncées dans le paragraphe 7.1.1.1 de l’annexe 11</w:t>
      </w:r>
      <w:r w:rsidRPr="00106460">
        <w:rPr>
          <w:sz w:val="18"/>
          <w:szCs w:val="18"/>
        </w:rPr>
        <w:t>.</w:t>
      </w:r>
    </w:p>
    <w:p w:rsidR="00106460" w:rsidRPr="00106460" w:rsidRDefault="00106460" w:rsidP="00106460">
      <w:pPr>
        <w:kinsoku w:val="0"/>
        <w:overflowPunct w:val="0"/>
        <w:autoSpaceDE w:val="0"/>
        <w:autoSpaceDN w:val="0"/>
        <w:adjustRightInd w:val="0"/>
        <w:snapToGrid w:val="0"/>
        <w:ind w:left="568" w:hanging="284"/>
        <w:rPr>
          <w:sz w:val="18"/>
          <w:szCs w:val="18"/>
        </w:rPr>
      </w:pPr>
      <w:r w:rsidRPr="00106460">
        <w:rPr>
          <w:i/>
          <w:sz w:val="18"/>
          <w:szCs w:val="18"/>
          <w:vertAlign w:val="superscript"/>
        </w:rPr>
        <w:t>5</w:t>
      </w:r>
      <w:r w:rsidRPr="00106460">
        <w:rPr>
          <w:sz w:val="18"/>
          <w:szCs w:val="18"/>
        </w:rPr>
        <w:tab/>
      </w:r>
      <w:r w:rsidRPr="00106460">
        <w:rPr>
          <w:sz w:val="18"/>
          <w:szCs w:val="18"/>
          <w:lang w:val="fr-FR"/>
        </w:rPr>
        <w:t>Prescriptions générales concernant la qualité du réactif, telles qu’énoncées dans le paragraphe 7.1.1 de l’annexe 11</w:t>
      </w:r>
      <w:r w:rsidRPr="00106460">
        <w:rPr>
          <w:sz w:val="18"/>
          <w:szCs w:val="18"/>
        </w:rPr>
        <w:t>.</w:t>
      </w:r>
    </w:p>
    <w:p w:rsidR="00106460" w:rsidRPr="00106460" w:rsidRDefault="00106460" w:rsidP="00106460">
      <w:pPr>
        <w:kinsoku w:val="0"/>
        <w:overflowPunct w:val="0"/>
        <w:autoSpaceDE w:val="0"/>
        <w:autoSpaceDN w:val="0"/>
        <w:adjustRightInd w:val="0"/>
        <w:snapToGrid w:val="0"/>
        <w:ind w:left="568" w:hanging="284"/>
        <w:rPr>
          <w:sz w:val="18"/>
          <w:szCs w:val="18"/>
        </w:rPr>
      </w:pPr>
      <w:r w:rsidRPr="00106460">
        <w:rPr>
          <w:i/>
          <w:sz w:val="18"/>
          <w:szCs w:val="18"/>
          <w:vertAlign w:val="superscript"/>
        </w:rPr>
        <w:t>6</w:t>
      </w:r>
      <w:r w:rsidRPr="00106460">
        <w:rPr>
          <w:sz w:val="18"/>
          <w:szCs w:val="18"/>
        </w:rPr>
        <w:tab/>
      </w:r>
      <w:r w:rsidRPr="00106460">
        <w:rPr>
          <w:sz w:val="18"/>
          <w:szCs w:val="18"/>
          <w:lang w:val="fr-FR"/>
        </w:rPr>
        <w:t>Prescriptions de surveillance de surveillance des valeurs limites OBD pour le monoxyde de carbone énoncées dans le tableau 2 de l’annexe 9A pour les moteurs et véhicules à allumage commandé</w:t>
      </w:r>
      <w:r w:rsidRPr="00106460">
        <w:rPr>
          <w:sz w:val="18"/>
          <w:szCs w:val="18"/>
        </w:rPr>
        <w:t>.</w:t>
      </w:r>
    </w:p>
    <w:p w:rsidR="00106460" w:rsidRPr="00106460" w:rsidRDefault="00106460" w:rsidP="00106460">
      <w:pPr>
        <w:kinsoku w:val="0"/>
        <w:overflowPunct w:val="0"/>
        <w:autoSpaceDE w:val="0"/>
        <w:autoSpaceDN w:val="0"/>
        <w:adjustRightInd w:val="0"/>
        <w:snapToGrid w:val="0"/>
        <w:ind w:left="568" w:hanging="284"/>
        <w:rPr>
          <w:sz w:val="18"/>
          <w:szCs w:val="18"/>
        </w:rPr>
      </w:pPr>
      <w:r w:rsidRPr="00106460">
        <w:rPr>
          <w:i/>
          <w:sz w:val="18"/>
          <w:szCs w:val="18"/>
          <w:vertAlign w:val="superscript"/>
        </w:rPr>
        <w:t>7</w:t>
      </w:r>
      <w:r w:rsidRPr="00106460">
        <w:rPr>
          <w:sz w:val="18"/>
          <w:szCs w:val="18"/>
        </w:rPr>
        <w:tab/>
      </w:r>
      <w:r w:rsidRPr="00106460">
        <w:rPr>
          <w:sz w:val="18"/>
          <w:szCs w:val="18"/>
          <w:lang w:val="fr-FR"/>
        </w:rPr>
        <w:t>À l’exception de la déclaration requise au paragraphe 6.4.1 de l’annexe 9A</w:t>
      </w:r>
      <w:r w:rsidRPr="00106460">
        <w:rPr>
          <w:sz w:val="18"/>
          <w:szCs w:val="18"/>
        </w:rPr>
        <w:t>.</w:t>
      </w:r>
    </w:p>
    <w:p w:rsidR="00106460" w:rsidRPr="00106460" w:rsidRDefault="00106460" w:rsidP="00106460">
      <w:pPr>
        <w:kinsoku w:val="0"/>
        <w:overflowPunct w:val="0"/>
        <w:autoSpaceDE w:val="0"/>
        <w:autoSpaceDN w:val="0"/>
        <w:adjustRightInd w:val="0"/>
        <w:snapToGrid w:val="0"/>
        <w:ind w:left="568" w:hanging="284"/>
        <w:rPr>
          <w:sz w:val="18"/>
          <w:szCs w:val="18"/>
        </w:rPr>
      </w:pPr>
      <w:r w:rsidRPr="00106460">
        <w:rPr>
          <w:i/>
          <w:sz w:val="18"/>
          <w:szCs w:val="18"/>
          <w:vertAlign w:val="superscript"/>
        </w:rPr>
        <w:t>8</w:t>
      </w:r>
      <w:r w:rsidRPr="00106460">
        <w:rPr>
          <w:sz w:val="18"/>
          <w:szCs w:val="18"/>
        </w:rPr>
        <w:tab/>
      </w:r>
      <w:r w:rsidRPr="00106460">
        <w:rPr>
          <w:sz w:val="18"/>
          <w:szCs w:val="18"/>
          <w:lang w:val="fr-FR"/>
        </w:rPr>
        <w:t>Y compris la déclaration requise au paragraphe 6.4.1 de l’annexe 9A</w:t>
      </w:r>
      <w:r w:rsidRPr="00106460">
        <w:rPr>
          <w:sz w:val="18"/>
          <w:szCs w:val="18"/>
        </w:rPr>
        <w:t>.</w:t>
      </w:r>
    </w:p>
    <w:p w:rsidR="00106460" w:rsidRPr="00106460" w:rsidRDefault="00106460" w:rsidP="00106460">
      <w:pPr>
        <w:kinsoku w:val="0"/>
        <w:overflowPunct w:val="0"/>
        <w:autoSpaceDE w:val="0"/>
        <w:autoSpaceDN w:val="0"/>
        <w:adjustRightInd w:val="0"/>
        <w:snapToGrid w:val="0"/>
        <w:ind w:left="568" w:hanging="284"/>
        <w:rPr>
          <w:sz w:val="18"/>
          <w:szCs w:val="18"/>
          <w:vertAlign w:val="superscript"/>
        </w:rPr>
      </w:pPr>
      <w:r w:rsidRPr="00106460">
        <w:rPr>
          <w:i/>
          <w:sz w:val="18"/>
          <w:szCs w:val="18"/>
          <w:vertAlign w:val="superscript"/>
        </w:rPr>
        <w:t xml:space="preserve">9 </w:t>
      </w:r>
      <w:r w:rsidRPr="00106460">
        <w:rPr>
          <w:sz w:val="18"/>
          <w:szCs w:val="18"/>
          <w:vertAlign w:val="superscript"/>
        </w:rPr>
        <w:tab/>
      </w:r>
      <w:r w:rsidRPr="00106460">
        <w:rPr>
          <w:sz w:val="18"/>
          <w:szCs w:val="18"/>
          <w:lang w:val="fr-FR"/>
        </w:rPr>
        <w:t>Pour les moteurs et véhicules à allumage commandé</w:t>
      </w:r>
      <w:r w:rsidRPr="00106460">
        <w:rPr>
          <w:sz w:val="18"/>
          <w:szCs w:val="18"/>
        </w:rPr>
        <w:t>.</w:t>
      </w:r>
    </w:p>
    <w:p w:rsidR="00106460" w:rsidRPr="00106460" w:rsidRDefault="00106460" w:rsidP="00106460">
      <w:pPr>
        <w:kinsoku w:val="0"/>
        <w:overflowPunct w:val="0"/>
        <w:autoSpaceDE w:val="0"/>
        <w:autoSpaceDN w:val="0"/>
        <w:adjustRightInd w:val="0"/>
        <w:snapToGrid w:val="0"/>
        <w:ind w:left="568" w:hanging="284"/>
        <w:rPr>
          <w:sz w:val="18"/>
          <w:szCs w:val="18"/>
        </w:rPr>
      </w:pPr>
      <w:r w:rsidRPr="00106460">
        <w:rPr>
          <w:i/>
          <w:sz w:val="18"/>
          <w:szCs w:val="18"/>
          <w:vertAlign w:val="superscript"/>
        </w:rPr>
        <w:t>10</w:t>
      </w:r>
      <w:r w:rsidRPr="00106460">
        <w:rPr>
          <w:sz w:val="18"/>
          <w:szCs w:val="18"/>
          <w:vertAlign w:val="superscript"/>
        </w:rPr>
        <w:t xml:space="preserve">  </w:t>
      </w:r>
      <w:r w:rsidRPr="00106460">
        <w:rPr>
          <w:sz w:val="18"/>
          <w:szCs w:val="18"/>
          <w:vertAlign w:val="superscript"/>
        </w:rPr>
        <w:tab/>
      </w:r>
      <w:r w:rsidRPr="00106460">
        <w:rPr>
          <w:sz w:val="18"/>
          <w:szCs w:val="18"/>
          <w:lang w:val="fr-FR"/>
        </w:rPr>
        <w:t>Pour les moteurs et véhicules à allumage par compression et bicarburant</w:t>
      </w:r>
      <w:r w:rsidRPr="00106460">
        <w:rPr>
          <w:sz w:val="18"/>
          <w:szCs w:val="18"/>
        </w:rPr>
        <w:t>.</w:t>
      </w:r>
    </w:p>
    <w:p w:rsidR="00106460" w:rsidRPr="00106460" w:rsidRDefault="00106460" w:rsidP="00106460">
      <w:pPr>
        <w:kinsoku w:val="0"/>
        <w:overflowPunct w:val="0"/>
        <w:autoSpaceDE w:val="0"/>
        <w:autoSpaceDN w:val="0"/>
        <w:adjustRightInd w:val="0"/>
        <w:snapToGrid w:val="0"/>
        <w:ind w:left="568" w:hanging="284"/>
        <w:rPr>
          <w:sz w:val="18"/>
          <w:szCs w:val="18"/>
        </w:rPr>
      </w:pPr>
      <w:r w:rsidRPr="00106460">
        <w:rPr>
          <w:i/>
          <w:sz w:val="18"/>
          <w:szCs w:val="18"/>
          <w:vertAlign w:val="superscript"/>
        </w:rPr>
        <w:t>11</w:t>
      </w:r>
      <w:r w:rsidRPr="00106460">
        <w:rPr>
          <w:sz w:val="18"/>
          <w:szCs w:val="18"/>
          <w:vertAlign w:val="superscript"/>
        </w:rPr>
        <w:tab/>
      </w:r>
      <w:r w:rsidRPr="00106460">
        <w:rPr>
          <w:sz w:val="18"/>
          <w:szCs w:val="18"/>
          <w:lang w:val="fr-FR"/>
        </w:rPr>
        <w:t>S’applique uniquement aux moteurs et véhicules à allumage commandé</w:t>
      </w:r>
      <w:r w:rsidRPr="00106460">
        <w:rPr>
          <w:sz w:val="18"/>
          <w:szCs w:val="18"/>
        </w:rPr>
        <w:t>.</w:t>
      </w:r>
    </w:p>
    <w:p w:rsidR="00106460" w:rsidRPr="00106460" w:rsidRDefault="00106460" w:rsidP="00106460">
      <w:pPr>
        <w:kinsoku w:val="0"/>
        <w:overflowPunct w:val="0"/>
        <w:autoSpaceDE w:val="0"/>
        <w:autoSpaceDN w:val="0"/>
        <w:adjustRightInd w:val="0"/>
        <w:snapToGrid w:val="0"/>
        <w:ind w:left="568" w:hanging="284"/>
        <w:rPr>
          <w:sz w:val="18"/>
          <w:szCs w:val="18"/>
        </w:rPr>
      </w:pPr>
      <w:r w:rsidRPr="00106460">
        <w:rPr>
          <w:i/>
          <w:sz w:val="18"/>
          <w:szCs w:val="18"/>
          <w:vertAlign w:val="superscript"/>
        </w:rPr>
        <w:t>12</w:t>
      </w:r>
      <w:r w:rsidRPr="00106460">
        <w:rPr>
          <w:sz w:val="18"/>
          <w:szCs w:val="18"/>
        </w:rPr>
        <w:tab/>
      </w:r>
      <w:r w:rsidRPr="00106460">
        <w:rPr>
          <w:sz w:val="18"/>
          <w:szCs w:val="18"/>
          <w:lang w:val="fr-FR"/>
        </w:rPr>
        <w:t>Dispositions supplémentaires concernant les prescriptions de surveillance, telles qu’énoncées dans le paragraphe 2.3.1.2 de l’annexe 9A.</w:t>
      </w:r>
    </w:p>
    <w:p w:rsidR="00106460" w:rsidRPr="00106460" w:rsidRDefault="00106460" w:rsidP="00106460">
      <w:pPr>
        <w:kinsoku w:val="0"/>
        <w:overflowPunct w:val="0"/>
        <w:autoSpaceDE w:val="0"/>
        <w:autoSpaceDN w:val="0"/>
        <w:adjustRightInd w:val="0"/>
        <w:snapToGrid w:val="0"/>
        <w:ind w:left="568" w:hanging="284"/>
        <w:rPr>
          <w:b/>
          <w:sz w:val="18"/>
          <w:szCs w:val="18"/>
        </w:rPr>
      </w:pPr>
      <w:r w:rsidRPr="00106460">
        <w:rPr>
          <w:b/>
          <w:i/>
          <w:sz w:val="18"/>
          <w:szCs w:val="18"/>
          <w:vertAlign w:val="superscript"/>
        </w:rPr>
        <w:t>13</w:t>
      </w:r>
      <w:r w:rsidRPr="00106460">
        <w:rPr>
          <w:b/>
          <w:sz w:val="18"/>
          <w:szCs w:val="18"/>
        </w:rPr>
        <w:tab/>
      </w:r>
      <w:r w:rsidRPr="00106460">
        <w:rPr>
          <w:sz w:val="18"/>
          <w:szCs w:val="18"/>
          <w:lang w:val="fr-FR"/>
        </w:rPr>
        <w:t>Les prescriptions concernant l’IUPR sont énoncées dans les annexes 9A et 9C du présent Règlement. Ne s’applique pas aux moteurs à allumage commandé.</w:t>
      </w:r>
      <w:r w:rsidRPr="00106460">
        <w:rPr>
          <w:sz w:val="18"/>
          <w:szCs w:val="18"/>
        </w:rPr>
        <w:t>».</w:t>
      </w:r>
    </w:p>
    <w:p w:rsidR="00106460" w:rsidRPr="00106460" w:rsidRDefault="00106460" w:rsidP="00106460">
      <w:pPr>
        <w:kinsoku w:val="0"/>
        <w:overflowPunct w:val="0"/>
        <w:autoSpaceDE w:val="0"/>
        <w:autoSpaceDN w:val="0"/>
        <w:adjustRightInd w:val="0"/>
        <w:snapToGrid w:val="0"/>
        <w:rPr>
          <w:b/>
          <w:sz w:val="18"/>
          <w:szCs w:val="18"/>
        </w:rPr>
        <w:sectPr w:rsidR="00106460" w:rsidRPr="00106460" w:rsidSect="001E2089">
          <w:headerReference w:type="even" r:id="rId15"/>
          <w:headerReference w:type="default" r:id="rId16"/>
          <w:footerReference w:type="even" r:id="rId17"/>
          <w:footerReference w:type="default" r:id="rId18"/>
          <w:headerReference w:type="first" r:id="rId19"/>
          <w:endnotePr>
            <w:numFmt w:val="decimal"/>
          </w:endnotePr>
          <w:pgSz w:w="16838" w:h="11906" w:orient="landscape" w:code="9"/>
          <w:pgMar w:top="1134" w:right="1701" w:bottom="1134" w:left="2268" w:header="567" w:footer="567" w:gutter="0"/>
          <w:cols w:space="708"/>
          <w:docGrid w:linePitch="360"/>
        </w:sectPr>
      </w:pPr>
    </w:p>
    <w:p w:rsidR="00106460" w:rsidRPr="00106460" w:rsidRDefault="00106460" w:rsidP="00106460">
      <w:pPr>
        <w:kinsoku w:val="0"/>
        <w:overflowPunct w:val="0"/>
        <w:autoSpaceDE w:val="0"/>
        <w:autoSpaceDN w:val="0"/>
        <w:adjustRightInd w:val="0"/>
        <w:snapToGrid w:val="0"/>
        <w:spacing w:after="120"/>
        <w:ind w:left="1134" w:right="1134"/>
        <w:jc w:val="both"/>
        <w:rPr>
          <w:i/>
          <w:lang w:val="fr-FR"/>
        </w:rPr>
      </w:pPr>
      <w:r w:rsidRPr="00106460">
        <w:rPr>
          <w:i/>
          <w:lang w:val="fr-FR"/>
        </w:rPr>
        <w:t>Annexe 9A</w:t>
      </w:r>
      <w:r w:rsidR="008E6F93">
        <w:rPr>
          <w:i/>
          <w:lang w:val="fr-FR"/>
        </w:rPr>
        <w:t>,</w:t>
      </w:r>
    </w:p>
    <w:p w:rsidR="00106460" w:rsidRPr="00106460" w:rsidRDefault="00106460" w:rsidP="00106460">
      <w:pPr>
        <w:kinsoku w:val="0"/>
        <w:overflowPunct w:val="0"/>
        <w:autoSpaceDE w:val="0"/>
        <w:autoSpaceDN w:val="0"/>
        <w:adjustRightInd w:val="0"/>
        <w:snapToGrid w:val="0"/>
        <w:spacing w:after="120"/>
        <w:ind w:left="1134" w:right="1134"/>
        <w:jc w:val="both"/>
        <w:rPr>
          <w:lang w:val="fr-FR"/>
        </w:rPr>
      </w:pPr>
      <w:r w:rsidRPr="00106460">
        <w:rPr>
          <w:i/>
          <w:lang w:val="fr-FR"/>
        </w:rPr>
        <w:t>Paragraphe 2.2</w:t>
      </w:r>
      <w:r w:rsidRPr="00106460">
        <w:rPr>
          <w:lang w:val="fr-FR"/>
        </w:rPr>
        <w:t>, modifier comme suit:</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«2.2</w:t>
      </w:r>
      <w:r w:rsidRPr="00106460">
        <w:rPr>
          <w:lang w:val="fr-FR"/>
        </w:rPr>
        <w:tab/>
        <w:t xml:space="preserve">Prescriptions concernant les séquences de fonctionnement et les cycles d’essai pour les véhicules hybrides et les véhicules équipés d’un système arrêt-démarrage automatique.». </w:t>
      </w:r>
    </w:p>
    <w:p w:rsidR="00106460" w:rsidRPr="00106460" w:rsidRDefault="00106460" w:rsidP="00106460">
      <w:pPr>
        <w:kinsoku w:val="0"/>
        <w:overflowPunct w:val="0"/>
        <w:autoSpaceDE w:val="0"/>
        <w:autoSpaceDN w:val="0"/>
        <w:adjustRightInd w:val="0"/>
        <w:snapToGrid w:val="0"/>
        <w:spacing w:after="120"/>
        <w:ind w:left="1134" w:right="1134"/>
        <w:jc w:val="both"/>
        <w:rPr>
          <w:lang w:val="fr-FR"/>
        </w:rPr>
      </w:pPr>
      <w:r w:rsidRPr="00106460">
        <w:rPr>
          <w:i/>
          <w:lang w:val="fr-FR"/>
        </w:rPr>
        <w:t xml:space="preserve">Ajouter </w:t>
      </w:r>
      <w:r w:rsidR="0092610C">
        <w:rPr>
          <w:i/>
        </w:rPr>
        <w:t xml:space="preserve">les </w:t>
      </w:r>
      <w:r w:rsidRPr="00106460">
        <w:rPr>
          <w:i/>
          <w:lang w:val="fr-FR"/>
        </w:rPr>
        <w:t xml:space="preserve"> nouveaux paragraphes</w:t>
      </w:r>
      <w:r w:rsidR="008E6F93" w:rsidRPr="008E6F93">
        <w:rPr>
          <w:i/>
          <w:lang w:val="fr-FR"/>
        </w:rPr>
        <w:t xml:space="preserve"> 2.2.1 à 2.2.2.3</w:t>
      </w:r>
      <w:r w:rsidRPr="00106460">
        <w:rPr>
          <w:lang w:val="fr-FR"/>
        </w:rPr>
        <w:t>, ainsi conçus:</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«2.2.1</w:t>
      </w:r>
      <w:r w:rsidRPr="00106460">
        <w:rPr>
          <w:lang w:val="fr-FR"/>
        </w:rPr>
        <w:tab/>
        <w:t>Séquence de fonctionnement</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2.2.1.1</w:t>
      </w:r>
      <w:r w:rsidRPr="00106460">
        <w:rPr>
          <w:lang w:val="fr-FR"/>
        </w:rPr>
        <w:tab/>
        <w:t>Dans le cas des véhicules sur lesquels l’arrêt du moteur est commandé par le système de gestion du moteur (par exemple, un autobus hybride avec arrêt du moteur au ralenti) et suivi d’un démarrage, la séquence “arrêt du moteur − démarrage du moteur” est considérée comme faisant partie de la séquence de fonctionnement existante.</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2.2.1.2</w:t>
      </w:r>
      <w:r w:rsidRPr="00106460">
        <w:rPr>
          <w:lang w:val="fr-FR"/>
        </w:rPr>
        <w:tab/>
        <w:t>Le constructeur fournit une description du système arrêt-démarrage de ces stratégies dans la documentation prescrite aux alinéas a) et b) du paragraphe 3.1.3 du présent Règlement.</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2.2.1.3</w:t>
      </w:r>
      <w:r w:rsidRPr="00106460">
        <w:rPr>
          <w:lang w:val="fr-FR"/>
        </w:rPr>
        <w:tab/>
        <w:t>Dans le cas des véhicules hybrides, la séquence de fonctionnement débute lorsque le moteur démarre ou lorsque le véhicule se met en mouvement, selon ce qui se produit en premier.</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2.2.2</w:t>
      </w:r>
      <w:r w:rsidRPr="00106460">
        <w:rPr>
          <w:lang w:val="fr-FR"/>
        </w:rPr>
        <w:tab/>
        <w:t>Cycle d’essai</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2.2.2.1</w:t>
      </w:r>
      <w:r w:rsidRPr="00106460">
        <w:rPr>
          <w:lang w:val="fr-FR"/>
        </w:rPr>
        <w:tab/>
        <w:t xml:space="preserve">Dans le cas des véhicules sur lesquels l’arrêt du moteur est commandé par le système de gestion du moteur (par exemple, un autobus hybride avec arrêt du moteur au ralenti) et suivi d’un démarrage, la séquence “arrêt du moteur − démarrage du moteur” est considérée comme faisant partie du cycle d’essai existant. </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2.2.2.2</w:t>
      </w:r>
      <w:r w:rsidRPr="00106460">
        <w:rPr>
          <w:lang w:val="fr-FR"/>
        </w:rPr>
        <w:tab/>
        <w:t>Le constructeur fournit une description du système arrêt-démarrage dans la documentation prescrite aux alinéas a) et b) du paragraphe 3.1.3 du présent Règlement.</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2.2.2.3</w:t>
      </w:r>
      <w:r w:rsidRPr="00106460">
        <w:rPr>
          <w:lang w:val="fr-FR"/>
        </w:rPr>
        <w:tab/>
        <w:t>Dans le cas des véhicules hybrides, le cycle d’essai débute lorsque le moteur démarre ou lorsque le véhicule se met en mouvement, selon ce qui se produit en premier.».</w:t>
      </w:r>
    </w:p>
    <w:p w:rsidR="00106460" w:rsidRPr="00106460" w:rsidRDefault="00106460" w:rsidP="00106460">
      <w:pPr>
        <w:kinsoku w:val="0"/>
        <w:overflowPunct w:val="0"/>
        <w:autoSpaceDE w:val="0"/>
        <w:autoSpaceDN w:val="0"/>
        <w:adjustRightInd w:val="0"/>
        <w:snapToGrid w:val="0"/>
        <w:spacing w:after="120"/>
        <w:ind w:left="1134" w:right="1134"/>
        <w:jc w:val="both"/>
        <w:rPr>
          <w:lang w:val="fr-FR"/>
        </w:rPr>
      </w:pPr>
      <w:r w:rsidRPr="00106460">
        <w:rPr>
          <w:i/>
          <w:lang w:val="fr-FR"/>
        </w:rPr>
        <w:t>Paragraphe 2.3.2.2</w:t>
      </w:r>
      <w:r w:rsidRPr="00106460">
        <w:rPr>
          <w:lang w:val="fr-FR"/>
        </w:rPr>
        <w:t>,</w:t>
      </w:r>
      <w:r w:rsidRPr="00106460">
        <w:rPr>
          <w:i/>
          <w:lang w:val="fr-FR"/>
        </w:rPr>
        <w:t xml:space="preserve"> </w:t>
      </w:r>
      <w:r w:rsidRPr="00106460">
        <w:rPr>
          <w:lang w:val="fr-FR"/>
        </w:rPr>
        <w:t>modifier comme suit:</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«2.3.2.2</w:t>
      </w:r>
      <w:r w:rsidRPr="00106460">
        <w:rPr>
          <w:lang w:val="fr-FR"/>
        </w:rPr>
        <w:tab/>
        <w:t>Dans le cas d’un filtre à particules pour moteurs diesel à parois filtrantes, jusqu’à la date indiquée au paragraphe 13.2.3 du présent Règlement pour les nouvelles homologations de type et au paragraphe 13.3.3 pour les nouvelles immatriculations, le constructeur peut choisir de respecter les prescriptions en matière de surveillance de l’efficacité énoncées à l’appendice 8 de l’annexe 9B plutôt que celles énoncées au paragraphe 2.3.2.1, s’il peut montrer avec documents techniques à l’appui que, lorsqu’il y a dégradation, il existe une corrélation directe entre la perte d’efficacité de la filtration et la perte de pression (“différence de pression”) entre l’entrée et la sortie du filtre à particules pour moteurs diesel dans les conditions de fonctionnement du moteur définies dans l’essai décrit à l’appendice 8 de l’annexe 9B.».</w:t>
      </w:r>
    </w:p>
    <w:p w:rsidR="00106460" w:rsidRPr="00106460" w:rsidRDefault="00106460" w:rsidP="00106460">
      <w:pPr>
        <w:kinsoku w:val="0"/>
        <w:overflowPunct w:val="0"/>
        <w:autoSpaceDE w:val="0"/>
        <w:autoSpaceDN w:val="0"/>
        <w:adjustRightInd w:val="0"/>
        <w:snapToGrid w:val="0"/>
        <w:spacing w:after="120"/>
        <w:ind w:left="1134" w:right="1134"/>
        <w:jc w:val="both"/>
        <w:rPr>
          <w:i/>
          <w:lang w:val="fr-FR"/>
        </w:rPr>
      </w:pPr>
      <w:r w:rsidRPr="00106460">
        <w:rPr>
          <w:i/>
          <w:lang w:val="fr-FR"/>
        </w:rPr>
        <w:t>Paragraphe 2.4.1, y compris la note de bas de page</w:t>
      </w:r>
      <w:r w:rsidRPr="00106460">
        <w:rPr>
          <w:lang w:val="fr-FR"/>
        </w:rPr>
        <w:t>, modifier comme suit:</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«2.4.1</w:t>
      </w:r>
      <w:r w:rsidRPr="00106460">
        <w:rPr>
          <w:lang w:val="fr-FR"/>
        </w:rPr>
        <w:tab/>
        <w:t>À la demande du constructeur, pour les véhicules des catégories M</w:t>
      </w:r>
      <w:r w:rsidRPr="00106460">
        <w:rPr>
          <w:vertAlign w:val="subscript"/>
          <w:lang w:val="fr-FR"/>
        </w:rPr>
        <w:t>2</w:t>
      </w:r>
      <w:r w:rsidRPr="00106460">
        <w:rPr>
          <w:lang w:val="fr-FR"/>
        </w:rPr>
        <w:t xml:space="preserve"> et N</w:t>
      </w:r>
      <w:r w:rsidRPr="00106460">
        <w:rPr>
          <w:vertAlign w:val="subscript"/>
          <w:lang w:val="fr-FR"/>
        </w:rPr>
        <w:t>1</w:t>
      </w:r>
      <w:r w:rsidRPr="00106460">
        <w:rPr>
          <w:lang w:val="fr-FR"/>
        </w:rPr>
        <w:t>, pour les véhicules des catégories M</w:t>
      </w:r>
      <w:r w:rsidRPr="00106460">
        <w:rPr>
          <w:vertAlign w:val="subscript"/>
          <w:lang w:val="fr-FR"/>
        </w:rPr>
        <w:t>1</w:t>
      </w:r>
      <w:r w:rsidRPr="00106460">
        <w:rPr>
          <w:lang w:val="fr-FR"/>
        </w:rPr>
        <w:t xml:space="preserve"> et N</w:t>
      </w:r>
      <w:r w:rsidRPr="00106460">
        <w:rPr>
          <w:vertAlign w:val="subscript"/>
          <w:lang w:val="fr-FR"/>
        </w:rPr>
        <w:t>2</w:t>
      </w:r>
      <w:r w:rsidRPr="00106460">
        <w:rPr>
          <w:lang w:val="fr-FR"/>
        </w:rPr>
        <w:t xml:space="preserve"> ayant un poids maximal admissible ne dépassant pas 7,5 t, et pour les véhicules de la catégorie M</w:t>
      </w:r>
      <w:r w:rsidRPr="00106460">
        <w:rPr>
          <w:vertAlign w:val="subscript"/>
          <w:lang w:val="fr-FR"/>
        </w:rPr>
        <w:t>3</w:t>
      </w:r>
      <w:r w:rsidRPr="00106460">
        <w:rPr>
          <w:lang w:val="fr-FR"/>
        </w:rPr>
        <w:t>, classe I, classe II et classes A et B</w:t>
      </w:r>
      <w:r w:rsidRPr="00106460">
        <w:rPr>
          <w:vertAlign w:val="superscript"/>
          <w:lang w:val="fr-FR"/>
        </w:rPr>
        <w:t>1</w:t>
      </w:r>
      <w:r w:rsidRPr="00106460">
        <w:rPr>
          <w:lang w:val="fr-FR"/>
        </w:rPr>
        <w:t xml:space="preserve"> ayant un poids maximal admissible ne dépassant pas 7,5 t, le respect des prescriptions de l’annexe 11 de la série 07 d’amendements au Règlement n</w:t>
      </w:r>
      <w:r w:rsidRPr="00106460">
        <w:rPr>
          <w:vertAlign w:val="superscript"/>
          <w:lang w:val="fr-FR"/>
        </w:rPr>
        <w:t>o</w:t>
      </w:r>
      <w:r w:rsidRPr="00106460">
        <w:rPr>
          <w:lang w:val="fr-FR"/>
        </w:rPr>
        <w:t> 83 est considéré comme équivalent au respect des dispositions de la présente annexe, selon les équivalences suivantes:</w:t>
      </w:r>
    </w:p>
    <w:p w:rsidR="00106460" w:rsidRPr="00106460" w:rsidRDefault="00106460" w:rsidP="00106460">
      <w:pPr>
        <w:kinsoku w:val="0"/>
        <w:overflowPunct w:val="0"/>
        <w:autoSpaceDE w:val="0"/>
        <w:autoSpaceDN w:val="0"/>
        <w:adjustRightInd w:val="0"/>
        <w:snapToGrid w:val="0"/>
        <w:spacing w:after="120"/>
        <w:ind w:left="2268" w:right="1134" w:hanging="1134"/>
        <w:jc w:val="both"/>
        <w:rPr>
          <w:u w:val="single"/>
        </w:rPr>
      </w:pPr>
      <w:r w:rsidRPr="00106460">
        <w:separator/>
      </w:r>
    </w:p>
    <w:p w:rsidR="00106460" w:rsidRPr="00106460" w:rsidRDefault="00106460" w:rsidP="00106460">
      <w:pPr>
        <w:kinsoku w:val="0"/>
        <w:overflowPunct w:val="0"/>
        <w:autoSpaceDE w:val="0"/>
        <w:autoSpaceDN w:val="0"/>
        <w:adjustRightInd w:val="0"/>
        <w:snapToGrid w:val="0"/>
        <w:spacing w:after="120"/>
        <w:ind w:left="1134" w:right="1134"/>
        <w:rPr>
          <w:lang w:val="fr-FR"/>
        </w:rPr>
      </w:pPr>
      <w:r w:rsidRPr="00106460">
        <w:rPr>
          <w:vertAlign w:val="superscript"/>
        </w:rPr>
        <w:t>1</w:t>
      </w:r>
      <w:r w:rsidRPr="00106460">
        <w:t xml:space="preserve">  </w:t>
      </w:r>
      <w:r w:rsidRPr="00106460">
        <w:rPr>
          <w:sz w:val="18"/>
          <w:szCs w:val="18"/>
          <w:lang w:val="fr-FR"/>
        </w:rPr>
        <w:t xml:space="preserve">Selon les définitions de la Résolution d’ensemble sur la construction des véhicules (R.E.3), document </w:t>
      </w:r>
      <w:hyperlink r:id="rId20" w:history="1">
        <w:r w:rsidRPr="00106460">
          <w:rPr>
            <w:color w:val="0000FF"/>
            <w:sz w:val="18"/>
            <w:szCs w:val="18"/>
            <w:lang w:val="fr-FR"/>
          </w:rPr>
          <w:t>ECE/TRANS/WP.29/78/Rev.3</w:t>
        </w:r>
      </w:hyperlink>
      <w:r w:rsidRPr="00106460">
        <w:rPr>
          <w:sz w:val="18"/>
          <w:szCs w:val="18"/>
          <w:lang w:val="fr-FR"/>
        </w:rPr>
        <w:t xml:space="preserve">, par. 2 − </w:t>
      </w:r>
      <w:hyperlink r:id="rId21" w:history="1">
        <w:r w:rsidRPr="00106460">
          <w:rPr>
            <w:color w:val="0000FF"/>
            <w:sz w:val="18"/>
            <w:szCs w:val="18"/>
            <w:lang w:val="fr-FR"/>
          </w:rPr>
          <w:t>www.unece.org/trans/main/wp29/wp29wgs/</w:t>
        </w:r>
        <w:r w:rsidRPr="00106460">
          <w:rPr>
            <w:color w:val="0000FF"/>
            <w:sz w:val="18"/>
            <w:szCs w:val="18"/>
            <w:lang w:val="fr-FR"/>
          </w:rPr>
          <w:br/>
          <w:t>wp29gen/wp29resolutions.html</w:t>
        </w:r>
      </w:hyperlink>
      <w:r w:rsidRPr="00106460">
        <w:rPr>
          <w:sz w:val="18"/>
          <w:szCs w:val="18"/>
          <w:lang w:val="fr-FR"/>
        </w:rPr>
        <w:t>.</w:t>
      </w:r>
      <w:r w:rsidRPr="00106460">
        <w:rPr>
          <w:lang w:val="fr-FR"/>
        </w:rPr>
        <w:t>».</w:t>
      </w:r>
    </w:p>
    <w:p w:rsidR="00106460" w:rsidRPr="00106460" w:rsidRDefault="00106460" w:rsidP="00106460">
      <w:pPr>
        <w:kinsoku w:val="0"/>
        <w:overflowPunct w:val="0"/>
        <w:autoSpaceDE w:val="0"/>
        <w:autoSpaceDN w:val="0"/>
        <w:adjustRightInd w:val="0"/>
        <w:snapToGrid w:val="0"/>
        <w:spacing w:before="240" w:after="120"/>
        <w:ind w:left="1134" w:right="1134"/>
        <w:jc w:val="both"/>
        <w:rPr>
          <w:lang w:val="fr-FR"/>
        </w:rPr>
      </w:pPr>
      <w:r w:rsidRPr="00106460">
        <w:rPr>
          <w:i/>
          <w:lang w:val="fr-FR"/>
        </w:rPr>
        <w:t xml:space="preserve">Ajouter </w:t>
      </w:r>
      <w:r w:rsidR="0092610C">
        <w:rPr>
          <w:i/>
        </w:rPr>
        <w:t xml:space="preserve">les </w:t>
      </w:r>
      <w:r w:rsidRPr="00106460">
        <w:rPr>
          <w:i/>
          <w:lang w:val="fr-FR"/>
        </w:rPr>
        <w:t>nouveaux paragraphes</w:t>
      </w:r>
      <w:r w:rsidR="008E6F93" w:rsidRPr="008E6F93">
        <w:rPr>
          <w:i/>
          <w:lang w:val="fr-FR"/>
        </w:rPr>
        <w:t xml:space="preserve"> 2.4.1.1 à 2.4.1.3.2.2</w:t>
      </w:r>
      <w:r w:rsidRPr="00106460">
        <w:rPr>
          <w:lang w:val="fr-FR"/>
        </w:rPr>
        <w:t>, ainsi conçus:</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«2.4.1.1</w:t>
      </w:r>
      <w:r w:rsidRPr="00106460">
        <w:rPr>
          <w:lang w:val="fr-FR"/>
        </w:rPr>
        <w:tab/>
        <w:t>Les “valeurs limites OBD provisoires” indiquées dans le tableau A11/3 de l’annexe 11 de la série 07 d’amendements au Règlement n</w:t>
      </w:r>
      <w:r w:rsidRPr="00106460">
        <w:rPr>
          <w:vertAlign w:val="superscript"/>
          <w:lang w:val="fr-FR"/>
        </w:rPr>
        <w:t>o</w:t>
      </w:r>
      <w:r w:rsidRPr="00106460">
        <w:rPr>
          <w:lang w:val="fr-FR"/>
        </w:rPr>
        <w:t> 83 sont considérées comme équivalentes à la lettre “A” dans le tableau 1 de l’annexe 3 du présent Règlement.</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2.4.1.2</w:t>
      </w:r>
      <w:r w:rsidRPr="00106460">
        <w:rPr>
          <w:lang w:val="fr-FR"/>
        </w:rPr>
        <w:tab/>
        <w:t>Les “valeurs limites OBD préliminaires” indiquées dans le tableau A11/2 de l’annexe 11 de la série 07 d’amendements au Règlement n</w:t>
      </w:r>
      <w:r w:rsidRPr="00106460">
        <w:rPr>
          <w:vertAlign w:val="superscript"/>
          <w:lang w:val="fr-FR"/>
        </w:rPr>
        <w:t>o</w:t>
      </w:r>
      <w:r w:rsidRPr="00106460">
        <w:rPr>
          <w:lang w:val="fr-FR"/>
        </w:rPr>
        <w:t> 83 sont considérées comme équivalentes à la lettre “B” dans le tableau 1 de l’annexe 3 du présent Règlement.</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2.4.1.3</w:t>
      </w:r>
      <w:r w:rsidRPr="00106460">
        <w:rPr>
          <w:lang w:val="fr-FR"/>
        </w:rPr>
        <w:tab/>
        <w:t>Les “valeurs limites OBD finales” indiquées dans le tableau A11/1 de l’annexe 11 de la série 07 d’amendements au Règlement n</w:t>
      </w:r>
      <w:r w:rsidRPr="00106460">
        <w:rPr>
          <w:vertAlign w:val="superscript"/>
          <w:lang w:val="fr-FR"/>
        </w:rPr>
        <w:t>o</w:t>
      </w:r>
      <w:r w:rsidRPr="00106460">
        <w:rPr>
          <w:lang w:val="fr-FR"/>
        </w:rPr>
        <w:t> 83 sont considérées comme équivalentes à la lettre “C” dans le tableau 1 de l’annexe 3 du présent Règlement.</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2.4.1.3.1</w:t>
      </w:r>
      <w:r w:rsidRPr="00106460">
        <w:rPr>
          <w:lang w:val="fr-FR"/>
        </w:rPr>
        <w:tab/>
        <w:t>Si cette autre possibilité d’homologation est utilisée, les renseignements relatifs aux systèmes OBD visés à la section 3.2.12.2.7 de la partie 2 de l’annexe 1 du présent Règlement sont remplacés par les renseignements visés à la section 3.2.12.2.7 de l’annexe 1 de la série 07 d’amendements au Règlement n</w:t>
      </w:r>
      <w:r w:rsidRPr="00106460">
        <w:rPr>
          <w:vertAlign w:val="superscript"/>
          <w:lang w:val="fr-FR"/>
        </w:rPr>
        <w:t>o</w:t>
      </w:r>
      <w:r w:rsidRPr="00106460">
        <w:rPr>
          <w:lang w:val="fr-FR"/>
        </w:rPr>
        <w:t> 83.</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2.4.1.3.2</w:t>
      </w:r>
      <w:r w:rsidRPr="00106460">
        <w:rPr>
          <w:lang w:val="fr-FR"/>
        </w:rPr>
        <w:tab/>
        <w:t>Les équivalences énoncées au paragraphe 2.4.1 s’appliquent comme suit:</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2.4.1.3.2.1</w:t>
      </w:r>
      <w:r w:rsidRPr="00106460">
        <w:rPr>
          <w:lang w:val="fr-FR"/>
        </w:rPr>
        <w:tab/>
        <w:t>Les valeurs limites OBD et les dates mentionnées dans le tableau 1 de l’annexe 3 du présent Règlement et correspondant à la lettre pour laquelle l’homologation de type est demandée s’appliquent;</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2.4.1.3.2.2</w:t>
      </w:r>
      <w:r w:rsidRPr="00106460">
        <w:rPr>
          <w:lang w:val="fr-FR"/>
        </w:rPr>
        <w:tab/>
        <w:t>Les prescriptions concernant les mesures de réduction des émissions d’oxydes d’azote énoncées aux paragraphes 2.1.2.2.1 à 2.1.2.2.4 de l’annexe 11 s’appliquent.».</w:t>
      </w:r>
    </w:p>
    <w:p w:rsidR="00106460" w:rsidRPr="00106460" w:rsidRDefault="00106460" w:rsidP="00106460">
      <w:pPr>
        <w:kinsoku w:val="0"/>
        <w:overflowPunct w:val="0"/>
        <w:autoSpaceDE w:val="0"/>
        <w:autoSpaceDN w:val="0"/>
        <w:adjustRightInd w:val="0"/>
        <w:snapToGrid w:val="0"/>
        <w:spacing w:after="120"/>
        <w:ind w:left="1134" w:right="1134"/>
        <w:jc w:val="both"/>
        <w:rPr>
          <w:lang w:val="fr-FR"/>
        </w:rPr>
      </w:pPr>
      <w:r w:rsidRPr="00106460">
        <w:rPr>
          <w:i/>
          <w:lang w:val="fr-FR"/>
        </w:rPr>
        <w:t>Tableau 2</w:t>
      </w:r>
      <w:r w:rsidRPr="00106460">
        <w:rPr>
          <w:lang w:val="fr-FR"/>
        </w:rPr>
        <w:t>, modifier comme suit:</w:t>
      </w:r>
    </w:p>
    <w:p w:rsidR="00106460" w:rsidRPr="00106460" w:rsidRDefault="00106460" w:rsidP="00106460">
      <w:pPr>
        <w:keepNext/>
        <w:keepLines/>
        <w:tabs>
          <w:tab w:val="right" w:pos="851"/>
        </w:tabs>
        <w:kinsoku w:val="0"/>
        <w:overflowPunct w:val="0"/>
        <w:autoSpaceDE w:val="0"/>
        <w:autoSpaceDN w:val="0"/>
        <w:adjustRightInd w:val="0"/>
        <w:snapToGrid w:val="0"/>
        <w:spacing w:before="240" w:after="120" w:line="240" w:lineRule="exact"/>
        <w:ind w:left="1134" w:right="1134" w:hanging="1134"/>
        <w:rPr>
          <w:b/>
          <w:lang w:val="fr-FR"/>
        </w:rPr>
      </w:pPr>
      <w:r w:rsidRPr="00106460">
        <w:rPr>
          <w:b/>
          <w:lang w:val="fr-FR"/>
        </w:rPr>
        <w:tab/>
      </w:r>
      <w:r w:rsidRPr="00106460">
        <w:rPr>
          <w:b/>
          <w:lang w:val="fr-FR"/>
        </w:rPr>
        <w:tab/>
      </w:r>
      <w:r w:rsidRPr="00106460">
        <w:rPr>
          <w:lang w:val="fr-FR"/>
        </w:rPr>
        <w:t>«Tableau 2</w:t>
      </w:r>
      <w:bookmarkStart w:id="1" w:name="_Toc339460656"/>
      <w:bookmarkStart w:id="2" w:name="_Toc339542179"/>
      <w:r w:rsidRPr="00106460">
        <w:rPr>
          <w:b/>
          <w:lang w:val="fr-FR"/>
        </w:rPr>
        <w:br/>
        <w:t>Valeurs limites OBD (</w:t>
      </w:r>
      <w:bookmarkEnd w:id="1"/>
      <w:bookmarkEnd w:id="2"/>
      <w:r w:rsidRPr="00106460">
        <w:rPr>
          <w:b/>
          <w:lang w:val="fr-FR"/>
        </w:rPr>
        <w:t>moteurs à allumage commandé)</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23"/>
        <w:gridCol w:w="2322"/>
        <w:gridCol w:w="2125"/>
      </w:tblGrid>
      <w:tr w:rsidR="00106460" w:rsidRPr="00106460" w:rsidTr="00334475">
        <w:trPr>
          <w:cantSplit/>
          <w:tblHeader/>
        </w:trPr>
        <w:tc>
          <w:tcPr>
            <w:tcW w:w="2923" w:type="dxa"/>
            <w:tcBorders>
              <w:bottom w:val="single" w:sz="4" w:space="0" w:color="auto"/>
            </w:tcBorders>
            <w:shd w:val="clear" w:color="auto" w:fill="auto"/>
            <w:vAlign w:val="bottom"/>
          </w:tcPr>
          <w:p w:rsidR="00106460" w:rsidRPr="00106460" w:rsidRDefault="00106460" w:rsidP="00106460">
            <w:pPr>
              <w:suppressAutoHyphens w:val="0"/>
              <w:kinsoku w:val="0"/>
              <w:overflowPunct w:val="0"/>
              <w:autoSpaceDE w:val="0"/>
              <w:autoSpaceDN w:val="0"/>
              <w:adjustRightInd w:val="0"/>
              <w:snapToGrid w:val="0"/>
              <w:spacing w:before="80" w:after="80" w:line="200" w:lineRule="exact"/>
              <w:ind w:left="113" w:right="113"/>
              <w:rPr>
                <w:i/>
                <w:sz w:val="16"/>
                <w:lang w:val="fr-FR"/>
              </w:rPr>
            </w:pPr>
          </w:p>
        </w:tc>
        <w:tc>
          <w:tcPr>
            <w:tcW w:w="4447" w:type="dxa"/>
            <w:gridSpan w:val="2"/>
            <w:tcBorders>
              <w:bottom w:val="single" w:sz="4" w:space="0" w:color="auto"/>
            </w:tcBorders>
            <w:shd w:val="clear" w:color="auto" w:fill="auto"/>
            <w:vAlign w:val="bottom"/>
          </w:tcPr>
          <w:p w:rsidR="00106460" w:rsidRPr="00106460" w:rsidRDefault="00106460" w:rsidP="00106460">
            <w:pPr>
              <w:suppressAutoHyphens w:val="0"/>
              <w:kinsoku w:val="0"/>
              <w:overflowPunct w:val="0"/>
              <w:autoSpaceDE w:val="0"/>
              <w:autoSpaceDN w:val="0"/>
              <w:adjustRightInd w:val="0"/>
              <w:snapToGrid w:val="0"/>
              <w:spacing w:before="80" w:after="80" w:line="200" w:lineRule="exact"/>
              <w:ind w:left="113" w:right="113"/>
              <w:jc w:val="center"/>
              <w:rPr>
                <w:i/>
                <w:sz w:val="16"/>
                <w:lang w:val="fr-FR"/>
              </w:rPr>
            </w:pPr>
            <w:r w:rsidRPr="00106460">
              <w:rPr>
                <w:i/>
                <w:sz w:val="16"/>
                <w:lang w:val="fr-FR"/>
              </w:rPr>
              <w:t>Limite en mg/kWh</w:t>
            </w:r>
          </w:p>
        </w:tc>
      </w:tr>
      <w:tr w:rsidR="00106460" w:rsidRPr="00106460" w:rsidTr="00334475">
        <w:trPr>
          <w:cantSplit/>
          <w:tblHeader/>
        </w:trPr>
        <w:tc>
          <w:tcPr>
            <w:tcW w:w="2923" w:type="dxa"/>
            <w:tcBorders>
              <w:bottom w:val="nil"/>
            </w:tcBorders>
            <w:shd w:val="clear" w:color="auto" w:fill="auto"/>
            <w:vAlign w:val="bottom"/>
          </w:tcPr>
          <w:p w:rsidR="00106460" w:rsidRPr="00106460" w:rsidRDefault="00106460" w:rsidP="00106460">
            <w:pPr>
              <w:suppressAutoHyphens w:val="0"/>
              <w:kinsoku w:val="0"/>
              <w:overflowPunct w:val="0"/>
              <w:autoSpaceDE w:val="0"/>
              <w:autoSpaceDN w:val="0"/>
              <w:adjustRightInd w:val="0"/>
              <w:snapToGrid w:val="0"/>
              <w:spacing w:before="80" w:after="80" w:line="200" w:lineRule="exact"/>
              <w:ind w:left="113" w:right="113"/>
              <w:rPr>
                <w:i/>
                <w:sz w:val="16"/>
                <w:lang w:val="fr-FR"/>
              </w:rPr>
            </w:pPr>
          </w:p>
        </w:tc>
        <w:tc>
          <w:tcPr>
            <w:tcW w:w="2322" w:type="dxa"/>
            <w:tcBorders>
              <w:bottom w:val="nil"/>
            </w:tcBorders>
            <w:shd w:val="clear" w:color="auto" w:fill="auto"/>
            <w:vAlign w:val="bottom"/>
          </w:tcPr>
          <w:p w:rsidR="00106460" w:rsidRPr="00106460" w:rsidRDefault="00106460" w:rsidP="00106460">
            <w:pPr>
              <w:suppressAutoHyphens w:val="0"/>
              <w:kinsoku w:val="0"/>
              <w:overflowPunct w:val="0"/>
              <w:autoSpaceDE w:val="0"/>
              <w:autoSpaceDN w:val="0"/>
              <w:adjustRightInd w:val="0"/>
              <w:snapToGrid w:val="0"/>
              <w:spacing w:before="80" w:after="80" w:line="200" w:lineRule="exact"/>
              <w:ind w:left="113" w:right="113"/>
              <w:jc w:val="right"/>
              <w:rPr>
                <w:i/>
                <w:sz w:val="16"/>
                <w:lang w:val="fr-FR"/>
              </w:rPr>
            </w:pPr>
            <w:r w:rsidRPr="00106460">
              <w:rPr>
                <w:i/>
                <w:sz w:val="16"/>
                <w:lang w:val="fr-FR"/>
              </w:rPr>
              <w:t>NO</w:t>
            </w:r>
            <w:r w:rsidRPr="00106460">
              <w:rPr>
                <w:i/>
                <w:sz w:val="16"/>
                <w:vertAlign w:val="subscript"/>
                <w:lang w:val="fr-FR"/>
              </w:rPr>
              <w:t>x</w:t>
            </w:r>
          </w:p>
        </w:tc>
        <w:tc>
          <w:tcPr>
            <w:tcW w:w="2125" w:type="dxa"/>
            <w:tcBorders>
              <w:bottom w:val="nil"/>
            </w:tcBorders>
            <w:shd w:val="clear" w:color="auto" w:fill="auto"/>
            <w:vAlign w:val="bottom"/>
          </w:tcPr>
          <w:p w:rsidR="00106460" w:rsidRPr="00106460" w:rsidRDefault="00106460" w:rsidP="00106460">
            <w:pPr>
              <w:suppressAutoHyphens w:val="0"/>
              <w:kinsoku w:val="0"/>
              <w:overflowPunct w:val="0"/>
              <w:autoSpaceDE w:val="0"/>
              <w:autoSpaceDN w:val="0"/>
              <w:adjustRightInd w:val="0"/>
              <w:snapToGrid w:val="0"/>
              <w:spacing w:before="80" w:after="80" w:line="200" w:lineRule="exact"/>
              <w:ind w:left="113" w:right="113"/>
              <w:jc w:val="right"/>
              <w:rPr>
                <w:i/>
                <w:sz w:val="16"/>
                <w:lang w:val="fr-FR"/>
              </w:rPr>
            </w:pPr>
            <w:r w:rsidRPr="00106460">
              <w:rPr>
                <w:i/>
                <w:sz w:val="16"/>
                <w:lang w:val="fr-FR"/>
              </w:rPr>
              <w:t>CO</w:t>
            </w:r>
            <w:r w:rsidRPr="00106460">
              <w:rPr>
                <w:i/>
                <w:sz w:val="16"/>
                <w:vertAlign w:val="superscript"/>
                <w:lang w:val="fr-FR"/>
              </w:rPr>
              <w:t>1</w:t>
            </w:r>
          </w:p>
        </w:tc>
      </w:tr>
      <w:tr w:rsidR="00106460" w:rsidRPr="00106460" w:rsidTr="00334475">
        <w:trPr>
          <w:cantSplit/>
        </w:trPr>
        <w:tc>
          <w:tcPr>
            <w:tcW w:w="2923" w:type="dxa"/>
            <w:tcBorders>
              <w:top w:val="nil"/>
            </w:tcBorders>
            <w:shd w:val="clear" w:color="auto" w:fill="auto"/>
          </w:tcPr>
          <w:p w:rsidR="00106460" w:rsidRPr="00106460" w:rsidRDefault="00106460" w:rsidP="00106460">
            <w:pPr>
              <w:suppressAutoHyphens w:val="0"/>
              <w:kinsoku w:val="0"/>
              <w:overflowPunct w:val="0"/>
              <w:autoSpaceDE w:val="0"/>
              <w:autoSpaceDN w:val="0"/>
              <w:adjustRightInd w:val="0"/>
              <w:snapToGrid w:val="0"/>
              <w:spacing w:before="40" w:after="40" w:line="220" w:lineRule="exact"/>
              <w:ind w:left="113" w:right="113"/>
              <w:rPr>
                <w:sz w:val="18"/>
                <w:lang w:val="fr-FR"/>
              </w:rPr>
            </w:pPr>
            <w:r w:rsidRPr="00106460">
              <w:rPr>
                <w:sz w:val="18"/>
                <w:lang w:val="fr-FR"/>
              </w:rPr>
              <w:t>Phase transitoire</w:t>
            </w:r>
            <w:r w:rsidRPr="00106460" w:rsidDel="00C03D2A">
              <w:rPr>
                <w:sz w:val="18"/>
                <w:lang w:val="fr-FR"/>
              </w:rPr>
              <w:t xml:space="preserve"> </w:t>
            </w:r>
          </w:p>
        </w:tc>
        <w:tc>
          <w:tcPr>
            <w:tcW w:w="2322" w:type="dxa"/>
            <w:tcBorders>
              <w:top w:val="nil"/>
            </w:tcBorders>
            <w:shd w:val="clear" w:color="auto" w:fill="auto"/>
            <w:vAlign w:val="bottom"/>
          </w:tcPr>
          <w:p w:rsidR="00106460" w:rsidRPr="00106460" w:rsidRDefault="00106460" w:rsidP="00106460">
            <w:pPr>
              <w:suppressAutoHyphens w:val="0"/>
              <w:kinsoku w:val="0"/>
              <w:overflowPunct w:val="0"/>
              <w:autoSpaceDE w:val="0"/>
              <w:autoSpaceDN w:val="0"/>
              <w:adjustRightInd w:val="0"/>
              <w:snapToGrid w:val="0"/>
              <w:spacing w:before="40" w:after="40" w:line="220" w:lineRule="exact"/>
              <w:ind w:left="113" w:right="113"/>
              <w:jc w:val="right"/>
              <w:rPr>
                <w:sz w:val="18"/>
                <w:lang w:val="fr-FR"/>
              </w:rPr>
            </w:pPr>
            <w:r w:rsidRPr="00106460">
              <w:rPr>
                <w:sz w:val="18"/>
                <w:lang w:val="fr-FR"/>
              </w:rPr>
              <w:t>1 500</w:t>
            </w:r>
          </w:p>
        </w:tc>
        <w:tc>
          <w:tcPr>
            <w:tcW w:w="2125" w:type="dxa"/>
            <w:tcBorders>
              <w:top w:val="nil"/>
            </w:tcBorders>
            <w:shd w:val="clear" w:color="auto" w:fill="auto"/>
            <w:vAlign w:val="bottom"/>
          </w:tcPr>
          <w:p w:rsidR="00106460" w:rsidRPr="00106460" w:rsidRDefault="00106460" w:rsidP="00106460">
            <w:pPr>
              <w:suppressAutoHyphens w:val="0"/>
              <w:kinsoku w:val="0"/>
              <w:overflowPunct w:val="0"/>
              <w:autoSpaceDE w:val="0"/>
              <w:autoSpaceDN w:val="0"/>
              <w:adjustRightInd w:val="0"/>
              <w:snapToGrid w:val="0"/>
              <w:spacing w:before="40" w:after="40" w:line="220" w:lineRule="exact"/>
              <w:ind w:left="113" w:right="113"/>
              <w:jc w:val="right"/>
              <w:rPr>
                <w:sz w:val="18"/>
                <w:lang w:val="fr-FR"/>
              </w:rPr>
            </w:pPr>
            <w:r w:rsidRPr="00106460">
              <w:rPr>
                <w:sz w:val="18"/>
                <w:lang w:val="fr-FR"/>
              </w:rPr>
              <w:t>7 500</w:t>
            </w:r>
          </w:p>
        </w:tc>
      </w:tr>
      <w:tr w:rsidR="00106460" w:rsidRPr="00106460" w:rsidTr="00334475">
        <w:trPr>
          <w:cantSplit/>
        </w:trPr>
        <w:tc>
          <w:tcPr>
            <w:tcW w:w="2923" w:type="dxa"/>
            <w:tcBorders>
              <w:bottom w:val="single" w:sz="12" w:space="0" w:color="auto"/>
            </w:tcBorders>
            <w:shd w:val="clear" w:color="auto" w:fill="auto"/>
          </w:tcPr>
          <w:p w:rsidR="00106460" w:rsidRPr="00106460" w:rsidRDefault="00106460" w:rsidP="00106460">
            <w:pPr>
              <w:suppressAutoHyphens w:val="0"/>
              <w:kinsoku w:val="0"/>
              <w:overflowPunct w:val="0"/>
              <w:autoSpaceDE w:val="0"/>
              <w:autoSpaceDN w:val="0"/>
              <w:adjustRightInd w:val="0"/>
              <w:snapToGrid w:val="0"/>
              <w:spacing w:before="40" w:after="40" w:line="220" w:lineRule="exact"/>
              <w:ind w:left="113" w:right="113"/>
              <w:rPr>
                <w:sz w:val="18"/>
                <w:lang w:val="fr-FR"/>
              </w:rPr>
            </w:pPr>
            <w:r w:rsidRPr="00106460">
              <w:rPr>
                <w:sz w:val="18"/>
                <w:lang w:val="fr-FR"/>
              </w:rPr>
              <w:t>Prescriptions générales</w:t>
            </w:r>
          </w:p>
        </w:tc>
        <w:tc>
          <w:tcPr>
            <w:tcW w:w="2322" w:type="dxa"/>
            <w:tcBorders>
              <w:bottom w:val="single" w:sz="12" w:space="0" w:color="auto"/>
            </w:tcBorders>
            <w:shd w:val="clear" w:color="auto" w:fill="auto"/>
            <w:vAlign w:val="bottom"/>
          </w:tcPr>
          <w:p w:rsidR="00106460" w:rsidRPr="00106460" w:rsidRDefault="00106460" w:rsidP="00106460">
            <w:pPr>
              <w:suppressAutoHyphens w:val="0"/>
              <w:kinsoku w:val="0"/>
              <w:overflowPunct w:val="0"/>
              <w:autoSpaceDE w:val="0"/>
              <w:autoSpaceDN w:val="0"/>
              <w:adjustRightInd w:val="0"/>
              <w:snapToGrid w:val="0"/>
              <w:spacing w:before="40" w:after="40" w:line="220" w:lineRule="exact"/>
              <w:ind w:left="113" w:right="113"/>
              <w:jc w:val="right"/>
              <w:rPr>
                <w:sz w:val="18"/>
                <w:lang w:val="fr-FR"/>
              </w:rPr>
            </w:pPr>
            <w:r w:rsidRPr="00106460">
              <w:rPr>
                <w:sz w:val="18"/>
                <w:lang w:val="fr-FR"/>
              </w:rPr>
              <w:t>1 200</w:t>
            </w:r>
          </w:p>
        </w:tc>
        <w:tc>
          <w:tcPr>
            <w:tcW w:w="2125" w:type="dxa"/>
            <w:tcBorders>
              <w:bottom w:val="single" w:sz="12" w:space="0" w:color="auto"/>
            </w:tcBorders>
            <w:shd w:val="clear" w:color="auto" w:fill="auto"/>
            <w:vAlign w:val="bottom"/>
          </w:tcPr>
          <w:p w:rsidR="00106460" w:rsidRPr="00106460" w:rsidRDefault="00106460" w:rsidP="00106460">
            <w:pPr>
              <w:suppressAutoHyphens w:val="0"/>
              <w:kinsoku w:val="0"/>
              <w:overflowPunct w:val="0"/>
              <w:autoSpaceDE w:val="0"/>
              <w:autoSpaceDN w:val="0"/>
              <w:adjustRightInd w:val="0"/>
              <w:snapToGrid w:val="0"/>
              <w:spacing w:before="40" w:after="40" w:line="220" w:lineRule="exact"/>
              <w:ind w:left="113" w:right="113"/>
              <w:jc w:val="right"/>
              <w:rPr>
                <w:sz w:val="18"/>
                <w:lang w:val="fr-FR"/>
              </w:rPr>
            </w:pPr>
            <w:r w:rsidRPr="00106460">
              <w:rPr>
                <w:sz w:val="18"/>
                <w:lang w:val="fr-FR"/>
              </w:rPr>
              <w:t>7 500</w:t>
            </w:r>
          </w:p>
        </w:tc>
      </w:tr>
    </w:tbl>
    <w:p w:rsidR="00106460" w:rsidRPr="00106460" w:rsidRDefault="00106460" w:rsidP="00106460">
      <w:pPr>
        <w:kinsoku w:val="0"/>
        <w:overflowPunct w:val="0"/>
        <w:autoSpaceDE w:val="0"/>
        <w:autoSpaceDN w:val="0"/>
        <w:adjustRightInd w:val="0"/>
        <w:snapToGrid w:val="0"/>
        <w:spacing w:before="120" w:after="120"/>
        <w:ind w:left="1134" w:right="1134" w:firstLine="170"/>
        <w:rPr>
          <w:sz w:val="18"/>
          <w:szCs w:val="18"/>
          <w:lang w:val="fr-FR"/>
        </w:rPr>
      </w:pPr>
      <w:r w:rsidRPr="00106460">
        <w:rPr>
          <w:i/>
          <w:sz w:val="18"/>
          <w:szCs w:val="18"/>
          <w:vertAlign w:val="superscript"/>
          <w:lang w:val="fr-FR"/>
        </w:rPr>
        <w:t>1</w:t>
      </w:r>
      <w:r w:rsidRPr="00106460">
        <w:rPr>
          <w:sz w:val="18"/>
          <w:szCs w:val="18"/>
          <w:lang w:val="fr-FR"/>
        </w:rPr>
        <w:t xml:space="preserve">  Les dispositions transitoires relatives à l’introduction des valeurs limites OBD pour le monoxyde de carbone sont précisées dans les paragraphes 13.2.2 et 13.3.2 du présent Règlement.</w:t>
      </w:r>
      <w:r w:rsidRPr="00106460">
        <w:rPr>
          <w:lang w:val="fr-FR"/>
        </w:rPr>
        <w:t>».</w:t>
      </w:r>
    </w:p>
    <w:p w:rsidR="00106460" w:rsidRPr="00106460" w:rsidRDefault="00106460" w:rsidP="00106460">
      <w:pPr>
        <w:kinsoku w:val="0"/>
        <w:overflowPunct w:val="0"/>
        <w:autoSpaceDE w:val="0"/>
        <w:autoSpaceDN w:val="0"/>
        <w:adjustRightInd w:val="0"/>
        <w:snapToGrid w:val="0"/>
        <w:spacing w:after="120"/>
        <w:ind w:left="1134" w:right="1134"/>
        <w:jc w:val="both"/>
        <w:rPr>
          <w:i/>
          <w:lang w:val="fr-FR"/>
        </w:rPr>
      </w:pPr>
      <w:r w:rsidRPr="00106460">
        <w:rPr>
          <w:i/>
          <w:lang w:val="fr-FR"/>
        </w:rPr>
        <w:t>Annexe 9B</w:t>
      </w:r>
      <w:r w:rsidR="008E6F93">
        <w:rPr>
          <w:i/>
          <w:lang w:val="fr-FR"/>
        </w:rPr>
        <w:t>,</w:t>
      </w:r>
    </w:p>
    <w:p w:rsidR="00106460" w:rsidRPr="00106460" w:rsidRDefault="00106460" w:rsidP="00106460">
      <w:pPr>
        <w:kinsoku w:val="0"/>
        <w:overflowPunct w:val="0"/>
        <w:autoSpaceDE w:val="0"/>
        <w:autoSpaceDN w:val="0"/>
        <w:adjustRightInd w:val="0"/>
        <w:snapToGrid w:val="0"/>
        <w:spacing w:after="120"/>
        <w:ind w:left="1134" w:right="1134"/>
        <w:jc w:val="both"/>
        <w:rPr>
          <w:lang w:val="fr-FR"/>
        </w:rPr>
      </w:pPr>
      <w:r w:rsidRPr="00106460">
        <w:rPr>
          <w:i/>
          <w:lang w:val="fr-FR"/>
        </w:rPr>
        <w:t>Paragraphe 3.5</w:t>
      </w:r>
      <w:r w:rsidRPr="00106460">
        <w:rPr>
          <w:lang w:val="fr-FR"/>
        </w:rPr>
        <w:t>,</w:t>
      </w:r>
      <w:r w:rsidRPr="00106460">
        <w:rPr>
          <w:i/>
          <w:lang w:val="fr-FR"/>
        </w:rPr>
        <w:t xml:space="preserve"> </w:t>
      </w:r>
      <w:r w:rsidRPr="00106460">
        <w:rPr>
          <w:lang w:val="fr-FR"/>
        </w:rPr>
        <w:t>modifier comme suit:</w:t>
      </w:r>
    </w:p>
    <w:p w:rsidR="00106460" w:rsidRPr="00106460" w:rsidRDefault="00106460" w:rsidP="00106460">
      <w:pPr>
        <w:kinsoku w:val="0"/>
        <w:overflowPunct w:val="0"/>
        <w:autoSpaceDE w:val="0"/>
        <w:autoSpaceDN w:val="0"/>
        <w:adjustRightInd w:val="0"/>
        <w:snapToGrid w:val="0"/>
        <w:spacing w:after="120"/>
        <w:ind w:left="2268" w:right="1134" w:hanging="1134"/>
        <w:jc w:val="both"/>
        <w:rPr>
          <w:b/>
          <w:u w:val="single"/>
          <w:lang w:val="fr-FR"/>
        </w:rPr>
      </w:pPr>
      <w:r w:rsidRPr="00106460">
        <w:rPr>
          <w:lang w:val="fr-FR"/>
        </w:rPr>
        <w:t>«3.5</w:t>
      </w:r>
      <w:r w:rsidRPr="00106460">
        <w:rPr>
          <w:lang w:val="fr-FR"/>
        </w:rPr>
        <w:tab/>
        <w:t>Par “</w:t>
      </w:r>
      <w:r w:rsidRPr="00106460">
        <w:rPr>
          <w:i/>
          <w:lang w:val="fr-FR"/>
        </w:rPr>
        <w:t>état permanent</w:t>
      </w:r>
      <w:r w:rsidRPr="00106460">
        <w:rPr>
          <w:lang w:val="fr-FR"/>
        </w:rPr>
        <w:t>”, on entend l’état où l’indicateur de défaut affiche un signal continu entre le moment où le contact est mis et le moteur mis en marche ou le moment où le véhicule se met en mouvement, selon ce qui se produit en premier, et le moment où le contact est coupé</w:t>
      </w:r>
      <w:r w:rsidRPr="00106460">
        <w:rPr>
          <w:i/>
          <w:lang w:val="fr-FR"/>
        </w:rPr>
        <w:t>.</w:t>
      </w:r>
      <w:r w:rsidRPr="00106460">
        <w:rPr>
          <w:lang w:val="fr-FR"/>
        </w:rPr>
        <w:t>».</w:t>
      </w:r>
    </w:p>
    <w:p w:rsidR="00106460" w:rsidRPr="00106460" w:rsidRDefault="00106460" w:rsidP="00106460">
      <w:pPr>
        <w:kinsoku w:val="0"/>
        <w:overflowPunct w:val="0"/>
        <w:autoSpaceDE w:val="0"/>
        <w:autoSpaceDN w:val="0"/>
        <w:adjustRightInd w:val="0"/>
        <w:snapToGrid w:val="0"/>
        <w:spacing w:after="120"/>
        <w:ind w:left="1134" w:right="1134"/>
        <w:jc w:val="both"/>
        <w:rPr>
          <w:lang w:val="fr-FR"/>
        </w:rPr>
      </w:pPr>
      <w:r w:rsidRPr="00106460">
        <w:rPr>
          <w:i/>
          <w:lang w:val="fr-FR"/>
        </w:rPr>
        <w:t>Paragraphe 3.22</w:t>
      </w:r>
      <w:r w:rsidRPr="00106460">
        <w:rPr>
          <w:lang w:val="fr-FR"/>
        </w:rPr>
        <w:t>, modifier comme suit:</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«3.22</w:t>
      </w:r>
      <w:r w:rsidRPr="00106460">
        <w:rPr>
          <w:lang w:val="fr-FR"/>
        </w:rPr>
        <w:tab/>
        <w:t>Par “</w:t>
      </w:r>
      <w:r w:rsidRPr="00106460">
        <w:rPr>
          <w:i/>
          <w:lang w:val="fr-FR"/>
        </w:rPr>
        <w:t>état provisoire</w:t>
      </w:r>
      <w:r w:rsidRPr="00106460">
        <w:rPr>
          <w:lang w:val="fr-FR"/>
        </w:rPr>
        <w:t>”, on entend l’état où l’indicateur de défaut affiche un signal continu d’une durée de 15 s entre le moment où le contact est mis et le moteur mis en marche ou le moment où le véhicule se met en mouvement, et son extinction soit après ces 15 s, soit au moment où le contact est coupé, selon ce qui se produit en premier</w:t>
      </w:r>
      <w:r w:rsidRPr="00106460">
        <w:rPr>
          <w:i/>
          <w:lang w:val="fr-FR"/>
        </w:rPr>
        <w:t>.</w:t>
      </w:r>
      <w:r w:rsidRPr="00106460">
        <w:rPr>
          <w:lang w:val="fr-FR"/>
        </w:rPr>
        <w:t>».</w:t>
      </w:r>
    </w:p>
    <w:p w:rsidR="00106460" w:rsidRPr="00106460" w:rsidRDefault="00106460" w:rsidP="00106460">
      <w:pPr>
        <w:kinsoku w:val="0"/>
        <w:overflowPunct w:val="0"/>
        <w:autoSpaceDE w:val="0"/>
        <w:autoSpaceDN w:val="0"/>
        <w:adjustRightInd w:val="0"/>
        <w:snapToGrid w:val="0"/>
        <w:spacing w:after="120"/>
        <w:ind w:left="1134" w:right="1134"/>
        <w:jc w:val="both"/>
        <w:rPr>
          <w:lang w:val="fr-FR"/>
        </w:rPr>
      </w:pPr>
      <w:r w:rsidRPr="00106460">
        <w:rPr>
          <w:i/>
          <w:lang w:val="fr-FR"/>
        </w:rPr>
        <w:t>Paragraphe 4.6.4</w:t>
      </w:r>
      <w:r w:rsidRPr="00106460">
        <w:rPr>
          <w:lang w:val="fr-FR"/>
        </w:rPr>
        <w:t>, modifier comme suit:</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bookmarkStart w:id="3" w:name="_Toc116368237"/>
      <w:bookmarkStart w:id="4" w:name="_Ref116444577"/>
      <w:bookmarkStart w:id="5" w:name="_Toc118223037"/>
      <w:r w:rsidRPr="00106460">
        <w:rPr>
          <w:lang w:val="fr-FR"/>
        </w:rPr>
        <w:t>«4.6.4</w:t>
      </w:r>
      <w:r w:rsidRPr="00106460">
        <w:rPr>
          <w:lang w:val="fr-FR"/>
        </w:rPr>
        <w:tab/>
      </w:r>
      <w:bookmarkEnd w:id="3"/>
      <w:bookmarkEnd w:id="4"/>
      <w:bookmarkEnd w:id="5"/>
      <w:r w:rsidRPr="00106460">
        <w:rPr>
          <w:lang w:val="fr-FR"/>
        </w:rPr>
        <w:t>Activation du témoin lorsque le contact est mis moteur arrêté</w:t>
      </w:r>
    </w:p>
    <w:p w:rsidR="00106460" w:rsidRPr="00106460" w:rsidRDefault="00106460" w:rsidP="00106460">
      <w:pPr>
        <w:kinsoku w:val="0"/>
        <w:overflowPunct w:val="0"/>
        <w:autoSpaceDE w:val="0"/>
        <w:autoSpaceDN w:val="0"/>
        <w:adjustRightInd w:val="0"/>
        <w:snapToGrid w:val="0"/>
        <w:spacing w:after="120"/>
        <w:ind w:left="2268" w:right="1134"/>
        <w:jc w:val="both"/>
        <w:rPr>
          <w:lang w:val="fr-FR"/>
        </w:rPr>
      </w:pPr>
      <w:r w:rsidRPr="00106460">
        <w:rPr>
          <w:lang w:val="fr-FR"/>
        </w:rPr>
        <w:t>L’activation du témoin contact mis et moteur arrêté doit comprendre deux séquences séparées par un intervalle de 5 s pendant lesquelles le témoin est éteint:</w:t>
      </w:r>
    </w:p>
    <w:p w:rsidR="00106460" w:rsidRPr="00106460" w:rsidRDefault="00106460" w:rsidP="00106460">
      <w:pPr>
        <w:kinsoku w:val="0"/>
        <w:overflowPunct w:val="0"/>
        <w:autoSpaceDE w:val="0"/>
        <w:autoSpaceDN w:val="0"/>
        <w:adjustRightInd w:val="0"/>
        <w:snapToGrid w:val="0"/>
        <w:spacing w:after="120"/>
        <w:ind w:left="2835" w:right="1134" w:hanging="567"/>
        <w:jc w:val="both"/>
        <w:rPr>
          <w:lang w:val="fr-FR"/>
        </w:rPr>
      </w:pPr>
      <w:r w:rsidRPr="00106460">
        <w:rPr>
          <w:lang w:val="fr-FR"/>
        </w:rPr>
        <w:t>a)</w:t>
      </w:r>
      <w:r w:rsidRPr="00106460">
        <w:rPr>
          <w:lang w:val="fr-FR"/>
        </w:rPr>
        <w:tab/>
        <w:t>La première séquence indique que le témoin est en état de fonctionnement et que les composants sous surveillance sont à l’état “prêt”;</w:t>
      </w:r>
    </w:p>
    <w:p w:rsidR="00106460" w:rsidRPr="00106460" w:rsidRDefault="00106460" w:rsidP="00106460">
      <w:pPr>
        <w:kinsoku w:val="0"/>
        <w:overflowPunct w:val="0"/>
        <w:autoSpaceDE w:val="0"/>
        <w:autoSpaceDN w:val="0"/>
        <w:adjustRightInd w:val="0"/>
        <w:snapToGrid w:val="0"/>
        <w:spacing w:after="120"/>
        <w:ind w:left="2835" w:right="1134" w:hanging="567"/>
        <w:jc w:val="both"/>
        <w:rPr>
          <w:lang w:val="fr-FR"/>
        </w:rPr>
      </w:pPr>
      <w:r w:rsidRPr="00106460">
        <w:rPr>
          <w:lang w:val="fr-FR"/>
        </w:rPr>
        <w:t>b)</w:t>
      </w:r>
      <w:r w:rsidRPr="00106460">
        <w:rPr>
          <w:lang w:val="fr-FR"/>
        </w:rPr>
        <w:tab/>
        <w:t>La seconde séquence signale la présence d’un défaut de fonctionnement.</w:t>
      </w:r>
    </w:p>
    <w:p w:rsidR="00106460" w:rsidRPr="00106460" w:rsidRDefault="00106460" w:rsidP="00106460">
      <w:pPr>
        <w:kinsoku w:val="0"/>
        <w:overflowPunct w:val="0"/>
        <w:autoSpaceDE w:val="0"/>
        <w:autoSpaceDN w:val="0"/>
        <w:adjustRightInd w:val="0"/>
        <w:snapToGrid w:val="0"/>
        <w:spacing w:after="120"/>
        <w:ind w:left="2268" w:right="1134"/>
        <w:jc w:val="both"/>
        <w:rPr>
          <w:lang w:val="fr-FR"/>
        </w:rPr>
      </w:pPr>
      <w:r w:rsidRPr="00106460">
        <w:rPr>
          <w:lang w:val="fr-FR"/>
        </w:rPr>
        <w:t>La première séquence débute la première fois que le système est en position “marche” et se poursuit jusqu’à son achèvement normal ou jusqu’à la coupure du contact, selon ce qui se produit en premier.</w:t>
      </w:r>
    </w:p>
    <w:p w:rsidR="00106460" w:rsidRPr="00106460" w:rsidRDefault="00106460" w:rsidP="00106460">
      <w:pPr>
        <w:kinsoku w:val="0"/>
        <w:overflowPunct w:val="0"/>
        <w:autoSpaceDE w:val="0"/>
        <w:autoSpaceDN w:val="0"/>
        <w:adjustRightInd w:val="0"/>
        <w:snapToGrid w:val="0"/>
        <w:spacing w:after="120"/>
        <w:ind w:left="2268" w:right="1134"/>
        <w:jc w:val="both"/>
        <w:rPr>
          <w:lang w:val="fr-FR"/>
        </w:rPr>
      </w:pPr>
      <w:r w:rsidRPr="00106460">
        <w:rPr>
          <w:lang w:val="fr-FR"/>
        </w:rPr>
        <w:t>La seconde séquence est répétée soit jusqu’au démarrage</w:t>
      </w:r>
      <w:r w:rsidRPr="00106460">
        <w:rPr>
          <w:vertAlign w:val="superscript"/>
          <w:lang w:val="fr-FR"/>
        </w:rPr>
        <w:t xml:space="preserve">1 </w:t>
      </w:r>
      <w:r w:rsidRPr="00106460">
        <w:rPr>
          <w:lang w:val="fr-FR"/>
        </w:rPr>
        <w:t>du moteur, soit jusqu’à ce que le véhicule se mette en mouvement, soit jusqu’à la coupure du contact, selon ce qui se produit en premier.</w:t>
      </w:r>
    </w:p>
    <w:p w:rsidR="00106460" w:rsidRPr="00106460" w:rsidRDefault="00106460" w:rsidP="00106460">
      <w:pPr>
        <w:kinsoku w:val="0"/>
        <w:overflowPunct w:val="0"/>
        <w:autoSpaceDE w:val="0"/>
        <w:autoSpaceDN w:val="0"/>
        <w:adjustRightInd w:val="0"/>
        <w:snapToGrid w:val="0"/>
        <w:spacing w:after="120"/>
        <w:ind w:left="2268" w:right="1134" w:hanging="1134"/>
        <w:jc w:val="both"/>
        <w:rPr>
          <w:u w:val="single"/>
        </w:rPr>
      </w:pPr>
      <w:r w:rsidRPr="00106460">
        <w:separator/>
      </w:r>
    </w:p>
    <w:p w:rsidR="00106460" w:rsidRPr="00106460" w:rsidRDefault="00106460" w:rsidP="00106460">
      <w:pPr>
        <w:kinsoku w:val="0"/>
        <w:overflowPunct w:val="0"/>
        <w:autoSpaceDE w:val="0"/>
        <w:autoSpaceDN w:val="0"/>
        <w:adjustRightInd w:val="0"/>
        <w:snapToGrid w:val="0"/>
        <w:spacing w:after="120"/>
        <w:ind w:left="1134" w:right="1134"/>
        <w:rPr>
          <w:lang w:val="fr-FR"/>
        </w:rPr>
      </w:pPr>
      <w:r w:rsidRPr="00106460">
        <w:rPr>
          <w:vertAlign w:val="superscript"/>
        </w:rPr>
        <w:t>1</w:t>
      </w:r>
      <w:r w:rsidRPr="00106460">
        <w:t xml:space="preserve">  </w:t>
      </w:r>
      <w:r w:rsidRPr="00106460">
        <w:rPr>
          <w:sz w:val="18"/>
          <w:szCs w:val="18"/>
          <w:lang w:val="fr-FR"/>
        </w:rPr>
        <w:t>Un moteur peut être considéré comme étant démarré au cours de la phase de lancement.</w:t>
      </w:r>
      <w:r w:rsidRPr="00106460">
        <w:rPr>
          <w:lang w:val="fr-FR"/>
        </w:rPr>
        <w:t>»</w:t>
      </w:r>
      <w:r w:rsidRPr="00106460">
        <w:rPr>
          <w:sz w:val="18"/>
          <w:szCs w:val="18"/>
          <w:lang w:val="fr-FR"/>
        </w:rPr>
        <w:t>.</w:t>
      </w:r>
    </w:p>
    <w:p w:rsidR="00106460" w:rsidRPr="00106460" w:rsidRDefault="00106460" w:rsidP="00106460">
      <w:pPr>
        <w:kinsoku w:val="0"/>
        <w:overflowPunct w:val="0"/>
        <w:autoSpaceDE w:val="0"/>
        <w:autoSpaceDN w:val="0"/>
        <w:adjustRightInd w:val="0"/>
        <w:snapToGrid w:val="0"/>
        <w:spacing w:before="240" w:after="120"/>
        <w:ind w:left="1134" w:right="1134"/>
        <w:jc w:val="both"/>
        <w:rPr>
          <w:lang w:val="fr-FR"/>
        </w:rPr>
      </w:pPr>
      <w:r w:rsidRPr="00106460">
        <w:rPr>
          <w:i/>
          <w:lang w:val="fr-FR"/>
        </w:rPr>
        <w:t>Première phrase des paragraphes 4.6.5.1.1 et 4.6.5.1.2,</w:t>
      </w:r>
      <w:r w:rsidRPr="00106460">
        <w:rPr>
          <w:lang w:val="fr-FR"/>
        </w:rPr>
        <w:t xml:space="preserve"> modifier comme suit:</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«4.6.5.1.1</w:t>
      </w:r>
      <w:r w:rsidRPr="00106460">
        <w:rPr>
          <w:lang w:val="fr-FR"/>
        </w:rPr>
        <w:tab/>
        <w:t>Compteur d’état permanent</w:t>
      </w:r>
    </w:p>
    <w:p w:rsidR="00106460" w:rsidRPr="00106460" w:rsidRDefault="00106460" w:rsidP="00106460">
      <w:pPr>
        <w:kinsoku w:val="0"/>
        <w:overflowPunct w:val="0"/>
        <w:autoSpaceDE w:val="0"/>
        <w:autoSpaceDN w:val="0"/>
        <w:adjustRightInd w:val="0"/>
        <w:snapToGrid w:val="0"/>
        <w:spacing w:after="120"/>
        <w:ind w:left="2268" w:right="1134"/>
        <w:jc w:val="both"/>
        <w:rPr>
          <w:lang w:val="fr-FR"/>
        </w:rPr>
      </w:pPr>
      <w:r w:rsidRPr="00106460">
        <w:rPr>
          <w:lang w:val="fr-FR"/>
        </w:rPr>
        <w:t>Le système OBD doit comptabiliser le nombre d’heures pendant lesquelles le moteur à combustion interne a fonctionné alors que l’indicateur était en état permanent. …</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4.6.5.1.2</w:t>
      </w:r>
      <w:r w:rsidRPr="00106460">
        <w:rPr>
          <w:lang w:val="fr-FR"/>
        </w:rPr>
        <w:tab/>
        <w:t>Compteur cumulatif d’état permanent</w:t>
      </w:r>
    </w:p>
    <w:p w:rsidR="00106460" w:rsidRPr="00106460" w:rsidRDefault="00106460" w:rsidP="00106460">
      <w:pPr>
        <w:kinsoku w:val="0"/>
        <w:overflowPunct w:val="0"/>
        <w:autoSpaceDE w:val="0"/>
        <w:autoSpaceDN w:val="0"/>
        <w:adjustRightInd w:val="0"/>
        <w:snapToGrid w:val="0"/>
        <w:spacing w:after="120"/>
        <w:ind w:left="2268" w:right="1134"/>
        <w:jc w:val="both"/>
        <w:rPr>
          <w:lang w:val="fr-FR"/>
        </w:rPr>
      </w:pPr>
      <w:r w:rsidRPr="00106460">
        <w:rPr>
          <w:lang w:val="fr-FR"/>
        </w:rPr>
        <w:t>Le système OBD doit comprendre un système de comptage cumulatif du nombre d’heures pendant lesquelles le moteur à combustion interne a fonctionné alors qu’un état permanent était activé. …».</w:t>
      </w:r>
    </w:p>
    <w:p w:rsidR="00106460" w:rsidRPr="00106460" w:rsidRDefault="00106460" w:rsidP="00106460">
      <w:pPr>
        <w:kinsoku w:val="0"/>
        <w:overflowPunct w:val="0"/>
        <w:autoSpaceDE w:val="0"/>
        <w:autoSpaceDN w:val="0"/>
        <w:adjustRightInd w:val="0"/>
        <w:snapToGrid w:val="0"/>
        <w:spacing w:after="120"/>
        <w:ind w:left="1134" w:right="1134"/>
        <w:jc w:val="both"/>
        <w:rPr>
          <w:lang w:val="fr-FR"/>
        </w:rPr>
      </w:pPr>
      <w:r w:rsidRPr="00106460">
        <w:rPr>
          <w:i/>
          <w:lang w:val="fr-FR"/>
        </w:rPr>
        <w:t>Première phrase du paragraphe 4.6.5.2.1</w:t>
      </w:r>
      <w:r w:rsidRPr="00106460">
        <w:rPr>
          <w:lang w:val="fr-FR"/>
        </w:rPr>
        <w:t>, modifier comme suit:</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«4.6.5.2.1</w:t>
      </w:r>
      <w:r w:rsidRPr="00106460">
        <w:rPr>
          <w:lang w:val="fr-FR"/>
        </w:rPr>
        <w:tab/>
        <w:t>Compteur de défauts B1 simple</w:t>
      </w:r>
    </w:p>
    <w:p w:rsidR="00106460" w:rsidRPr="00106460" w:rsidRDefault="00106460" w:rsidP="00106460">
      <w:pPr>
        <w:kinsoku w:val="0"/>
        <w:overflowPunct w:val="0"/>
        <w:autoSpaceDE w:val="0"/>
        <w:autoSpaceDN w:val="0"/>
        <w:adjustRightInd w:val="0"/>
        <w:snapToGrid w:val="0"/>
        <w:spacing w:after="120"/>
        <w:ind w:left="2268" w:right="1134"/>
        <w:jc w:val="both"/>
        <w:rPr>
          <w:lang w:val="fr-FR"/>
        </w:rPr>
      </w:pPr>
      <w:r w:rsidRPr="00106460">
        <w:rPr>
          <w:lang w:val="fr-FR"/>
        </w:rPr>
        <w:t>Le système OBD doit comprendre un compteur de défauts B1 pour enregistrer le nombre d’heures pendant lesquelles le moteur à combustion interne a fonctionné avec un défaut de classe B1. …».</w:t>
      </w:r>
    </w:p>
    <w:p w:rsidR="00106460" w:rsidRPr="00106460" w:rsidRDefault="00106460" w:rsidP="00106460">
      <w:pPr>
        <w:kinsoku w:val="0"/>
        <w:overflowPunct w:val="0"/>
        <w:autoSpaceDE w:val="0"/>
        <w:autoSpaceDN w:val="0"/>
        <w:adjustRightInd w:val="0"/>
        <w:snapToGrid w:val="0"/>
        <w:spacing w:after="120"/>
        <w:ind w:left="1134" w:right="1134"/>
        <w:jc w:val="both"/>
        <w:rPr>
          <w:i/>
          <w:lang w:val="fr-FR"/>
        </w:rPr>
      </w:pPr>
      <w:r w:rsidRPr="00106460">
        <w:rPr>
          <w:i/>
          <w:lang w:val="fr-FR"/>
        </w:rPr>
        <w:t>Annexe 9C</w:t>
      </w:r>
      <w:r w:rsidR="00334475">
        <w:rPr>
          <w:i/>
          <w:lang w:val="fr-FR"/>
        </w:rPr>
        <w:t>,</w:t>
      </w:r>
    </w:p>
    <w:p w:rsidR="00106460" w:rsidRPr="00106460" w:rsidRDefault="00106460" w:rsidP="00106460">
      <w:pPr>
        <w:kinsoku w:val="0"/>
        <w:overflowPunct w:val="0"/>
        <w:autoSpaceDE w:val="0"/>
        <w:autoSpaceDN w:val="0"/>
        <w:adjustRightInd w:val="0"/>
        <w:snapToGrid w:val="0"/>
        <w:spacing w:after="120"/>
        <w:ind w:left="1134" w:right="1134"/>
        <w:jc w:val="both"/>
        <w:rPr>
          <w:lang w:val="fr-FR"/>
        </w:rPr>
      </w:pPr>
      <w:r w:rsidRPr="00106460">
        <w:rPr>
          <w:i/>
          <w:lang w:val="fr-FR"/>
        </w:rPr>
        <w:t>Paragraphe 5.5</w:t>
      </w:r>
      <w:r w:rsidRPr="00106460">
        <w:rPr>
          <w:lang w:val="fr-FR"/>
        </w:rPr>
        <w:t>, modifier comme suit:</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«5.5</w:t>
      </w:r>
      <w:r w:rsidRPr="00106460">
        <w:rPr>
          <w:lang w:val="fr-FR"/>
        </w:rPr>
        <w:tab/>
        <w:t>Prescriptions applicables à l’augmentation du compteur de cycles d’allumage</w:t>
      </w:r>
    </w:p>
    <w:p w:rsidR="00106460" w:rsidRPr="00106460" w:rsidRDefault="00106460" w:rsidP="00106460">
      <w:pPr>
        <w:kinsoku w:val="0"/>
        <w:overflowPunct w:val="0"/>
        <w:autoSpaceDE w:val="0"/>
        <w:autoSpaceDN w:val="0"/>
        <w:adjustRightInd w:val="0"/>
        <w:snapToGrid w:val="0"/>
        <w:spacing w:after="120"/>
        <w:ind w:left="2268" w:right="1134"/>
        <w:jc w:val="both"/>
        <w:rPr>
          <w:lang w:val="fr-FR"/>
        </w:rPr>
      </w:pPr>
      <w:r w:rsidRPr="00106460">
        <w:rPr>
          <w:lang w:val="fr-FR"/>
        </w:rPr>
        <w:t>Le compteur de cycles d’allumage doit être augmenté une fois et une fois seulement par cycle d’essai.».</w:t>
      </w:r>
    </w:p>
    <w:p w:rsidR="00106460" w:rsidRDefault="00106460" w:rsidP="00106460">
      <w:pPr>
        <w:kinsoku w:val="0"/>
        <w:overflowPunct w:val="0"/>
        <w:autoSpaceDE w:val="0"/>
        <w:autoSpaceDN w:val="0"/>
        <w:adjustRightInd w:val="0"/>
        <w:snapToGrid w:val="0"/>
        <w:spacing w:after="120"/>
        <w:ind w:left="1134" w:right="1134"/>
        <w:jc w:val="both"/>
        <w:rPr>
          <w:i/>
          <w:lang w:val="fr-FR"/>
        </w:rPr>
      </w:pPr>
      <w:r w:rsidRPr="00106460">
        <w:rPr>
          <w:i/>
          <w:lang w:val="fr-FR"/>
        </w:rPr>
        <w:t>Annexe 11</w:t>
      </w:r>
      <w:r w:rsidR="00334475">
        <w:rPr>
          <w:i/>
          <w:lang w:val="fr-FR"/>
        </w:rPr>
        <w:t>,</w:t>
      </w:r>
    </w:p>
    <w:p w:rsidR="00106460" w:rsidRPr="00106460" w:rsidRDefault="00106460" w:rsidP="00106460">
      <w:pPr>
        <w:kinsoku w:val="0"/>
        <w:overflowPunct w:val="0"/>
        <w:autoSpaceDE w:val="0"/>
        <w:autoSpaceDN w:val="0"/>
        <w:adjustRightInd w:val="0"/>
        <w:snapToGrid w:val="0"/>
        <w:spacing w:after="120"/>
        <w:ind w:left="1134" w:right="1134"/>
        <w:jc w:val="both"/>
        <w:rPr>
          <w:lang w:val="fr-FR"/>
        </w:rPr>
      </w:pPr>
      <w:r w:rsidRPr="00106460">
        <w:rPr>
          <w:i/>
          <w:lang w:val="fr-FR"/>
        </w:rPr>
        <w:t>Paragraphe 2.1.1, y compris la note de bas de page</w:t>
      </w:r>
      <w:r w:rsidRPr="00106460">
        <w:rPr>
          <w:lang w:val="fr-FR"/>
        </w:rPr>
        <w:t>, modifier comme suit:</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«2.1.1</w:t>
      </w:r>
      <w:r w:rsidRPr="00106460">
        <w:rPr>
          <w:lang w:val="fr-FR"/>
        </w:rPr>
        <w:tab/>
        <w:t>À la demande du constructeur, pour les véhicules des catégories M</w:t>
      </w:r>
      <w:r w:rsidRPr="00106460">
        <w:rPr>
          <w:vertAlign w:val="subscript"/>
          <w:lang w:val="fr-FR"/>
        </w:rPr>
        <w:t>2</w:t>
      </w:r>
      <w:r w:rsidRPr="00106460">
        <w:rPr>
          <w:lang w:val="fr-FR"/>
        </w:rPr>
        <w:t xml:space="preserve"> et N</w:t>
      </w:r>
      <w:r w:rsidRPr="00106460">
        <w:rPr>
          <w:vertAlign w:val="subscript"/>
          <w:lang w:val="fr-FR"/>
        </w:rPr>
        <w:t>1</w:t>
      </w:r>
      <w:r w:rsidRPr="00106460">
        <w:rPr>
          <w:lang w:val="fr-FR"/>
        </w:rPr>
        <w:t>, pour les véhicules des catégories M</w:t>
      </w:r>
      <w:r w:rsidRPr="00106460">
        <w:rPr>
          <w:vertAlign w:val="subscript"/>
          <w:lang w:val="fr-FR"/>
        </w:rPr>
        <w:t>1</w:t>
      </w:r>
      <w:r w:rsidRPr="00106460">
        <w:rPr>
          <w:lang w:val="fr-FR"/>
        </w:rPr>
        <w:t xml:space="preserve"> et N</w:t>
      </w:r>
      <w:r w:rsidRPr="00106460">
        <w:rPr>
          <w:vertAlign w:val="subscript"/>
          <w:lang w:val="fr-FR"/>
        </w:rPr>
        <w:t>2</w:t>
      </w:r>
      <w:r w:rsidRPr="00106460">
        <w:rPr>
          <w:lang w:val="fr-FR"/>
        </w:rPr>
        <w:t xml:space="preserve"> ayant un poids maximal admissible ne dépassant pas 7,5 t, et pour les véhicules de la catégorie M</w:t>
      </w:r>
      <w:r w:rsidRPr="00106460">
        <w:rPr>
          <w:vertAlign w:val="subscript"/>
          <w:lang w:val="fr-FR"/>
        </w:rPr>
        <w:t>3</w:t>
      </w:r>
      <w:r w:rsidRPr="00106460">
        <w:rPr>
          <w:lang w:val="fr-FR"/>
        </w:rPr>
        <w:t>, classe I, classe II et classes A et B</w:t>
      </w:r>
      <w:r w:rsidRPr="00106460">
        <w:rPr>
          <w:vertAlign w:val="superscript"/>
          <w:lang w:val="fr-FR"/>
        </w:rPr>
        <w:t>1</w:t>
      </w:r>
      <w:r w:rsidRPr="00106460">
        <w:rPr>
          <w:lang w:val="fr-FR"/>
        </w:rPr>
        <w:t xml:space="preserve"> ayant un poids maximal admissible ne dépassant pas 7,5 t, le respect des prescriptions de l’annexe 6 de la série 07 d’amendements au Règlement n</w:t>
      </w:r>
      <w:r w:rsidRPr="00106460">
        <w:rPr>
          <w:vertAlign w:val="superscript"/>
          <w:lang w:val="fr-FR"/>
        </w:rPr>
        <w:t>o</w:t>
      </w:r>
      <w:r w:rsidRPr="00106460">
        <w:rPr>
          <w:lang w:val="fr-FR"/>
        </w:rPr>
        <w:t> 83 est considéré comme équivalent au respect des dispositions de la présente annexe.</w:t>
      </w:r>
    </w:p>
    <w:p w:rsidR="00106460" w:rsidRPr="00106460" w:rsidRDefault="00106460" w:rsidP="00106460">
      <w:pPr>
        <w:kinsoku w:val="0"/>
        <w:overflowPunct w:val="0"/>
        <w:autoSpaceDE w:val="0"/>
        <w:autoSpaceDN w:val="0"/>
        <w:adjustRightInd w:val="0"/>
        <w:snapToGrid w:val="0"/>
        <w:spacing w:after="120"/>
        <w:ind w:left="2268" w:right="1134" w:hanging="1134"/>
        <w:jc w:val="both"/>
        <w:rPr>
          <w:u w:val="single"/>
        </w:rPr>
      </w:pPr>
      <w:r w:rsidRPr="00106460">
        <w:separator/>
      </w:r>
    </w:p>
    <w:p w:rsidR="00106460" w:rsidRPr="00106460" w:rsidRDefault="00106460" w:rsidP="00106460">
      <w:pPr>
        <w:kinsoku w:val="0"/>
        <w:overflowPunct w:val="0"/>
        <w:autoSpaceDE w:val="0"/>
        <w:autoSpaceDN w:val="0"/>
        <w:adjustRightInd w:val="0"/>
        <w:snapToGrid w:val="0"/>
        <w:spacing w:after="120"/>
        <w:ind w:left="1134" w:right="1134"/>
        <w:rPr>
          <w:lang w:val="fr-FR"/>
        </w:rPr>
      </w:pPr>
      <w:r w:rsidRPr="00106460">
        <w:rPr>
          <w:vertAlign w:val="superscript"/>
        </w:rPr>
        <w:t>1</w:t>
      </w:r>
      <w:r w:rsidRPr="00106460">
        <w:t xml:space="preserve">  </w:t>
      </w:r>
      <w:r w:rsidRPr="00106460">
        <w:rPr>
          <w:sz w:val="18"/>
          <w:szCs w:val="18"/>
          <w:lang w:val="fr-FR"/>
        </w:rPr>
        <w:t xml:space="preserve">Selon les définitions de la Résolution d’ensemble sur la construction des véhicules (R.E.3), document </w:t>
      </w:r>
      <w:hyperlink r:id="rId22" w:history="1">
        <w:r w:rsidRPr="00106460">
          <w:rPr>
            <w:color w:val="0000FF"/>
            <w:sz w:val="18"/>
            <w:szCs w:val="18"/>
            <w:lang w:val="fr-FR"/>
          </w:rPr>
          <w:t>ECE/TRANS/WP.29/78/Rev.3</w:t>
        </w:r>
      </w:hyperlink>
      <w:r w:rsidRPr="00106460">
        <w:rPr>
          <w:sz w:val="18"/>
          <w:szCs w:val="18"/>
          <w:lang w:val="fr-FR"/>
        </w:rPr>
        <w:t xml:space="preserve">, par. 2 − </w:t>
      </w:r>
      <w:hyperlink r:id="rId23" w:history="1">
        <w:r w:rsidRPr="00106460">
          <w:rPr>
            <w:color w:val="0000FF"/>
            <w:sz w:val="18"/>
            <w:szCs w:val="18"/>
            <w:lang w:val="fr-FR"/>
          </w:rPr>
          <w:t>www.unece.org/trans/main/wp29/wp29wgs/</w:t>
        </w:r>
        <w:r w:rsidRPr="00106460">
          <w:rPr>
            <w:color w:val="0000FF"/>
            <w:sz w:val="18"/>
            <w:szCs w:val="18"/>
            <w:lang w:val="fr-FR"/>
          </w:rPr>
          <w:br/>
          <w:t>wp29gen/wp29resolutions.html</w:t>
        </w:r>
      </w:hyperlink>
      <w:r w:rsidRPr="00106460">
        <w:rPr>
          <w:sz w:val="18"/>
          <w:szCs w:val="18"/>
          <w:lang w:val="fr-FR"/>
        </w:rPr>
        <w:t>.».</w:t>
      </w:r>
    </w:p>
    <w:p w:rsidR="00106460" w:rsidRPr="00106460" w:rsidRDefault="00106460" w:rsidP="00106460">
      <w:pPr>
        <w:kinsoku w:val="0"/>
        <w:overflowPunct w:val="0"/>
        <w:autoSpaceDE w:val="0"/>
        <w:autoSpaceDN w:val="0"/>
        <w:adjustRightInd w:val="0"/>
        <w:snapToGrid w:val="0"/>
        <w:spacing w:before="240" w:after="120"/>
        <w:ind w:left="1134" w:right="1134"/>
        <w:jc w:val="both"/>
        <w:rPr>
          <w:lang w:val="fr-FR"/>
        </w:rPr>
      </w:pPr>
      <w:r w:rsidRPr="00106460">
        <w:rPr>
          <w:i/>
          <w:lang w:val="fr-FR"/>
        </w:rPr>
        <w:t xml:space="preserve">Insérer </w:t>
      </w:r>
      <w:r w:rsidR="0092610C">
        <w:rPr>
          <w:i/>
        </w:rPr>
        <w:t xml:space="preserve">les </w:t>
      </w:r>
      <w:r w:rsidRPr="00106460">
        <w:rPr>
          <w:i/>
          <w:lang w:val="fr-FR"/>
        </w:rPr>
        <w:t>nouveaux paragraphes</w:t>
      </w:r>
      <w:r w:rsidR="00FF7BCD">
        <w:rPr>
          <w:i/>
          <w:lang w:val="fr-FR"/>
        </w:rPr>
        <w:t xml:space="preserve"> </w:t>
      </w:r>
      <w:r w:rsidR="00FF7BCD" w:rsidRPr="00FF7BCD">
        <w:rPr>
          <w:i/>
          <w:lang w:val="en-GB"/>
        </w:rPr>
        <w:t>2.1.2</w:t>
      </w:r>
      <w:r w:rsidR="00FF7BCD">
        <w:rPr>
          <w:i/>
          <w:lang w:val="en-GB"/>
        </w:rPr>
        <w:t xml:space="preserve"> à</w:t>
      </w:r>
      <w:r w:rsidR="00FF7BCD" w:rsidRPr="00FF7BCD">
        <w:rPr>
          <w:i/>
          <w:lang w:val="en-GB"/>
        </w:rPr>
        <w:t xml:space="preserve"> 2.1.2.2.5</w:t>
      </w:r>
      <w:r w:rsidRPr="00106460">
        <w:rPr>
          <w:lang w:val="fr-FR"/>
        </w:rPr>
        <w:t>, ainsi conçus:</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«2.1.2</w:t>
      </w:r>
      <w:r w:rsidRPr="00106460">
        <w:rPr>
          <w:lang w:val="fr-FR"/>
        </w:rPr>
        <w:tab/>
        <w:t>Si l’autre possibilité d’homologation est utilisée:</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2.1.2.1</w:t>
      </w:r>
      <w:r w:rsidRPr="00106460">
        <w:rPr>
          <w:lang w:val="fr-FR"/>
        </w:rPr>
        <w:tab/>
        <w:t>Les renseignements relatifs à la bonne exécution des fonctions de limitation des oxydes d’azote visés aux sections 3.2.12.2.8.1 à 3.2.12.2.8.5 de la partie 2 de l’annexe 1 du présent Règlement sont remplacés par les renseignements visés à la section 3.2.12.2.8 de l’annexe 1 de la série 07 d’amendements au Règlement n</w:t>
      </w:r>
      <w:r w:rsidRPr="00106460">
        <w:rPr>
          <w:vertAlign w:val="superscript"/>
          <w:lang w:val="fr-FR"/>
        </w:rPr>
        <w:t>o</w:t>
      </w:r>
      <w:r w:rsidRPr="00106460">
        <w:rPr>
          <w:lang w:val="fr-FR"/>
        </w:rPr>
        <w:t> 83.</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2.1.2.2</w:t>
      </w:r>
      <w:r w:rsidRPr="00106460">
        <w:rPr>
          <w:lang w:val="fr-FR"/>
        </w:rPr>
        <w:tab/>
        <w:t>Les exceptions ci-après s’appliquent en ce qui concerne l’application des prescriptions énoncées à l’appendice 6 de la série 07 d’amendements au Règlement n</w:t>
      </w:r>
      <w:r w:rsidRPr="00106460">
        <w:rPr>
          <w:vertAlign w:val="superscript"/>
          <w:lang w:val="fr-FR"/>
        </w:rPr>
        <w:t>o</w:t>
      </w:r>
      <w:r w:rsidRPr="00106460">
        <w:rPr>
          <w:lang w:val="fr-FR"/>
        </w:rPr>
        <w:t> 83 et dans la présente annexe:</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2.1.2.2.1</w:t>
      </w:r>
      <w:r w:rsidRPr="00106460">
        <w:rPr>
          <w:lang w:val="fr-FR"/>
        </w:rPr>
        <w:tab/>
        <w:t>Les dispositions relatives à la surveillance de la qualité du réactif énoncées aux paragraphes 7.1 à 7.1.2 de la présente annexe s’appliquent, et non les paragraphes 4.1 et 4.2 de l’appendice 6 de la série 07 d’amendements au Règlement n</w:t>
      </w:r>
      <w:r w:rsidRPr="00106460">
        <w:rPr>
          <w:vertAlign w:val="superscript"/>
          <w:lang w:val="fr-FR"/>
        </w:rPr>
        <w:t>o</w:t>
      </w:r>
      <w:r w:rsidRPr="00106460">
        <w:rPr>
          <w:lang w:val="fr-FR"/>
        </w:rPr>
        <w:t> 83.</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2.1.2.2.2</w:t>
      </w:r>
      <w:r w:rsidRPr="00106460">
        <w:rPr>
          <w:lang w:val="fr-FR"/>
        </w:rPr>
        <w:tab/>
        <w:t>Les dispositions relatives à la surveillance du dosage du réactif énoncées au paragraphe 8.4 de la présente annexe s’appliquent, et non le paragraphe 5 de l’appendice 6 de la série 07 d’amendements au Règlement n</w:t>
      </w:r>
      <w:r w:rsidRPr="00106460">
        <w:rPr>
          <w:vertAlign w:val="superscript"/>
          <w:lang w:val="fr-FR"/>
        </w:rPr>
        <w:t>o</w:t>
      </w:r>
      <w:r w:rsidRPr="00106460">
        <w:rPr>
          <w:lang w:val="fr-FR"/>
        </w:rPr>
        <w:t> 83.</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2.1.2.2.3</w:t>
      </w:r>
      <w:r w:rsidRPr="00106460">
        <w:rPr>
          <w:lang w:val="fr-FR"/>
        </w:rPr>
        <w:tab/>
        <w:t>Le système d’alerte du conducteur mentionné aux sections 4, 7 et 8 de la présente annexe s’entend du système d’alerte du conducteur défini à la section 3 de l’appendice 6 de la série 07 d’amendements au Règlement n</w:t>
      </w:r>
      <w:r w:rsidRPr="00106460">
        <w:rPr>
          <w:vertAlign w:val="superscript"/>
          <w:lang w:val="fr-FR"/>
        </w:rPr>
        <w:t>o</w:t>
      </w:r>
      <w:r w:rsidRPr="00106460">
        <w:rPr>
          <w:lang w:val="fr-FR"/>
        </w:rPr>
        <w:t> 83.</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2.1.2.2.4</w:t>
      </w:r>
      <w:r w:rsidRPr="00106460">
        <w:rPr>
          <w:lang w:val="fr-FR"/>
        </w:rPr>
        <w:tab/>
        <w:t>La section 6 de l’appendice 6 de la série 07 d’amendements au Règlement n</w:t>
      </w:r>
      <w:r w:rsidRPr="00106460">
        <w:rPr>
          <w:vertAlign w:val="superscript"/>
          <w:lang w:val="fr-FR"/>
        </w:rPr>
        <w:t>o</w:t>
      </w:r>
      <w:r w:rsidRPr="00106460">
        <w:rPr>
          <w:lang w:val="fr-FR"/>
        </w:rPr>
        <w:t> 83 ne s’applique pas.</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2.1.2.2.5</w:t>
      </w:r>
      <w:r w:rsidRPr="00106460">
        <w:rPr>
          <w:lang w:val="fr-FR"/>
        </w:rPr>
        <w:tab/>
        <w:t>Les dispositions énoncées au paragraphe 5.2 de la présente annexe s’appliquent dans le cas des véhicules destinés aux services de secours ou des véhicules conçus et construits pour les forces armées, la défense civile, les services de lutte contre l’incendie ou les forces de l’ordre.».</w:t>
      </w:r>
    </w:p>
    <w:p w:rsidR="00106460" w:rsidRPr="00106460" w:rsidRDefault="00106460" w:rsidP="00106460">
      <w:pPr>
        <w:kinsoku w:val="0"/>
        <w:overflowPunct w:val="0"/>
        <w:autoSpaceDE w:val="0"/>
        <w:autoSpaceDN w:val="0"/>
        <w:adjustRightInd w:val="0"/>
        <w:snapToGrid w:val="0"/>
        <w:spacing w:after="120"/>
        <w:ind w:left="1134" w:right="1134"/>
        <w:jc w:val="both"/>
        <w:rPr>
          <w:lang w:val="fr-FR"/>
        </w:rPr>
      </w:pPr>
      <w:r w:rsidRPr="00106460">
        <w:rPr>
          <w:i/>
          <w:lang w:val="fr-FR"/>
        </w:rPr>
        <w:t>Paragraphes 7.1.1 à 7.1.1.2</w:t>
      </w:r>
      <w:r w:rsidRPr="00106460">
        <w:rPr>
          <w:lang w:val="fr-FR"/>
        </w:rPr>
        <w:t>, modifier comme suit:</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«7.1.1</w:t>
      </w:r>
      <w:r w:rsidRPr="00106460">
        <w:rPr>
          <w:lang w:val="fr-FR"/>
        </w:rPr>
        <w:tab/>
        <w:t>Le constructeur doit indiquer une valeur CD</w:t>
      </w:r>
      <w:r w:rsidRPr="00106460">
        <w:rPr>
          <w:vertAlign w:val="subscript"/>
          <w:lang w:val="fr-FR"/>
        </w:rPr>
        <w:t>min</w:t>
      </w:r>
      <w:r w:rsidRPr="00106460">
        <w:rPr>
          <w:lang w:val="fr-FR"/>
        </w:rPr>
        <w:t>, supérieure à la concentration de réactif la plus élevée pour laquelle les émissions au pot d’échappement dépassent les valeurs limites indiquées au paragraphe 5.3 du présent Règlement.</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7.1.1.1</w:t>
      </w:r>
      <w:r w:rsidRPr="00106460">
        <w:rPr>
          <w:lang w:val="fr-FR"/>
        </w:rPr>
        <w:tab/>
        <w:t>Durant la période transitoire indiquée au paragraphe 4.10.7 du présent Règlement, et sur demande du constructeur pour les besoins du paragraphe 7.1.1, la limite d’émissions de NO</w:t>
      </w:r>
      <w:r w:rsidRPr="00106460">
        <w:rPr>
          <w:vertAlign w:val="subscript"/>
          <w:lang w:val="fr-FR"/>
        </w:rPr>
        <w:t>x</w:t>
      </w:r>
      <w:r w:rsidRPr="00106460">
        <w:rPr>
          <w:lang w:val="fr-FR"/>
        </w:rPr>
        <w:t xml:space="preserve"> indiquée au paragraphe 5.3 du présent Règlement doit être remplacée par la valeur de 900 mg/kWh.</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7.1.1.2</w:t>
      </w:r>
      <w:r w:rsidRPr="00106460">
        <w:rPr>
          <w:lang w:val="fr-FR"/>
        </w:rPr>
        <w:tab/>
        <w:t>La valeur de CD</w:t>
      </w:r>
      <w:r w:rsidRPr="00106460">
        <w:rPr>
          <w:vertAlign w:val="subscript"/>
          <w:lang w:val="fr-FR"/>
        </w:rPr>
        <w:t>min</w:t>
      </w:r>
      <w:r w:rsidRPr="00106460">
        <w:rPr>
          <w:lang w:val="fr-FR"/>
        </w:rPr>
        <w:t xml:space="preserve"> doit être démontrée lors de l’homologation de type au moyen de la procédure définie à l’appendice 6 de la présente annexe et enregistrée dans le dossier d’information détaillé, comme indiqué au paragraphe 5.1.4 du présent Règlement.».</w:t>
      </w:r>
    </w:p>
    <w:p w:rsidR="00106460" w:rsidRPr="00106460" w:rsidRDefault="00106460" w:rsidP="00106460">
      <w:pPr>
        <w:kinsoku w:val="0"/>
        <w:overflowPunct w:val="0"/>
        <w:autoSpaceDE w:val="0"/>
        <w:autoSpaceDN w:val="0"/>
        <w:adjustRightInd w:val="0"/>
        <w:snapToGrid w:val="0"/>
        <w:spacing w:after="120"/>
        <w:ind w:left="1134" w:right="1134"/>
        <w:jc w:val="both"/>
        <w:rPr>
          <w:i/>
          <w:lang w:val="fr-FR"/>
        </w:rPr>
      </w:pPr>
      <w:r w:rsidRPr="00106460">
        <w:rPr>
          <w:i/>
          <w:lang w:val="fr-FR"/>
        </w:rPr>
        <w:t>Paragraphe 8, titre</w:t>
      </w:r>
      <w:r w:rsidRPr="00106460">
        <w:rPr>
          <w:lang w:val="fr-FR"/>
        </w:rPr>
        <w:t>,</w:t>
      </w:r>
      <w:r w:rsidRPr="00106460">
        <w:rPr>
          <w:i/>
          <w:lang w:val="fr-FR"/>
        </w:rPr>
        <w:t xml:space="preserve"> </w:t>
      </w:r>
      <w:r w:rsidRPr="00106460">
        <w:rPr>
          <w:lang w:val="fr-FR"/>
        </w:rPr>
        <w:t>modifier comme suit:</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«8.</w:t>
      </w:r>
      <w:r w:rsidRPr="00106460">
        <w:rPr>
          <w:lang w:val="fr-FR"/>
        </w:rPr>
        <w:tab/>
        <w:t>Surveillance de la consommation et du dosage de réactif».</w:t>
      </w:r>
    </w:p>
    <w:p w:rsidR="00106460" w:rsidRPr="00106460" w:rsidRDefault="00106460" w:rsidP="00106460">
      <w:pPr>
        <w:kinsoku w:val="0"/>
        <w:overflowPunct w:val="0"/>
        <w:autoSpaceDE w:val="0"/>
        <w:autoSpaceDN w:val="0"/>
        <w:adjustRightInd w:val="0"/>
        <w:snapToGrid w:val="0"/>
        <w:spacing w:after="120"/>
        <w:ind w:left="1134" w:right="1134"/>
        <w:jc w:val="both"/>
        <w:rPr>
          <w:i/>
          <w:lang w:val="fr-FR"/>
        </w:rPr>
      </w:pPr>
      <w:r w:rsidRPr="00106460">
        <w:rPr>
          <w:i/>
          <w:lang w:val="fr-FR"/>
        </w:rPr>
        <w:t>Paragraphe 8.1</w:t>
      </w:r>
      <w:r w:rsidRPr="00106460">
        <w:rPr>
          <w:lang w:val="fr-FR"/>
        </w:rPr>
        <w:t>,</w:t>
      </w:r>
      <w:r w:rsidRPr="00106460">
        <w:rPr>
          <w:i/>
          <w:lang w:val="fr-FR"/>
        </w:rPr>
        <w:t xml:space="preserve"> </w:t>
      </w:r>
      <w:r w:rsidRPr="00106460">
        <w:rPr>
          <w:lang w:val="fr-FR"/>
        </w:rPr>
        <w:t>modifier comme suit:</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«8.1</w:t>
      </w:r>
      <w:r w:rsidRPr="00106460">
        <w:rPr>
          <w:lang w:val="fr-FR"/>
        </w:rPr>
        <w:tab/>
        <w:t>Le véhicule comprend un dispositif permettant de déterminer la consommation de réactif, l’interruption du dosage de réactif, et de fournir un accès externe aux données relatives à la consommation.».</w:t>
      </w:r>
    </w:p>
    <w:p w:rsidR="00106460" w:rsidRPr="00106460" w:rsidRDefault="00106460" w:rsidP="00106460">
      <w:pPr>
        <w:kinsoku w:val="0"/>
        <w:overflowPunct w:val="0"/>
        <w:autoSpaceDE w:val="0"/>
        <w:autoSpaceDN w:val="0"/>
        <w:adjustRightInd w:val="0"/>
        <w:snapToGrid w:val="0"/>
        <w:spacing w:after="120"/>
        <w:ind w:left="1134" w:right="1134"/>
        <w:jc w:val="both"/>
        <w:rPr>
          <w:i/>
          <w:lang w:val="fr-FR"/>
        </w:rPr>
      </w:pPr>
      <w:r w:rsidRPr="00106460">
        <w:rPr>
          <w:i/>
          <w:lang w:val="fr-FR"/>
        </w:rPr>
        <w:t>Paragraphe 8.3.1</w:t>
      </w:r>
      <w:r w:rsidRPr="00106460">
        <w:rPr>
          <w:lang w:val="fr-FR"/>
        </w:rPr>
        <w:t>,</w:t>
      </w:r>
      <w:r w:rsidRPr="00106460">
        <w:rPr>
          <w:i/>
          <w:lang w:val="fr-FR"/>
        </w:rPr>
        <w:t xml:space="preserve"> </w:t>
      </w:r>
      <w:r w:rsidRPr="00106460">
        <w:rPr>
          <w:lang w:val="fr-FR"/>
        </w:rPr>
        <w:t>modifier comme suit:</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«8.3.1</w:t>
      </w:r>
      <w:r w:rsidRPr="00106460">
        <w:rPr>
          <w:lang w:val="fr-FR"/>
        </w:rPr>
        <w:tab/>
        <w:t>La période de détection maximale pour une consommation insuffisante de réactif est de cinq heures ou la période équivalant à une consommation de réactif requise d’au moins 2 litres, la plus longue de ces deux périodes étant retenue.».</w:t>
      </w:r>
    </w:p>
    <w:p w:rsidR="00106460" w:rsidRPr="00106460" w:rsidRDefault="00106460" w:rsidP="00106460">
      <w:pPr>
        <w:kinsoku w:val="0"/>
        <w:overflowPunct w:val="0"/>
        <w:autoSpaceDE w:val="0"/>
        <w:autoSpaceDN w:val="0"/>
        <w:adjustRightInd w:val="0"/>
        <w:snapToGrid w:val="0"/>
        <w:spacing w:after="120"/>
        <w:ind w:left="1134" w:right="1134"/>
        <w:jc w:val="both"/>
        <w:rPr>
          <w:lang w:val="fr-FR"/>
        </w:rPr>
      </w:pPr>
      <w:r w:rsidRPr="00106460">
        <w:rPr>
          <w:i/>
          <w:lang w:val="fr-FR"/>
        </w:rPr>
        <w:t>Insérer un nouveau paragraphe</w:t>
      </w:r>
      <w:r w:rsidR="00FF7BCD">
        <w:rPr>
          <w:i/>
          <w:lang w:val="fr-FR"/>
        </w:rPr>
        <w:t xml:space="preserve"> </w:t>
      </w:r>
      <w:r w:rsidR="00FF7BCD" w:rsidRPr="00FF7BCD">
        <w:rPr>
          <w:i/>
          <w:lang w:val="fr-FR"/>
        </w:rPr>
        <w:t>8.3.1.1</w:t>
      </w:r>
      <w:r w:rsidRPr="00106460">
        <w:rPr>
          <w:lang w:val="fr-FR"/>
        </w:rPr>
        <w:t>, ainsi conçu:</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«8.3.1.1</w:t>
      </w:r>
      <w:r w:rsidRPr="00106460">
        <w:rPr>
          <w:lang w:val="fr-FR"/>
        </w:rPr>
        <w:tab/>
        <w:t xml:space="preserve">Lorsque la consommation de réactif est surveillée au moyen de l’un au moins des paramètres suivants: </w:t>
      </w:r>
    </w:p>
    <w:p w:rsidR="00106460" w:rsidRPr="00106460" w:rsidRDefault="00106460" w:rsidP="00106460">
      <w:pPr>
        <w:kinsoku w:val="0"/>
        <w:overflowPunct w:val="0"/>
        <w:autoSpaceDE w:val="0"/>
        <w:autoSpaceDN w:val="0"/>
        <w:adjustRightInd w:val="0"/>
        <w:snapToGrid w:val="0"/>
        <w:spacing w:after="120"/>
        <w:ind w:left="2835" w:right="1134" w:hanging="567"/>
        <w:jc w:val="both"/>
        <w:rPr>
          <w:lang w:val="fr-FR"/>
        </w:rPr>
      </w:pPr>
      <w:r w:rsidRPr="00106460">
        <w:rPr>
          <w:lang w:val="fr-FR"/>
        </w:rPr>
        <w:t>a)</w:t>
      </w:r>
      <w:r w:rsidRPr="00106460">
        <w:rPr>
          <w:lang w:val="fr-FR"/>
        </w:rPr>
        <w:tab/>
        <w:t>Le niveau de réactif dans le réservoir de stockage à bord du véhicule, ou</w:t>
      </w:r>
    </w:p>
    <w:p w:rsidR="00106460" w:rsidRPr="00106460" w:rsidRDefault="00106460" w:rsidP="00106460">
      <w:pPr>
        <w:kinsoku w:val="0"/>
        <w:overflowPunct w:val="0"/>
        <w:autoSpaceDE w:val="0"/>
        <w:autoSpaceDN w:val="0"/>
        <w:adjustRightInd w:val="0"/>
        <w:snapToGrid w:val="0"/>
        <w:spacing w:after="120"/>
        <w:ind w:left="2835" w:right="1134" w:hanging="567"/>
        <w:jc w:val="both"/>
        <w:rPr>
          <w:lang w:val="fr-FR"/>
        </w:rPr>
      </w:pPr>
      <w:r w:rsidRPr="00106460">
        <w:rPr>
          <w:lang w:val="fr-FR"/>
        </w:rPr>
        <w:t>b)</w:t>
      </w:r>
      <w:r w:rsidRPr="00106460">
        <w:rPr>
          <w:lang w:val="fr-FR"/>
        </w:rPr>
        <w:tab/>
        <w:t>Le débit de réactif ou la quantité de réactif injectée en un endroit aussi proche que possible techniquement du point d’injection dans un système de traitement aval des gaz d’échappement,</w:t>
      </w:r>
    </w:p>
    <w:p w:rsidR="00106460" w:rsidRPr="00106460" w:rsidRDefault="00106460" w:rsidP="00106460">
      <w:pPr>
        <w:kinsoku w:val="0"/>
        <w:overflowPunct w:val="0"/>
        <w:autoSpaceDE w:val="0"/>
        <w:autoSpaceDN w:val="0"/>
        <w:adjustRightInd w:val="0"/>
        <w:snapToGrid w:val="0"/>
        <w:spacing w:after="120"/>
        <w:ind w:left="2268" w:right="1134"/>
        <w:jc w:val="both"/>
        <w:rPr>
          <w:b/>
          <w:lang w:val="fr-FR"/>
        </w:rPr>
      </w:pPr>
      <w:r w:rsidRPr="00106460">
        <w:rPr>
          <w:lang w:val="fr-FR"/>
        </w:rPr>
        <w:t>La période de détection maximale pour une consommation insuffisante de réactif est prolongée jusqu’à 48 heures ou la période équivalant à une consommation de réactif requise d’au moins 15 l, la plus longue de ces deux périodes étant retenue.».</w:t>
      </w:r>
    </w:p>
    <w:p w:rsidR="00106460" w:rsidRPr="00106460" w:rsidRDefault="00106460" w:rsidP="00106460">
      <w:pPr>
        <w:kinsoku w:val="0"/>
        <w:overflowPunct w:val="0"/>
        <w:autoSpaceDE w:val="0"/>
        <w:autoSpaceDN w:val="0"/>
        <w:adjustRightInd w:val="0"/>
        <w:snapToGrid w:val="0"/>
        <w:spacing w:after="120"/>
        <w:ind w:left="1134" w:right="1134"/>
        <w:jc w:val="both"/>
        <w:rPr>
          <w:lang w:val="fr-FR"/>
        </w:rPr>
      </w:pPr>
      <w:r w:rsidRPr="00106460">
        <w:rPr>
          <w:i/>
          <w:lang w:val="fr-FR"/>
        </w:rPr>
        <w:t xml:space="preserve">Le paragraphe 8.3.2 </w:t>
      </w:r>
      <w:r w:rsidRPr="00106460">
        <w:rPr>
          <w:lang w:val="fr-FR"/>
        </w:rPr>
        <w:t>est supprimé.</w:t>
      </w:r>
    </w:p>
    <w:p w:rsidR="00106460" w:rsidRPr="00106460" w:rsidRDefault="00106460" w:rsidP="00FF7BCD">
      <w:pPr>
        <w:keepNext/>
        <w:keepLines/>
        <w:kinsoku w:val="0"/>
        <w:overflowPunct w:val="0"/>
        <w:autoSpaceDE w:val="0"/>
        <w:autoSpaceDN w:val="0"/>
        <w:adjustRightInd w:val="0"/>
        <w:snapToGrid w:val="0"/>
        <w:spacing w:after="120"/>
        <w:ind w:left="1134" w:right="1134"/>
        <w:jc w:val="both"/>
        <w:rPr>
          <w:lang w:val="fr-FR"/>
        </w:rPr>
      </w:pPr>
      <w:r w:rsidRPr="00106460">
        <w:rPr>
          <w:i/>
          <w:lang w:val="fr-FR"/>
        </w:rPr>
        <w:t>Paragraphe 8.4.1</w:t>
      </w:r>
      <w:r w:rsidRPr="00106460">
        <w:rPr>
          <w:lang w:val="fr-FR"/>
        </w:rPr>
        <w:t>,</w:t>
      </w:r>
      <w:r w:rsidRPr="00106460">
        <w:rPr>
          <w:i/>
          <w:lang w:val="fr-FR"/>
        </w:rPr>
        <w:t xml:space="preserve"> </w:t>
      </w:r>
      <w:r w:rsidRPr="00106460">
        <w:rPr>
          <w:lang w:val="fr-FR"/>
        </w:rPr>
        <w:t>modifier comme suit:</w:t>
      </w:r>
    </w:p>
    <w:p w:rsidR="00106460" w:rsidRPr="00106460" w:rsidRDefault="00106460" w:rsidP="00FF7BCD">
      <w:pPr>
        <w:keepNext/>
        <w:keepLines/>
        <w:kinsoku w:val="0"/>
        <w:overflowPunct w:val="0"/>
        <w:autoSpaceDE w:val="0"/>
        <w:autoSpaceDN w:val="0"/>
        <w:adjustRightInd w:val="0"/>
        <w:snapToGrid w:val="0"/>
        <w:spacing w:after="120"/>
        <w:ind w:left="2268" w:right="1134" w:hanging="1134"/>
        <w:jc w:val="both"/>
        <w:rPr>
          <w:lang w:val="fr-FR"/>
        </w:rPr>
      </w:pPr>
      <w:r w:rsidRPr="00106460">
        <w:rPr>
          <w:lang w:val="fr-FR"/>
        </w:rPr>
        <w:t>«8.4.1</w:t>
      </w:r>
      <w:r w:rsidRPr="00106460">
        <w:rPr>
          <w:lang w:val="fr-FR"/>
        </w:rPr>
        <w:tab/>
        <w:t>Le système d’alerte du conducteur décrit au paragraphe 4 doit être activé si un écart de plus de 50 % entre la consommation moyenne effective de réactif et la consommation moyenne de réactif requise par le système moteur au cours d’une période à définir par le constructeur, qui ne peut être plus longue que la période maximale définie au paragraphe 8.3.1 ou, le cas échéant, au paragraphe 8.3.1.1, est détecté. Lorsque le système d’alerte comprend un système d’affichage de messages, celui-ci doit afficher un message indiquant la raison de l’avertissement (par exemple, «défaut dosage urée», «défaut dosage AdBlue» ou «défaut dosage réactif»).».</w:t>
      </w:r>
    </w:p>
    <w:p w:rsidR="00106460" w:rsidRPr="00106460" w:rsidRDefault="00106460" w:rsidP="00106460">
      <w:pPr>
        <w:kinsoku w:val="0"/>
        <w:overflowPunct w:val="0"/>
        <w:autoSpaceDE w:val="0"/>
        <w:autoSpaceDN w:val="0"/>
        <w:adjustRightInd w:val="0"/>
        <w:snapToGrid w:val="0"/>
        <w:spacing w:after="120"/>
        <w:ind w:left="1134" w:right="1134"/>
        <w:jc w:val="both"/>
        <w:rPr>
          <w:lang w:val="fr-FR"/>
        </w:rPr>
      </w:pPr>
      <w:r w:rsidRPr="00106460">
        <w:rPr>
          <w:i/>
          <w:lang w:val="fr-FR"/>
        </w:rPr>
        <w:t xml:space="preserve">Le paragraphe 8.4.1.1 </w:t>
      </w:r>
      <w:r w:rsidRPr="00106460">
        <w:rPr>
          <w:lang w:val="fr-FR"/>
        </w:rPr>
        <w:t>est</w:t>
      </w:r>
      <w:r w:rsidRPr="00106460">
        <w:rPr>
          <w:i/>
          <w:lang w:val="fr-FR"/>
        </w:rPr>
        <w:t xml:space="preserve"> </w:t>
      </w:r>
      <w:r w:rsidRPr="00106460">
        <w:rPr>
          <w:lang w:val="fr-FR"/>
        </w:rPr>
        <w:t>supprimé.</w:t>
      </w:r>
    </w:p>
    <w:p w:rsidR="00334475" w:rsidRDefault="00106460" w:rsidP="00106460">
      <w:pPr>
        <w:kinsoku w:val="0"/>
        <w:overflowPunct w:val="0"/>
        <w:autoSpaceDE w:val="0"/>
        <w:autoSpaceDN w:val="0"/>
        <w:adjustRightInd w:val="0"/>
        <w:snapToGrid w:val="0"/>
        <w:spacing w:after="120"/>
        <w:ind w:left="1134" w:right="1134"/>
        <w:jc w:val="both"/>
        <w:rPr>
          <w:i/>
          <w:lang w:val="fr-FR"/>
        </w:rPr>
      </w:pPr>
      <w:r w:rsidRPr="00106460">
        <w:rPr>
          <w:i/>
          <w:lang w:val="fr-FR"/>
        </w:rPr>
        <w:t xml:space="preserve">Appendice 2, </w:t>
      </w:r>
    </w:p>
    <w:p w:rsidR="00106460" w:rsidRPr="00106460" w:rsidRDefault="00334475" w:rsidP="00106460">
      <w:pPr>
        <w:kinsoku w:val="0"/>
        <w:overflowPunct w:val="0"/>
        <w:autoSpaceDE w:val="0"/>
        <w:autoSpaceDN w:val="0"/>
        <w:adjustRightInd w:val="0"/>
        <w:snapToGrid w:val="0"/>
        <w:spacing w:after="120"/>
        <w:ind w:left="1134" w:right="1134"/>
        <w:jc w:val="both"/>
        <w:rPr>
          <w:lang w:val="fr-FR"/>
        </w:rPr>
      </w:pPr>
      <w:r>
        <w:rPr>
          <w:i/>
          <w:lang w:val="fr-FR"/>
        </w:rPr>
        <w:t>P</w:t>
      </w:r>
      <w:r w:rsidR="00106460" w:rsidRPr="00106460">
        <w:rPr>
          <w:i/>
          <w:lang w:val="fr-FR"/>
        </w:rPr>
        <w:t>aragraphe A.2.4.1.1, première phrase</w:t>
      </w:r>
      <w:r w:rsidR="00106460" w:rsidRPr="00106460">
        <w:rPr>
          <w:lang w:val="fr-FR"/>
        </w:rPr>
        <w:t>, modifier comme suit:</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«A.2.4.1.1</w:t>
      </w:r>
      <w:r w:rsidRPr="00106460">
        <w:rPr>
          <w:lang w:val="fr-FR"/>
        </w:rPr>
        <w:tab/>
        <w:t xml:space="preserve">Pour satisfaire aux prescriptions de la présente annexe, le système doit comporter des compteurs distincts servant à enregistrer le nombre d’heures durant lesquelles le moteur a fonctionné alors que le système avait détecté l’une des situations suivantes:…». </w:t>
      </w:r>
    </w:p>
    <w:p w:rsidR="00106460" w:rsidRPr="00106460" w:rsidRDefault="00106460" w:rsidP="00106460">
      <w:pPr>
        <w:kinsoku w:val="0"/>
        <w:overflowPunct w:val="0"/>
        <w:autoSpaceDE w:val="0"/>
        <w:autoSpaceDN w:val="0"/>
        <w:adjustRightInd w:val="0"/>
        <w:snapToGrid w:val="0"/>
        <w:spacing w:after="120"/>
        <w:ind w:left="1134" w:right="1134"/>
        <w:jc w:val="both"/>
        <w:rPr>
          <w:i/>
          <w:lang w:val="fr-FR"/>
        </w:rPr>
      </w:pPr>
      <w:r w:rsidRPr="00106460">
        <w:rPr>
          <w:i/>
          <w:lang w:val="fr-FR"/>
        </w:rPr>
        <w:t>Annexe 15</w:t>
      </w:r>
      <w:r w:rsidR="00334475">
        <w:rPr>
          <w:i/>
          <w:lang w:val="fr-FR"/>
        </w:rPr>
        <w:t>,</w:t>
      </w:r>
    </w:p>
    <w:p w:rsidR="00106460" w:rsidRPr="00106460" w:rsidRDefault="00106460" w:rsidP="00106460">
      <w:pPr>
        <w:kinsoku w:val="0"/>
        <w:overflowPunct w:val="0"/>
        <w:autoSpaceDE w:val="0"/>
        <w:autoSpaceDN w:val="0"/>
        <w:adjustRightInd w:val="0"/>
        <w:snapToGrid w:val="0"/>
        <w:spacing w:after="120"/>
        <w:ind w:left="1134" w:right="1134"/>
        <w:jc w:val="both"/>
        <w:rPr>
          <w:lang w:val="fr-FR"/>
        </w:rPr>
      </w:pPr>
      <w:r w:rsidRPr="00106460">
        <w:rPr>
          <w:i/>
          <w:lang w:val="fr-FR"/>
        </w:rPr>
        <w:t>Paragraphe 4.2.2</w:t>
      </w:r>
      <w:r w:rsidRPr="00106460">
        <w:rPr>
          <w:lang w:val="fr-FR"/>
        </w:rPr>
        <w:t>, modifier comme suit:</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«4.2.2</w:t>
      </w:r>
      <w:r w:rsidRPr="00106460">
        <w:rPr>
          <w:lang w:val="fr-FR"/>
        </w:rPr>
        <w:tab/>
        <w:t>La restriction de fonctionnement applicable aux véhicules bicarburant lorsqu’ils fonctionnent en mode service est celle qui est commandée par le “</w:t>
      </w:r>
      <w:r w:rsidRPr="00106460">
        <w:rPr>
          <w:i/>
          <w:lang w:val="fr-FR"/>
        </w:rPr>
        <w:t>système d’incitation active</w:t>
      </w:r>
      <w:r w:rsidRPr="00106460">
        <w:rPr>
          <w:lang w:val="fr-FR"/>
        </w:rPr>
        <w:t>” défini à l’annexe 11 ou, dans le cas particulier décrit au paragraphe 4.2.2.3, la limitation de puissance décrite dans ce paragraphe.».</w:t>
      </w:r>
    </w:p>
    <w:p w:rsidR="00106460" w:rsidRPr="00106460" w:rsidRDefault="00106460" w:rsidP="00106460">
      <w:pPr>
        <w:kinsoku w:val="0"/>
        <w:overflowPunct w:val="0"/>
        <w:autoSpaceDE w:val="0"/>
        <w:autoSpaceDN w:val="0"/>
        <w:adjustRightInd w:val="0"/>
        <w:snapToGrid w:val="0"/>
        <w:spacing w:after="120"/>
        <w:ind w:left="1134" w:right="1134"/>
        <w:jc w:val="both"/>
        <w:rPr>
          <w:lang w:val="fr-FR"/>
        </w:rPr>
      </w:pPr>
      <w:r w:rsidRPr="00106460">
        <w:rPr>
          <w:i/>
          <w:lang w:val="fr-FR"/>
        </w:rPr>
        <w:t xml:space="preserve">Insérer </w:t>
      </w:r>
      <w:r w:rsidR="0092610C">
        <w:rPr>
          <w:i/>
        </w:rPr>
        <w:t xml:space="preserve">les </w:t>
      </w:r>
      <w:r w:rsidRPr="00106460">
        <w:rPr>
          <w:i/>
          <w:lang w:val="fr-FR"/>
        </w:rPr>
        <w:t>nouveaux paragraphes</w:t>
      </w:r>
      <w:r w:rsidR="00FF7BCD">
        <w:rPr>
          <w:i/>
          <w:lang w:val="fr-FR"/>
        </w:rPr>
        <w:t xml:space="preserve"> </w:t>
      </w:r>
      <w:r w:rsidR="00FF7BCD" w:rsidRPr="00FF7BCD">
        <w:rPr>
          <w:i/>
          <w:lang w:val="fr-FR"/>
        </w:rPr>
        <w:t>4.2.2.2 à 4.2.2.3.3</w:t>
      </w:r>
      <w:r w:rsidRPr="00FF7BCD">
        <w:rPr>
          <w:i/>
          <w:lang w:val="fr-FR"/>
        </w:rPr>
        <w:t>,</w:t>
      </w:r>
      <w:r w:rsidRPr="00106460">
        <w:rPr>
          <w:lang w:val="fr-FR"/>
        </w:rPr>
        <w:t xml:space="preserve"> ainsi conçus:</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«4.2.2.2</w:t>
      </w:r>
      <w:r w:rsidRPr="00106460">
        <w:rPr>
          <w:lang w:val="fr-FR"/>
        </w:rPr>
        <w:tab/>
        <w:t>Désactivation de la restriction de fonctionnement</w:t>
      </w:r>
    </w:p>
    <w:p w:rsidR="00106460" w:rsidRPr="00106460" w:rsidRDefault="00106460" w:rsidP="00106460">
      <w:pPr>
        <w:kinsoku w:val="0"/>
        <w:overflowPunct w:val="0"/>
        <w:autoSpaceDE w:val="0"/>
        <w:autoSpaceDN w:val="0"/>
        <w:adjustRightInd w:val="0"/>
        <w:snapToGrid w:val="0"/>
        <w:spacing w:after="120"/>
        <w:ind w:left="2268" w:right="1134"/>
        <w:jc w:val="both"/>
        <w:rPr>
          <w:lang w:val="fr-FR"/>
        </w:rPr>
      </w:pPr>
      <w:r w:rsidRPr="00106460">
        <w:rPr>
          <w:lang w:val="fr-FR"/>
        </w:rPr>
        <w:t>Dans le cas d’un réservoir de gaz vide, la restriction de fonctionnement en mode bicarburant provoquée par un manque de carburant gazeux doit être désactivée dès que le niveau dans le réservoir de gaz dépasse le niveau critique.</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4.2.2.3</w:t>
      </w:r>
      <w:r w:rsidRPr="00106460">
        <w:rPr>
          <w:lang w:val="fr-FR"/>
        </w:rPr>
        <w:tab/>
        <w:t>Réparation et entretien des moteurs et véhicules bicarburant de type A alimentés au gaz naturel liquéfié (GNL)</w:t>
      </w:r>
    </w:p>
    <w:p w:rsidR="00106460" w:rsidRPr="00106460" w:rsidRDefault="00106460" w:rsidP="00106460">
      <w:pPr>
        <w:kinsoku w:val="0"/>
        <w:overflowPunct w:val="0"/>
        <w:autoSpaceDE w:val="0"/>
        <w:autoSpaceDN w:val="0"/>
        <w:adjustRightInd w:val="0"/>
        <w:snapToGrid w:val="0"/>
        <w:spacing w:after="120"/>
        <w:ind w:left="2268" w:right="1134"/>
        <w:jc w:val="both"/>
        <w:rPr>
          <w:lang w:val="fr-FR"/>
        </w:rPr>
      </w:pPr>
      <w:r w:rsidRPr="00106460">
        <w:rPr>
          <w:lang w:val="fr-FR"/>
        </w:rPr>
        <w:t>Dans le cas des moteurs et véhicules bicarburant de type A alimentés au GNL, le constructeur peut, au lieu de limiter la vitesse du véhicule à 20 km/h, choisir de limiter la puissance du moteur à 20 % de la puissance maximale déclarée en mode bicarburant, et ce, quel que soit le régime moteur, lorsque le mode service est activé pendant une opération de réparation ou d’entretien.</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4.2.2.3.1</w:t>
      </w:r>
      <w:r w:rsidRPr="00106460">
        <w:rPr>
          <w:lang w:val="fr-FR"/>
        </w:rPr>
        <w:tab/>
        <w:t>La limitation de la puissance ne peut être activée que si le système conclut que le réservoir de gaz est vide dans les 5 minutes suivant le lancement du moteur, celui-ci tournant au ralenti.</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4.2.2.3.2</w:t>
      </w:r>
      <w:r w:rsidRPr="00106460">
        <w:rPr>
          <w:lang w:val="fr-FR"/>
        </w:rPr>
        <w:tab/>
        <w:t>La limitation de la puissance ne doit pas être activée lorsque le système conclut que le réservoir de gaz est vide depuis le précédent cycle d’essai et que le réservoir de gaz n’a pas été rempli de nouveau.</w:t>
      </w:r>
    </w:p>
    <w:p w:rsidR="00106460" w:rsidRPr="00106460" w:rsidRDefault="00106460" w:rsidP="00106460">
      <w:pPr>
        <w:kinsoku w:val="0"/>
        <w:overflowPunct w:val="0"/>
        <w:autoSpaceDE w:val="0"/>
        <w:autoSpaceDN w:val="0"/>
        <w:adjustRightInd w:val="0"/>
        <w:snapToGrid w:val="0"/>
        <w:spacing w:after="120"/>
        <w:ind w:left="2268" w:right="1134" w:hanging="1134"/>
        <w:jc w:val="both"/>
        <w:rPr>
          <w:lang w:val="fr-FR"/>
        </w:rPr>
      </w:pPr>
      <w:r w:rsidRPr="00106460">
        <w:rPr>
          <w:lang w:val="fr-FR"/>
        </w:rPr>
        <w:t>4.2.2.3.3</w:t>
      </w:r>
      <w:r w:rsidRPr="00106460">
        <w:rPr>
          <w:lang w:val="fr-FR"/>
        </w:rPr>
        <w:tab/>
        <w:t xml:space="preserve">Au moment de l’homologation de type, le constructeur doit démontrer que la limitation de la puissance ne peut être activée que pendant une opération de réparation ou d’entretien.». </w:t>
      </w:r>
    </w:p>
    <w:p w:rsidR="00106460" w:rsidRPr="00106460" w:rsidRDefault="00106460" w:rsidP="00106460">
      <w:pPr>
        <w:kinsoku w:val="0"/>
        <w:overflowPunct w:val="0"/>
        <w:autoSpaceDE w:val="0"/>
        <w:autoSpaceDN w:val="0"/>
        <w:adjustRightInd w:val="0"/>
        <w:snapToGrid w:val="0"/>
        <w:spacing w:before="240"/>
        <w:ind w:left="1134" w:right="1134"/>
        <w:jc w:val="center"/>
        <w:rPr>
          <w:u w:val="single"/>
          <w:lang w:val="fr-FR"/>
        </w:rPr>
      </w:pPr>
      <w:r w:rsidRPr="00106460">
        <w:rPr>
          <w:u w:val="single"/>
          <w:lang w:val="fr-FR"/>
        </w:rPr>
        <w:tab/>
      </w:r>
      <w:r w:rsidRPr="00106460">
        <w:rPr>
          <w:u w:val="single"/>
          <w:lang w:val="fr-FR"/>
        </w:rPr>
        <w:tab/>
      </w:r>
      <w:r w:rsidRPr="00106460">
        <w:rPr>
          <w:u w:val="single"/>
          <w:lang w:val="fr-FR"/>
        </w:rPr>
        <w:tab/>
      </w:r>
    </w:p>
    <w:p w:rsidR="00FC2CA9" w:rsidRPr="00972C55" w:rsidRDefault="00FC2CA9" w:rsidP="00EF5EBC">
      <w:pPr>
        <w:pStyle w:val="SingleTxtG"/>
        <w:rPr>
          <w:u w:val="single"/>
        </w:rPr>
      </w:pPr>
    </w:p>
    <w:sectPr w:rsidR="00FC2CA9" w:rsidRPr="00972C55" w:rsidSect="00F34106">
      <w:headerReference w:type="even" r:id="rId24"/>
      <w:headerReference w:type="default" r:id="rId25"/>
      <w:footerReference w:type="even" r:id="rId26"/>
      <w:footerReference w:type="default" r:id="rId27"/>
      <w:headerReference w:type="first" r:id="rId28"/>
      <w:footerReference w:type="first" r:id="rId29"/>
      <w:endnotePr>
        <w:numFmt w:val="decimal"/>
      </w:endnotePr>
      <w:pgSz w:w="11907" w:h="16840" w:code="9"/>
      <w:pgMar w:top="1701" w:right="1134" w:bottom="2268" w:left="1134" w:header="96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CB5" w:rsidRDefault="009A4CB5"/>
  </w:endnote>
  <w:endnote w:type="continuationSeparator" w:id="0">
    <w:p w:rsidR="009A4CB5" w:rsidRDefault="009A4CB5">
      <w:pPr>
        <w:pStyle w:val="Footer"/>
      </w:pPr>
    </w:p>
  </w:endnote>
  <w:endnote w:type="continuationNotice" w:id="1">
    <w:p w:rsidR="009A4CB5" w:rsidRPr="00C451B9" w:rsidRDefault="009A4CB5"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60" w:rsidRPr="00BF5575" w:rsidRDefault="00106460" w:rsidP="00BF5575">
    <w:pPr>
      <w:pStyle w:val="Footer"/>
      <w:tabs>
        <w:tab w:val="right" w:pos="9638"/>
      </w:tabs>
    </w:pPr>
    <w:r w:rsidRPr="00BF5575">
      <w:rPr>
        <w:b/>
        <w:sz w:val="18"/>
      </w:rPr>
      <w:fldChar w:fldCharType="begin"/>
    </w:r>
    <w:r w:rsidRPr="00BF5575">
      <w:rPr>
        <w:b/>
        <w:sz w:val="18"/>
      </w:rPr>
      <w:instrText xml:space="preserve"> PAGE  \* MERGEFORMAT </w:instrText>
    </w:r>
    <w:r w:rsidRPr="00BF5575">
      <w:rPr>
        <w:b/>
        <w:sz w:val="18"/>
      </w:rPr>
      <w:fldChar w:fldCharType="separate"/>
    </w:r>
    <w:r w:rsidR="00222A61">
      <w:rPr>
        <w:b/>
        <w:noProof/>
        <w:sz w:val="18"/>
      </w:rPr>
      <w:t>2</w:t>
    </w:r>
    <w:r w:rsidRPr="00BF5575">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60" w:rsidRPr="00BF5575" w:rsidRDefault="00106460" w:rsidP="00BF5575">
    <w:pPr>
      <w:pStyle w:val="Footer"/>
      <w:tabs>
        <w:tab w:val="right" w:pos="9638"/>
      </w:tabs>
      <w:rPr>
        <w:b/>
        <w:sz w:val="18"/>
      </w:rPr>
    </w:pPr>
    <w:r>
      <w:tab/>
    </w:r>
    <w:r w:rsidRPr="00BF5575">
      <w:rPr>
        <w:b/>
        <w:sz w:val="18"/>
      </w:rPr>
      <w:fldChar w:fldCharType="begin"/>
    </w:r>
    <w:r w:rsidRPr="00BF5575">
      <w:rPr>
        <w:b/>
        <w:sz w:val="18"/>
      </w:rPr>
      <w:instrText xml:space="preserve"> PAGE  \* MERGEFORMAT </w:instrText>
    </w:r>
    <w:r w:rsidRPr="00BF5575">
      <w:rPr>
        <w:b/>
        <w:sz w:val="18"/>
      </w:rPr>
      <w:fldChar w:fldCharType="separate"/>
    </w:r>
    <w:r w:rsidR="00222A61">
      <w:rPr>
        <w:b/>
        <w:noProof/>
        <w:sz w:val="18"/>
      </w:rPr>
      <w:t>3</w:t>
    </w:r>
    <w:r w:rsidRPr="00BF557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106" w:rsidRPr="0029791D" w:rsidRDefault="00F34106" w:rsidP="00F34106">
    <w:pPr>
      <w:ind w:left="1134" w:right="1134"/>
      <w:jc w:val="center"/>
    </w:pPr>
    <w:r>
      <w:t>_______________</w:t>
    </w:r>
  </w:p>
  <w:p w:rsidR="00F34106" w:rsidRDefault="0005106D" w:rsidP="00F34106">
    <w:pPr>
      <w:jc w:val="center"/>
      <w:rPr>
        <w:b/>
        <w:bCs/>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6pt;mso-wrap-distance-bottom:10.8pt" o:allowoverlap="f" fillcolor="window">
          <v:imagedata r:id="rId1" o:title="" cropleft="-4986f" cropright="-4986f"/>
        </v:shape>
      </w:pict>
    </w:r>
  </w:p>
  <w:p w:rsidR="00F34106" w:rsidRPr="0029791D" w:rsidRDefault="00F34106" w:rsidP="00F34106">
    <w:pPr>
      <w:jc w:val="center"/>
      <w:rPr>
        <w:sz w:val="24"/>
        <w:szCs w:val="24"/>
      </w:rPr>
    </w:pPr>
    <w:r w:rsidRPr="0029791D">
      <w:rPr>
        <w:b/>
        <w:bCs/>
        <w:sz w:val="24"/>
        <w:szCs w:val="24"/>
      </w:rPr>
      <w:t>Nations Unies</w:t>
    </w:r>
  </w:p>
  <w:p w:rsidR="00F34106" w:rsidRPr="0029791D" w:rsidRDefault="00F34106" w:rsidP="00F34106">
    <w:pPr>
      <w:pStyle w:val="FootnoteText"/>
      <w:tabs>
        <w:tab w:val="clear" w:pos="1021"/>
        <w:tab w:val="right" w:pos="2155"/>
      </w:tabs>
      <w:spacing w:after="80" w:line="240" w:lineRule="atLeast"/>
      <w:ind w:left="680" w:right="0" w:firstLine="0"/>
      <w:rPr>
        <w:u w:val="single"/>
      </w:rPr>
    </w:pPr>
    <w:r>
      <w:rPr>
        <w:u w:val="single"/>
      </w:rPr>
      <w:tab/>
    </w:r>
  </w:p>
  <w:p w:rsidR="00F34106" w:rsidRDefault="00F34106" w:rsidP="00F34106">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p w:rsidR="00106460" w:rsidRPr="00F34106" w:rsidRDefault="00106460" w:rsidP="00F341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60" w:rsidRPr="001E2089" w:rsidRDefault="00222A61" w:rsidP="001E2089">
    <w:pPr>
      <w:pStyle w:val="Footer"/>
    </w:pPr>
    <w:r>
      <w:rPr>
        <w:noProof/>
      </w:rPr>
      <w:pict>
        <v:shapetype id="_x0000_t202" coordsize="21600,21600" o:spt="202" path="m,l,21600r21600,l21600,xe">
          <v:stroke joinstyle="miter"/>
          <v:path gradientshapeok="t" o:connecttype="rect"/>
        </v:shapetype>
        <v:shape id="Zone de texte 7" o:spid="_x0000_s2059" type="#_x0000_t202" style="position:absolute;margin-left:-34pt;margin-top:0;width:17.2pt;height:481.95pt;z-index:25166489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" fillcolor="#4f81bd" stroked="f">
          <v:fill opacity="0"/>
          <v:stroke joinstyle="round"/>
          <v:path arrowok="t"/>
          <v:textbox style="layout-flow:vertical" inset="0,0,0,0">
            <w:txbxContent>
              <w:p w:rsidR="00106460" w:rsidRPr="00BF5575" w:rsidRDefault="00106460" w:rsidP="001E2089">
                <w:pPr>
                  <w:pStyle w:val="Footer"/>
                  <w:tabs>
                    <w:tab w:val="right" w:pos="9638"/>
                  </w:tabs>
                </w:pPr>
                <w:r w:rsidRPr="00BF5575">
                  <w:rPr>
                    <w:b/>
                    <w:sz w:val="18"/>
                  </w:rPr>
                  <w:fldChar w:fldCharType="begin"/>
                </w:r>
                <w:r w:rsidRPr="00BF5575">
                  <w:rPr>
                    <w:b/>
                    <w:sz w:val="18"/>
                  </w:rPr>
                  <w:instrText xml:space="preserve"> PAGE  \* MERGEFORMAT </w:instrText>
                </w:r>
                <w:r w:rsidRPr="00BF5575">
                  <w:rPr>
                    <w:b/>
                    <w:sz w:val="18"/>
                  </w:rPr>
                  <w:fldChar w:fldCharType="separate"/>
                </w:r>
                <w:r w:rsidR="00222A61">
                  <w:rPr>
                    <w:b/>
                    <w:noProof/>
                    <w:sz w:val="18"/>
                  </w:rPr>
                  <w:t>4</w:t>
                </w:r>
                <w:r w:rsidRPr="00BF5575">
                  <w:rPr>
                    <w:b/>
                    <w:sz w:val="18"/>
                  </w:rPr>
                  <w:fldChar w:fldCharType="end"/>
                </w:r>
                <w:r>
                  <w:rPr>
                    <w:b/>
                    <w:sz w:val="18"/>
                  </w:rPr>
                  <w:tab/>
                </w:r>
              </w:p>
              <w:p w:rsidR="00106460" w:rsidRDefault="00106460"/>
            </w:txbxContent>
          </v:textbox>
          <w10:wrap anchorx="margin" anchory="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60" w:rsidRPr="001E2089" w:rsidRDefault="00222A61" w:rsidP="001E2089">
    <w:pPr>
      <w:pStyle w:val="Footer"/>
    </w:pPr>
    <w:r>
      <w:rPr>
        <w:noProof/>
      </w:rPr>
      <w:pict>
        <v:shapetype id="_x0000_t202" coordsize="21600,21600" o:spt="202" path="m,l,21600r21600,l21600,xe">
          <v:stroke joinstyle="miter"/>
          <v:path gradientshapeok="t" o:connecttype="rect"/>
        </v:shapetype>
        <v:shape id="Zone de texte 5" o:spid="_x0000_s2058" type="#_x0000_t202" style="position:absolute;margin-left:-34pt;margin-top:0;width:17.2pt;height:481.95pt;z-index:2516628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" fillcolor="#4f81bd" stroked="f">
          <v:fill opacity="0"/>
          <v:stroke joinstyle="round"/>
          <v:path arrowok="t"/>
          <v:textbox style="layout-flow:vertical" inset="0,0,0,0">
            <w:txbxContent>
              <w:p w:rsidR="00106460" w:rsidRPr="00BF5575" w:rsidRDefault="00106460" w:rsidP="001E2089">
                <w:pPr>
                  <w:pStyle w:val="Footer"/>
                  <w:tabs>
                    <w:tab w:val="right" w:pos="9638"/>
                  </w:tabs>
                  <w:rPr>
                    <w:b/>
                    <w:sz w:val="18"/>
                  </w:rPr>
                </w:pPr>
                <w:r>
                  <w:t>GE.15-07498</w:t>
                </w:r>
                <w:r>
                  <w:tab/>
                </w:r>
                <w:r w:rsidRPr="00BF5575">
                  <w:rPr>
                    <w:b/>
                    <w:sz w:val="18"/>
                  </w:rPr>
                  <w:fldChar w:fldCharType="begin"/>
                </w:r>
                <w:r w:rsidRPr="00BF5575">
                  <w:rPr>
                    <w:b/>
                    <w:sz w:val="18"/>
                  </w:rPr>
                  <w:instrText xml:space="preserve"> PAGE  \* MERGEFORMAT </w:instrText>
                </w:r>
                <w:r w:rsidRPr="00BF5575">
                  <w:rPr>
                    <w:b/>
                    <w:sz w:val="18"/>
                  </w:rPr>
                  <w:fldChar w:fldCharType="separate"/>
                </w:r>
                <w:r>
                  <w:rPr>
                    <w:b/>
                    <w:noProof/>
                    <w:sz w:val="18"/>
                  </w:rPr>
                  <w:t>5</w:t>
                </w:r>
                <w:r w:rsidRPr="00BF5575">
                  <w:rPr>
                    <w:b/>
                    <w:sz w:val="18"/>
                  </w:rPr>
                  <w:fldChar w:fldCharType="end"/>
                </w:r>
              </w:p>
              <w:p w:rsidR="00106460" w:rsidRDefault="00106460"/>
            </w:txbxContent>
          </v:textbox>
          <w10:wrap anchorx="margin" anchory="margin"/>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25" w:rsidRDefault="00710974" w:rsidP="00F34106">
    <w:pPr>
      <w:pStyle w:val="Footer"/>
      <w:tabs>
        <w:tab w:val="right" w:pos="9638"/>
      </w:tabs>
    </w:pPr>
    <w:r w:rsidRPr="000314C7">
      <w:rPr>
        <w:b/>
        <w:sz w:val="18"/>
      </w:rPr>
      <w:fldChar w:fldCharType="begin"/>
    </w:r>
    <w:r w:rsidRPr="000314C7">
      <w:rPr>
        <w:b/>
        <w:sz w:val="18"/>
      </w:rPr>
      <w:instrText xml:space="preserve"> PAGE  \* MERGEFORMAT </w:instrText>
    </w:r>
    <w:r w:rsidRPr="000314C7">
      <w:rPr>
        <w:b/>
        <w:sz w:val="18"/>
      </w:rPr>
      <w:fldChar w:fldCharType="separate"/>
    </w:r>
    <w:r w:rsidR="00222A61">
      <w:rPr>
        <w:b/>
        <w:noProof/>
        <w:sz w:val="18"/>
      </w:rPr>
      <w:t>10</w:t>
    </w:r>
    <w:r w:rsidRPr="000314C7">
      <w:rPr>
        <w:b/>
        <w:sz w:val="18"/>
      </w:rPr>
      <w:fldChar w:fldCharType="end"/>
    </w:r>
    <w:r>
      <w:rPr>
        <w:b/>
        <w:sz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25" w:rsidRDefault="00710974" w:rsidP="00F34106">
    <w:pPr>
      <w:pStyle w:val="Footer"/>
      <w:tabs>
        <w:tab w:val="right" w:pos="9638"/>
      </w:tabs>
    </w:pPr>
    <w:r>
      <w:tab/>
    </w:r>
    <w:r w:rsidRPr="000314C7">
      <w:rPr>
        <w:b/>
        <w:sz w:val="18"/>
      </w:rPr>
      <w:fldChar w:fldCharType="begin"/>
    </w:r>
    <w:r w:rsidRPr="000314C7">
      <w:rPr>
        <w:b/>
        <w:sz w:val="18"/>
      </w:rPr>
      <w:instrText xml:space="preserve"> PAGE  \* MERGEFORMAT </w:instrText>
    </w:r>
    <w:r w:rsidRPr="000314C7">
      <w:rPr>
        <w:b/>
        <w:sz w:val="18"/>
      </w:rPr>
      <w:fldChar w:fldCharType="separate"/>
    </w:r>
    <w:r w:rsidR="00222A61">
      <w:rPr>
        <w:b/>
        <w:noProof/>
        <w:sz w:val="18"/>
      </w:rPr>
      <w:t>11</w:t>
    </w:r>
    <w:r w:rsidRPr="000314C7">
      <w:rPr>
        <w:b/>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29791D" w:rsidRDefault="00222A61" w:rsidP="00E97E2C">
    <w:pPr>
      <w:ind w:left="1134" w:right="1134"/>
      <w:jc w:val="cente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40.15pt;margin-top:651.95pt;width:86.95pt;height:18.35pt;z-index:251657728;mso-position-horizontal-relative:margin;mso-position-vertical-relative:margin">
          <v:imagedata r:id="rId1" o:title="recycle_French"/>
          <w10:wrap anchorx="margin" anchory="margin"/>
        </v:shape>
      </w:pict>
    </w:r>
    <w:r w:rsidR="00710974">
      <w:t>_______________</w:t>
    </w:r>
  </w:p>
  <w:p w:rsidR="00710974" w:rsidRDefault="0005106D" w:rsidP="00E97E2C">
    <w:pPr>
      <w:jc w:val="center"/>
      <w:rPr>
        <w:b/>
        <w:bCs/>
        <w:sz w:val="22"/>
      </w:rPr>
    </w:pPr>
    <w:r>
      <w:pict>
        <v:shape id="_x0000_i1026" type="#_x0000_t75" style="width:1in;height:60.6pt;mso-wrap-distance-bottom:10.8pt" o:allowoverlap="f" fillcolor="window">
          <v:imagedata r:id="rId2" o:title="" cropleft="-4986f" cropright="-4986f"/>
        </v:shape>
      </w:pict>
    </w:r>
  </w:p>
  <w:p w:rsidR="00710974" w:rsidRPr="0029791D" w:rsidRDefault="00710974" w:rsidP="00E97E2C">
    <w:pPr>
      <w:jc w:val="center"/>
      <w:rPr>
        <w:sz w:val="24"/>
        <w:szCs w:val="24"/>
      </w:rPr>
    </w:pPr>
    <w:r w:rsidRPr="0029791D">
      <w:rPr>
        <w:b/>
        <w:bCs/>
        <w:sz w:val="24"/>
        <w:szCs w:val="24"/>
      </w:rPr>
      <w:t>Nations Unies</w:t>
    </w:r>
  </w:p>
  <w:p w:rsidR="00710974" w:rsidRPr="0029791D" w:rsidRDefault="00710974" w:rsidP="00E97E2C">
    <w:pPr>
      <w:pStyle w:val="FootnoteText"/>
      <w:tabs>
        <w:tab w:val="clear" w:pos="1021"/>
        <w:tab w:val="right" w:pos="2155"/>
      </w:tabs>
      <w:spacing w:after="80" w:line="240" w:lineRule="atLeast"/>
      <w:ind w:left="680" w:right="0" w:firstLine="0"/>
      <w:rPr>
        <w:u w:val="single"/>
      </w:rPr>
    </w:pPr>
    <w:r>
      <w:rPr>
        <w:u w:val="single"/>
      </w:rPr>
      <w:tab/>
    </w:r>
  </w:p>
  <w:p w:rsidR="00710974" w:rsidRDefault="00710974" w:rsidP="00242268">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p w:rsidR="00710974" w:rsidRPr="000314C7" w:rsidRDefault="00710974" w:rsidP="000314C7">
    <w:pPr>
      <w:pStyle w:val="Footer"/>
      <w:spacing w:before="120"/>
      <w:rPr>
        <w:sz w:val="20"/>
      </w:rPr>
    </w:pPr>
    <w:r>
      <w:rPr>
        <w:sz w:val="20"/>
      </w:rPr>
      <w:t>GE</w:t>
    </w:r>
    <w:r w:rsidR="004750C7">
      <w:rPr>
        <w:sz w:val="20"/>
      </w:rPr>
      <w:t>.-1</w:t>
    </w:r>
    <w:r w:rsidR="00CE75E7">
      <w:rPr>
        <w:sz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CB5" w:rsidRPr="00D27D5E" w:rsidRDefault="009A4CB5" w:rsidP="00D27D5E">
      <w:pPr>
        <w:tabs>
          <w:tab w:val="right" w:pos="2155"/>
        </w:tabs>
        <w:spacing w:after="80"/>
        <w:ind w:left="680"/>
        <w:rPr>
          <w:u w:val="single"/>
        </w:rPr>
      </w:pPr>
      <w:r>
        <w:rPr>
          <w:u w:val="single"/>
        </w:rPr>
        <w:tab/>
      </w:r>
    </w:p>
  </w:footnote>
  <w:footnote w:type="continuationSeparator" w:id="0">
    <w:p w:rsidR="009A4CB5" w:rsidRPr="00D171D4" w:rsidRDefault="009A4CB5" w:rsidP="00D171D4">
      <w:pPr>
        <w:tabs>
          <w:tab w:val="right" w:pos="2155"/>
        </w:tabs>
        <w:spacing w:after="80"/>
        <w:ind w:left="680"/>
        <w:rPr>
          <w:u w:val="single"/>
        </w:rPr>
      </w:pPr>
      <w:r w:rsidRPr="00D171D4">
        <w:rPr>
          <w:u w:val="single"/>
        </w:rPr>
        <w:tab/>
      </w:r>
    </w:p>
  </w:footnote>
  <w:footnote w:type="continuationNotice" w:id="1">
    <w:p w:rsidR="009A4CB5" w:rsidRPr="00C451B9" w:rsidRDefault="009A4CB5" w:rsidP="00C451B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60" w:rsidRDefault="00106460" w:rsidP="00106460">
    <w:pPr>
      <w:pStyle w:val="Header"/>
      <w:rPr>
        <w:szCs w:val="18"/>
      </w:rPr>
    </w:pPr>
    <w:r w:rsidRPr="00A12308">
      <w:rPr>
        <w:szCs w:val="18"/>
      </w:rPr>
      <w:t>E/</w:t>
    </w:r>
    <w:proofErr w:type="spellStart"/>
    <w:r w:rsidRPr="00A12308">
      <w:rPr>
        <w:szCs w:val="18"/>
      </w:rPr>
      <w:t>ECE</w:t>
    </w:r>
    <w:proofErr w:type="spellEnd"/>
    <w:r w:rsidRPr="00A12308">
      <w:rPr>
        <w:szCs w:val="18"/>
      </w:rPr>
      <w:t>/324/Rev.1/Add.48/Rev.6/Amend.3</w:t>
    </w:r>
  </w:p>
  <w:p w:rsidR="00106460" w:rsidRPr="00BF5575" w:rsidRDefault="00106460" w:rsidP="00106460">
    <w:pPr>
      <w:pStyle w:val="Header"/>
    </w:pPr>
    <w:r w:rsidRPr="00A12308">
      <w:rPr>
        <w:szCs w:val="18"/>
      </w:rPr>
      <w:t>E/</w:t>
    </w:r>
    <w:proofErr w:type="spellStart"/>
    <w:r w:rsidRPr="00A12308">
      <w:rPr>
        <w:szCs w:val="18"/>
      </w:rPr>
      <w:t>ECE</w:t>
    </w:r>
    <w:proofErr w:type="spellEnd"/>
    <w:r w:rsidRPr="00A12308">
      <w:rPr>
        <w:szCs w:val="18"/>
      </w:rPr>
      <w:t>/TRANS/505/Rev.1/Add.48/Rev.6/Amend.3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60" w:rsidRDefault="00106460" w:rsidP="00106460">
    <w:pPr>
      <w:pStyle w:val="Header"/>
      <w:jc w:val="right"/>
    </w:pPr>
    <w:r>
      <w:t>E/</w:t>
    </w:r>
    <w:proofErr w:type="spellStart"/>
    <w:r>
      <w:t>ECE</w:t>
    </w:r>
    <w:proofErr w:type="spellEnd"/>
    <w:r>
      <w:t>/324/Rev.1/Add.48/Rev.6/Amend.3</w:t>
    </w:r>
  </w:p>
  <w:p w:rsidR="00106460" w:rsidRPr="00BF5575" w:rsidRDefault="00106460" w:rsidP="00106460">
    <w:pPr>
      <w:pStyle w:val="Header"/>
      <w:jc w:val="right"/>
    </w:pPr>
    <w:r>
      <w:t>E/</w:t>
    </w:r>
    <w:proofErr w:type="spellStart"/>
    <w:r>
      <w:t>ECE</w:t>
    </w:r>
    <w:proofErr w:type="spellEnd"/>
    <w:r>
      <w:t>/TRANS/505/Rev.1/Add.48/Rev.6/Amend.3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FA4" w:rsidRDefault="00AE6F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60" w:rsidRPr="001E2089" w:rsidRDefault="00222A61" w:rsidP="001E2089">
    <w:r>
      <w:rPr>
        <w:noProof/>
      </w:rPr>
      <w:pict>
        <v:shapetype id="_x0000_t202" coordsize="21600,21600" o:spt="202" path="m,l,21600r21600,l21600,xe">
          <v:stroke joinstyle="miter"/>
          <v:path gradientshapeok="t" o:connecttype="rect"/>
        </v:shapetype>
        <v:shape id="Zone de texte 6" o:spid="_x0000_s2061" type="#_x0000_t202" style="position:absolute;margin-left:759.6pt;margin-top:0;width:28.6pt;height:481.95pt;z-index:25166387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" fillcolor="#4f81bd" stroked="f">
          <v:fill opacity="0"/>
          <v:stroke joinstyle="round"/>
          <v:path arrowok="t"/>
          <v:textbox style="layout-flow:vertical" inset="0,0,0,0">
            <w:txbxContent>
              <w:p w:rsidR="00106460" w:rsidRDefault="00106460" w:rsidP="00106460">
                <w:pPr>
                  <w:pStyle w:val="Header"/>
                </w:pPr>
                <w:r>
                  <w:t>E/</w:t>
                </w:r>
                <w:proofErr w:type="spellStart"/>
                <w:r>
                  <w:t>ECE</w:t>
                </w:r>
                <w:proofErr w:type="spellEnd"/>
                <w:r>
                  <w:t>/324/Rev.1/Add.48/Rev.6/Amend.3</w:t>
                </w:r>
              </w:p>
              <w:p w:rsidR="00106460" w:rsidRPr="00BF5575" w:rsidRDefault="00106460" w:rsidP="00106460">
                <w:pPr>
                  <w:pStyle w:val="Header"/>
                </w:pPr>
                <w:r>
                  <w:t>E/</w:t>
                </w:r>
                <w:proofErr w:type="spellStart"/>
                <w:r>
                  <w:t>ECE</w:t>
                </w:r>
                <w:proofErr w:type="spellEnd"/>
                <w:r>
                  <w:t>/TRANS/505/Rev.1/Add.48/Rev.6/Amend.3</w:t>
                </w:r>
              </w:p>
              <w:p w:rsidR="00106460" w:rsidRDefault="00106460"/>
            </w:txbxContent>
          </v:textbox>
          <w10:wrap anchorx="page"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60" w:rsidRPr="001E2089" w:rsidRDefault="00222A61" w:rsidP="001E2089">
    <w:r>
      <w:rPr>
        <w:noProof/>
      </w:rPr>
      <w:pict>
        <v:shapetype id="_x0000_t202" coordsize="21600,21600" o:spt="202" path="m,l,21600r21600,l21600,xe">
          <v:stroke joinstyle="miter"/>
          <v:path gradientshapeok="t" o:connecttype="rect"/>
        </v:shapetype>
        <v:shape id="Zone de texte 4" o:spid="_x0000_s2060" type="#_x0000_t202" style="position:absolute;margin-left:771pt;margin-top:0;width:17.2pt;height:481.95pt;z-index:25166182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" fillcolor="#4f81bd" stroked="f">
          <v:fill opacity="0"/>
          <v:stroke joinstyle="round"/>
          <v:path arrowok="t"/>
          <v:textbox style="layout-flow:vertical" inset="0,0,0,0">
            <w:txbxContent>
              <w:p w:rsidR="00106460" w:rsidRPr="00BF5575" w:rsidRDefault="00106460" w:rsidP="001E2089">
                <w:pPr>
                  <w:pStyle w:val="Header"/>
                  <w:jc w:val="right"/>
                </w:pPr>
                <w:proofErr w:type="spellStart"/>
                <w:r>
                  <w:t>ECE</w:t>
                </w:r>
                <w:proofErr w:type="spellEnd"/>
                <w:r>
                  <w:t>/TRANS/WP.29/2015/55</w:t>
                </w:r>
              </w:p>
              <w:p w:rsidR="00106460" w:rsidRDefault="00106460"/>
            </w:txbxContent>
          </v:textbox>
          <w10:wrap anchorx="page"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60" w:rsidRDefault="00106460" w:rsidP="00106460">
    <w:pPr>
      <w:pStyle w:val="Header"/>
    </w:pPr>
    <w:r>
      <w:t>E/</w:t>
    </w:r>
    <w:proofErr w:type="spellStart"/>
    <w:r>
      <w:t>ECE</w:t>
    </w:r>
    <w:proofErr w:type="spellEnd"/>
    <w:r>
      <w:t>/324/Rev.1/Add.48/Rev.6/Amend.3</w:t>
    </w:r>
  </w:p>
  <w:p w:rsidR="00106460" w:rsidRDefault="00106460" w:rsidP="00106460">
    <w:pPr>
      <w:pStyle w:val="Header"/>
    </w:pPr>
    <w:r>
      <w:t>E/</w:t>
    </w:r>
    <w:proofErr w:type="spellStart"/>
    <w:r>
      <w:t>ECE</w:t>
    </w:r>
    <w:proofErr w:type="spellEnd"/>
    <w:r>
      <w:t>/TRANS/505/Rev.1/Add.48/Rev.6/Amend.3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60" w:rsidRDefault="00106460" w:rsidP="00106460">
    <w:pPr>
      <w:pStyle w:val="Header"/>
    </w:pPr>
    <w:r>
      <w:t>E/</w:t>
    </w:r>
    <w:proofErr w:type="spellStart"/>
    <w:r>
      <w:t>ECE</w:t>
    </w:r>
    <w:proofErr w:type="spellEnd"/>
    <w:r>
      <w:t>/324/Rev.1/Add.48/Rev.6/Amend.3</w:t>
    </w:r>
  </w:p>
  <w:p w:rsidR="00710974" w:rsidRPr="000314C7" w:rsidRDefault="00106460" w:rsidP="00106460">
    <w:pPr>
      <w:pStyle w:val="Header"/>
    </w:pPr>
    <w:r>
      <w:t>E/</w:t>
    </w:r>
    <w:proofErr w:type="spellStart"/>
    <w:r>
      <w:t>ECE</w:t>
    </w:r>
    <w:proofErr w:type="spellEnd"/>
    <w:r>
      <w:t>/TRANS/505/Rev.1/Add.48/Rev.6/Amend.3</w:t>
    </w:r>
  </w:p>
  <w:p w:rsidR="00B07825" w:rsidRDefault="00B07825"/>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60" w:rsidRDefault="00106460" w:rsidP="00106460">
    <w:pPr>
      <w:pStyle w:val="Header"/>
      <w:jc w:val="right"/>
    </w:pPr>
    <w:r>
      <w:t>E/</w:t>
    </w:r>
    <w:proofErr w:type="spellStart"/>
    <w:r>
      <w:t>ECE</w:t>
    </w:r>
    <w:proofErr w:type="spellEnd"/>
    <w:r>
      <w:t>/324/Rev.1/Add.48/Rev.6/Amend.3</w:t>
    </w:r>
  </w:p>
  <w:p w:rsidR="00710974" w:rsidRPr="000314C7" w:rsidRDefault="00106460" w:rsidP="00106460">
    <w:pPr>
      <w:pStyle w:val="Header"/>
      <w:jc w:val="right"/>
    </w:pPr>
    <w:r>
      <w:t>E/</w:t>
    </w:r>
    <w:proofErr w:type="spellStart"/>
    <w:r>
      <w:t>ECE</w:t>
    </w:r>
    <w:proofErr w:type="spellEnd"/>
    <w:r>
      <w:t>/TRANS/505/Rev.1/Add.48/Rev.6/Amend.3</w:t>
    </w:r>
  </w:p>
  <w:p w:rsidR="00B07825" w:rsidRDefault="00B07825"/>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60" w:rsidRDefault="00106460" w:rsidP="00106460">
    <w:pPr>
      <w:pStyle w:val="Header"/>
      <w:jc w:val="right"/>
    </w:pPr>
    <w:r>
      <w:t>E/</w:t>
    </w:r>
    <w:proofErr w:type="spellStart"/>
    <w:r>
      <w:t>ECE</w:t>
    </w:r>
    <w:proofErr w:type="spellEnd"/>
    <w:r>
      <w:t>/324/Rev.1/Add.48/Rev.6/Amend.3</w:t>
    </w:r>
  </w:p>
  <w:p w:rsidR="00106460" w:rsidRDefault="00106460" w:rsidP="00106460">
    <w:pPr>
      <w:pStyle w:val="Header"/>
      <w:jc w:val="right"/>
    </w:pPr>
    <w:r>
      <w:t>E/</w:t>
    </w:r>
    <w:proofErr w:type="spellStart"/>
    <w:r>
      <w:t>ECE</w:t>
    </w:r>
    <w:proofErr w:type="spellEnd"/>
    <w:r>
      <w:t>/TRANS/505/Rev.1/Add.48/Rev.6/Amend.3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8"/>
  </w:num>
  <w:num w:numId="3">
    <w:abstractNumId w:val="40"/>
  </w:num>
  <w:num w:numId="4">
    <w:abstractNumId w:val="18"/>
  </w:num>
  <w:num w:numId="5">
    <w:abstractNumId w:val="11"/>
  </w:num>
  <w:num w:numId="6">
    <w:abstractNumId w:val="20"/>
  </w:num>
  <w:num w:numId="7">
    <w:abstractNumId w:val="25"/>
  </w:num>
  <w:num w:numId="8">
    <w:abstractNumId w:val="38"/>
  </w:num>
  <w:num w:numId="9">
    <w:abstractNumId w:val="31"/>
  </w:num>
  <w:num w:numId="10">
    <w:abstractNumId w:val="41"/>
  </w:num>
  <w:num w:numId="11">
    <w:abstractNumId w:val="25"/>
  </w:num>
  <w:num w:numId="12">
    <w:abstractNumId w:val="29"/>
  </w:num>
  <w:num w:numId="13">
    <w:abstractNumId w:val="29"/>
  </w:num>
  <w:num w:numId="14">
    <w:abstractNumId w:val="35"/>
  </w:num>
  <w:num w:numId="15">
    <w:abstractNumId w:val="23"/>
  </w:num>
  <w:num w:numId="16">
    <w:abstractNumId w:val="23"/>
  </w:num>
  <w:num w:numId="17">
    <w:abstractNumId w:val="40"/>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6"/>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9"/>
  </w:num>
  <w:num w:numId="37">
    <w:abstractNumId w:val="36"/>
  </w:num>
  <w:num w:numId="38">
    <w:abstractNumId w:val="22"/>
  </w:num>
  <w:num w:numId="39">
    <w:abstractNumId w:val="28"/>
  </w:num>
  <w:num w:numId="40">
    <w:abstractNumId w:val="37"/>
  </w:num>
  <w:num w:numId="41">
    <w:abstractNumId w:val="16"/>
  </w:num>
  <w:num w:numId="42">
    <w:abstractNumId w:val="24"/>
  </w:num>
  <w:num w:numId="43">
    <w:abstractNumId w:val="32"/>
  </w:num>
  <w:num w:numId="44">
    <w:abstractNumId w:val="21"/>
  </w:num>
  <w:num w:numId="45">
    <w:abstractNumId w:val="34"/>
  </w:num>
  <w:num w:numId="46">
    <w:abstractNumId w:val="30"/>
  </w:num>
  <w:num w:numId="47">
    <w:abstractNumId w:val="27"/>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68"/>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4CB5"/>
    <w:rsid w:val="0001470D"/>
    <w:rsid w:val="00015650"/>
    <w:rsid w:val="00016165"/>
    <w:rsid w:val="00016AC5"/>
    <w:rsid w:val="00021126"/>
    <w:rsid w:val="00021907"/>
    <w:rsid w:val="000233A5"/>
    <w:rsid w:val="0002445D"/>
    <w:rsid w:val="00024C50"/>
    <w:rsid w:val="00025E92"/>
    <w:rsid w:val="000276A3"/>
    <w:rsid w:val="000314C7"/>
    <w:rsid w:val="00032060"/>
    <w:rsid w:val="00037B3F"/>
    <w:rsid w:val="00040539"/>
    <w:rsid w:val="00040598"/>
    <w:rsid w:val="00047F10"/>
    <w:rsid w:val="0005106D"/>
    <w:rsid w:val="00052157"/>
    <w:rsid w:val="0005346D"/>
    <w:rsid w:val="00055FE4"/>
    <w:rsid w:val="000641CE"/>
    <w:rsid w:val="00067310"/>
    <w:rsid w:val="00077E35"/>
    <w:rsid w:val="0008669E"/>
    <w:rsid w:val="00090599"/>
    <w:rsid w:val="00090B60"/>
    <w:rsid w:val="000A1501"/>
    <w:rsid w:val="000A2494"/>
    <w:rsid w:val="000A6B7E"/>
    <w:rsid w:val="000C6CDB"/>
    <w:rsid w:val="000D5C25"/>
    <w:rsid w:val="000E4F06"/>
    <w:rsid w:val="000E5601"/>
    <w:rsid w:val="000F17F6"/>
    <w:rsid w:val="000F41F2"/>
    <w:rsid w:val="0010373B"/>
    <w:rsid w:val="00106460"/>
    <w:rsid w:val="0011415F"/>
    <w:rsid w:val="00125446"/>
    <w:rsid w:val="001358D9"/>
    <w:rsid w:val="00141E26"/>
    <w:rsid w:val="00143EB9"/>
    <w:rsid w:val="00152C5A"/>
    <w:rsid w:val="0015389C"/>
    <w:rsid w:val="00160540"/>
    <w:rsid w:val="00166C68"/>
    <w:rsid w:val="00174814"/>
    <w:rsid w:val="00181A90"/>
    <w:rsid w:val="00182EA1"/>
    <w:rsid w:val="00190D5D"/>
    <w:rsid w:val="00192EEB"/>
    <w:rsid w:val="00194484"/>
    <w:rsid w:val="001A2040"/>
    <w:rsid w:val="001A20FB"/>
    <w:rsid w:val="001A376F"/>
    <w:rsid w:val="001B09BB"/>
    <w:rsid w:val="001C08ED"/>
    <w:rsid w:val="001C3D8D"/>
    <w:rsid w:val="001C6497"/>
    <w:rsid w:val="001D3393"/>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2A61"/>
    <w:rsid w:val="00224B8B"/>
    <w:rsid w:val="00225A8C"/>
    <w:rsid w:val="00230ED3"/>
    <w:rsid w:val="00231A7F"/>
    <w:rsid w:val="00242268"/>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C5B16"/>
    <w:rsid w:val="002D25CA"/>
    <w:rsid w:val="002D3DA4"/>
    <w:rsid w:val="002E2F5C"/>
    <w:rsid w:val="002F0C48"/>
    <w:rsid w:val="003016B7"/>
    <w:rsid w:val="0030754C"/>
    <w:rsid w:val="00317E54"/>
    <w:rsid w:val="00322DF1"/>
    <w:rsid w:val="00324EBF"/>
    <w:rsid w:val="0032556C"/>
    <w:rsid w:val="00330508"/>
    <w:rsid w:val="0033286A"/>
    <w:rsid w:val="00333130"/>
    <w:rsid w:val="00334475"/>
    <w:rsid w:val="0034178D"/>
    <w:rsid w:val="00346E32"/>
    <w:rsid w:val="003515AA"/>
    <w:rsid w:val="00364F13"/>
    <w:rsid w:val="0036776C"/>
    <w:rsid w:val="00372A7A"/>
    <w:rsid w:val="00372D1D"/>
    <w:rsid w:val="00374106"/>
    <w:rsid w:val="0037679A"/>
    <w:rsid w:val="0038047C"/>
    <w:rsid w:val="00390EEF"/>
    <w:rsid w:val="00394410"/>
    <w:rsid w:val="003976D5"/>
    <w:rsid w:val="003A58D8"/>
    <w:rsid w:val="003B53B6"/>
    <w:rsid w:val="003D6C68"/>
    <w:rsid w:val="003E01D0"/>
    <w:rsid w:val="003E49B9"/>
    <w:rsid w:val="003E5E5B"/>
    <w:rsid w:val="003E5F12"/>
    <w:rsid w:val="003E786C"/>
    <w:rsid w:val="003F2A89"/>
    <w:rsid w:val="003F4A54"/>
    <w:rsid w:val="0040144C"/>
    <w:rsid w:val="004067AE"/>
    <w:rsid w:val="00410521"/>
    <w:rsid w:val="00411662"/>
    <w:rsid w:val="00413BB0"/>
    <w:rsid w:val="004159D0"/>
    <w:rsid w:val="00417326"/>
    <w:rsid w:val="00421A10"/>
    <w:rsid w:val="00422499"/>
    <w:rsid w:val="00430EFC"/>
    <w:rsid w:val="00433FA6"/>
    <w:rsid w:val="004342E2"/>
    <w:rsid w:val="00434354"/>
    <w:rsid w:val="00440BC8"/>
    <w:rsid w:val="00454F8D"/>
    <w:rsid w:val="004567EB"/>
    <w:rsid w:val="00460E72"/>
    <w:rsid w:val="00464191"/>
    <w:rsid w:val="00467412"/>
    <w:rsid w:val="004726BE"/>
    <w:rsid w:val="004750C7"/>
    <w:rsid w:val="00476265"/>
    <w:rsid w:val="00490F56"/>
    <w:rsid w:val="00491496"/>
    <w:rsid w:val="00491F39"/>
    <w:rsid w:val="00495A7B"/>
    <w:rsid w:val="004A49A5"/>
    <w:rsid w:val="004A66A2"/>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366"/>
    <w:rsid w:val="00552777"/>
    <w:rsid w:val="00555494"/>
    <w:rsid w:val="00555CBA"/>
    <w:rsid w:val="00556C1A"/>
    <w:rsid w:val="00563071"/>
    <w:rsid w:val="00565B29"/>
    <w:rsid w:val="00571BC1"/>
    <w:rsid w:val="00571F41"/>
    <w:rsid w:val="00575476"/>
    <w:rsid w:val="005757A7"/>
    <w:rsid w:val="00583A20"/>
    <w:rsid w:val="00584373"/>
    <w:rsid w:val="0059061F"/>
    <w:rsid w:val="00591DB3"/>
    <w:rsid w:val="005939ED"/>
    <w:rsid w:val="005947BC"/>
    <w:rsid w:val="00595E8A"/>
    <w:rsid w:val="005A0268"/>
    <w:rsid w:val="005A6014"/>
    <w:rsid w:val="005B473C"/>
    <w:rsid w:val="005C549A"/>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6671"/>
    <w:rsid w:val="00647059"/>
    <w:rsid w:val="00647162"/>
    <w:rsid w:val="0065029A"/>
    <w:rsid w:val="006553F9"/>
    <w:rsid w:val="00661E96"/>
    <w:rsid w:val="00665786"/>
    <w:rsid w:val="00671C93"/>
    <w:rsid w:val="00671F00"/>
    <w:rsid w:val="006729C8"/>
    <w:rsid w:val="00675501"/>
    <w:rsid w:val="0068055F"/>
    <w:rsid w:val="0068562A"/>
    <w:rsid w:val="006A62F8"/>
    <w:rsid w:val="006A6B31"/>
    <w:rsid w:val="006A6C95"/>
    <w:rsid w:val="006A7B29"/>
    <w:rsid w:val="006B0EB2"/>
    <w:rsid w:val="006B0FF8"/>
    <w:rsid w:val="006B4590"/>
    <w:rsid w:val="006C27D3"/>
    <w:rsid w:val="006C340C"/>
    <w:rsid w:val="006D636A"/>
    <w:rsid w:val="006F1D0B"/>
    <w:rsid w:val="006F27A8"/>
    <w:rsid w:val="006F3493"/>
    <w:rsid w:val="006F3544"/>
    <w:rsid w:val="0070347C"/>
    <w:rsid w:val="00707FE6"/>
    <w:rsid w:val="007102D2"/>
    <w:rsid w:val="00710974"/>
    <w:rsid w:val="00714A66"/>
    <w:rsid w:val="007176C1"/>
    <w:rsid w:val="00720BC0"/>
    <w:rsid w:val="0072116B"/>
    <w:rsid w:val="00725063"/>
    <w:rsid w:val="00732E72"/>
    <w:rsid w:val="00741D90"/>
    <w:rsid w:val="007607B1"/>
    <w:rsid w:val="00765296"/>
    <w:rsid w:val="00765DCF"/>
    <w:rsid w:val="00766D28"/>
    <w:rsid w:val="007723C2"/>
    <w:rsid w:val="007815B9"/>
    <w:rsid w:val="00785F1F"/>
    <w:rsid w:val="007869B6"/>
    <w:rsid w:val="00790B9D"/>
    <w:rsid w:val="00796316"/>
    <w:rsid w:val="007A1C58"/>
    <w:rsid w:val="007A20D2"/>
    <w:rsid w:val="007A79CD"/>
    <w:rsid w:val="007D2668"/>
    <w:rsid w:val="007D3119"/>
    <w:rsid w:val="007E3CBD"/>
    <w:rsid w:val="007F1867"/>
    <w:rsid w:val="007F1EC4"/>
    <w:rsid w:val="007F55CB"/>
    <w:rsid w:val="007F768E"/>
    <w:rsid w:val="008021D4"/>
    <w:rsid w:val="008149F9"/>
    <w:rsid w:val="008245B7"/>
    <w:rsid w:val="0082755E"/>
    <w:rsid w:val="00831A18"/>
    <w:rsid w:val="008345F4"/>
    <w:rsid w:val="00837345"/>
    <w:rsid w:val="00844750"/>
    <w:rsid w:val="00851A74"/>
    <w:rsid w:val="00853AB8"/>
    <w:rsid w:val="00854C34"/>
    <w:rsid w:val="0085586A"/>
    <w:rsid w:val="00856DB2"/>
    <w:rsid w:val="00894D0C"/>
    <w:rsid w:val="00895DE5"/>
    <w:rsid w:val="008A00CA"/>
    <w:rsid w:val="008A0FA8"/>
    <w:rsid w:val="008A1EC0"/>
    <w:rsid w:val="008B44C4"/>
    <w:rsid w:val="008C322B"/>
    <w:rsid w:val="008C4B74"/>
    <w:rsid w:val="008D1156"/>
    <w:rsid w:val="008D59DB"/>
    <w:rsid w:val="008E0319"/>
    <w:rsid w:val="008E1A59"/>
    <w:rsid w:val="008E4DE2"/>
    <w:rsid w:val="008E6F93"/>
    <w:rsid w:val="008E7CE2"/>
    <w:rsid w:val="008E7FAE"/>
    <w:rsid w:val="00911BF7"/>
    <w:rsid w:val="0091594A"/>
    <w:rsid w:val="009230F1"/>
    <w:rsid w:val="0092610C"/>
    <w:rsid w:val="00926925"/>
    <w:rsid w:val="00935490"/>
    <w:rsid w:val="009418DE"/>
    <w:rsid w:val="009516B7"/>
    <w:rsid w:val="009545F1"/>
    <w:rsid w:val="0095705B"/>
    <w:rsid w:val="00957CE5"/>
    <w:rsid w:val="009624E2"/>
    <w:rsid w:val="00974DD2"/>
    <w:rsid w:val="00977EC8"/>
    <w:rsid w:val="00996562"/>
    <w:rsid w:val="009A3048"/>
    <w:rsid w:val="009A4CB5"/>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52BB"/>
    <w:rsid w:val="00A76263"/>
    <w:rsid w:val="00A81F93"/>
    <w:rsid w:val="00A92017"/>
    <w:rsid w:val="00A9247E"/>
    <w:rsid w:val="00A952AD"/>
    <w:rsid w:val="00AA0DCA"/>
    <w:rsid w:val="00AA7796"/>
    <w:rsid w:val="00AC67A1"/>
    <w:rsid w:val="00AC7977"/>
    <w:rsid w:val="00AC7E56"/>
    <w:rsid w:val="00AE2617"/>
    <w:rsid w:val="00AE352C"/>
    <w:rsid w:val="00AE6FA4"/>
    <w:rsid w:val="00AE79AC"/>
    <w:rsid w:val="00B01AAD"/>
    <w:rsid w:val="00B07825"/>
    <w:rsid w:val="00B101DB"/>
    <w:rsid w:val="00B21751"/>
    <w:rsid w:val="00B256F0"/>
    <w:rsid w:val="00B31D7D"/>
    <w:rsid w:val="00B32E2D"/>
    <w:rsid w:val="00B3407B"/>
    <w:rsid w:val="00B416B8"/>
    <w:rsid w:val="00B43741"/>
    <w:rsid w:val="00B45642"/>
    <w:rsid w:val="00B52F29"/>
    <w:rsid w:val="00B5388D"/>
    <w:rsid w:val="00B55FE1"/>
    <w:rsid w:val="00B61990"/>
    <w:rsid w:val="00B6249B"/>
    <w:rsid w:val="00B70CCD"/>
    <w:rsid w:val="00B75E66"/>
    <w:rsid w:val="00B773BF"/>
    <w:rsid w:val="00B804B7"/>
    <w:rsid w:val="00BC3F20"/>
    <w:rsid w:val="00BD13E6"/>
    <w:rsid w:val="00BD28B2"/>
    <w:rsid w:val="00BD5A8D"/>
    <w:rsid w:val="00BD7343"/>
    <w:rsid w:val="00BF0556"/>
    <w:rsid w:val="00BF37EE"/>
    <w:rsid w:val="00BF41E8"/>
    <w:rsid w:val="00C024A1"/>
    <w:rsid w:val="00C02C42"/>
    <w:rsid w:val="00C10FB1"/>
    <w:rsid w:val="00C11282"/>
    <w:rsid w:val="00C14108"/>
    <w:rsid w:val="00C231A5"/>
    <w:rsid w:val="00C261F8"/>
    <w:rsid w:val="00C27662"/>
    <w:rsid w:val="00C32914"/>
    <w:rsid w:val="00C33100"/>
    <w:rsid w:val="00C42EDB"/>
    <w:rsid w:val="00C451B9"/>
    <w:rsid w:val="00C47BDD"/>
    <w:rsid w:val="00C51D9C"/>
    <w:rsid w:val="00C54DA4"/>
    <w:rsid w:val="00C55118"/>
    <w:rsid w:val="00C577D1"/>
    <w:rsid w:val="00C57A2D"/>
    <w:rsid w:val="00C6018C"/>
    <w:rsid w:val="00C67D23"/>
    <w:rsid w:val="00C71827"/>
    <w:rsid w:val="00C75D25"/>
    <w:rsid w:val="00C825E5"/>
    <w:rsid w:val="00C95EB8"/>
    <w:rsid w:val="00CB02C5"/>
    <w:rsid w:val="00CB0D41"/>
    <w:rsid w:val="00CB39CD"/>
    <w:rsid w:val="00CC2A62"/>
    <w:rsid w:val="00CC7CE6"/>
    <w:rsid w:val="00CD044C"/>
    <w:rsid w:val="00CD1A71"/>
    <w:rsid w:val="00CD1FBB"/>
    <w:rsid w:val="00CE033D"/>
    <w:rsid w:val="00CE08E5"/>
    <w:rsid w:val="00CE75E7"/>
    <w:rsid w:val="00D016B5"/>
    <w:rsid w:val="00D034F1"/>
    <w:rsid w:val="00D04527"/>
    <w:rsid w:val="00D05828"/>
    <w:rsid w:val="00D06712"/>
    <w:rsid w:val="00D14C21"/>
    <w:rsid w:val="00D14F42"/>
    <w:rsid w:val="00D171D4"/>
    <w:rsid w:val="00D244CB"/>
    <w:rsid w:val="00D27D5E"/>
    <w:rsid w:val="00D32B08"/>
    <w:rsid w:val="00D407D1"/>
    <w:rsid w:val="00D43E5F"/>
    <w:rsid w:val="00D51CE6"/>
    <w:rsid w:val="00D5218B"/>
    <w:rsid w:val="00D62AC5"/>
    <w:rsid w:val="00D639BD"/>
    <w:rsid w:val="00D65777"/>
    <w:rsid w:val="00D66E0D"/>
    <w:rsid w:val="00D7425A"/>
    <w:rsid w:val="00D74F7E"/>
    <w:rsid w:val="00D7695F"/>
    <w:rsid w:val="00D9039B"/>
    <w:rsid w:val="00D93582"/>
    <w:rsid w:val="00DA41A2"/>
    <w:rsid w:val="00DA43A1"/>
    <w:rsid w:val="00DA5E1D"/>
    <w:rsid w:val="00DC3628"/>
    <w:rsid w:val="00DC4F43"/>
    <w:rsid w:val="00DC5038"/>
    <w:rsid w:val="00DD0034"/>
    <w:rsid w:val="00DD1ED8"/>
    <w:rsid w:val="00DE6D90"/>
    <w:rsid w:val="00DF002F"/>
    <w:rsid w:val="00DF1D90"/>
    <w:rsid w:val="00E01123"/>
    <w:rsid w:val="00E0244D"/>
    <w:rsid w:val="00E026DF"/>
    <w:rsid w:val="00E02F48"/>
    <w:rsid w:val="00E03712"/>
    <w:rsid w:val="00E06B3F"/>
    <w:rsid w:val="00E10A73"/>
    <w:rsid w:val="00E14F27"/>
    <w:rsid w:val="00E171D2"/>
    <w:rsid w:val="00E25534"/>
    <w:rsid w:val="00E319B6"/>
    <w:rsid w:val="00E32145"/>
    <w:rsid w:val="00E32F5A"/>
    <w:rsid w:val="00E43CB0"/>
    <w:rsid w:val="00E510F3"/>
    <w:rsid w:val="00E51874"/>
    <w:rsid w:val="00E55223"/>
    <w:rsid w:val="00E56E28"/>
    <w:rsid w:val="00E60012"/>
    <w:rsid w:val="00E606BF"/>
    <w:rsid w:val="00E62CFF"/>
    <w:rsid w:val="00E665EE"/>
    <w:rsid w:val="00E679AE"/>
    <w:rsid w:val="00E71570"/>
    <w:rsid w:val="00E73B13"/>
    <w:rsid w:val="00E75C58"/>
    <w:rsid w:val="00E76819"/>
    <w:rsid w:val="00E81E94"/>
    <w:rsid w:val="00E82607"/>
    <w:rsid w:val="00E84A82"/>
    <w:rsid w:val="00E85025"/>
    <w:rsid w:val="00E9483E"/>
    <w:rsid w:val="00E94E03"/>
    <w:rsid w:val="00E96710"/>
    <w:rsid w:val="00E97E2C"/>
    <w:rsid w:val="00EA3B1D"/>
    <w:rsid w:val="00EB215C"/>
    <w:rsid w:val="00EB407B"/>
    <w:rsid w:val="00EB77B9"/>
    <w:rsid w:val="00EB7D07"/>
    <w:rsid w:val="00ED3A26"/>
    <w:rsid w:val="00EF5EBC"/>
    <w:rsid w:val="00EF70BB"/>
    <w:rsid w:val="00F02FA9"/>
    <w:rsid w:val="00F06660"/>
    <w:rsid w:val="00F07AE1"/>
    <w:rsid w:val="00F116EB"/>
    <w:rsid w:val="00F1794E"/>
    <w:rsid w:val="00F211AF"/>
    <w:rsid w:val="00F25EC3"/>
    <w:rsid w:val="00F32ADB"/>
    <w:rsid w:val="00F32C98"/>
    <w:rsid w:val="00F34106"/>
    <w:rsid w:val="00F37E12"/>
    <w:rsid w:val="00F424BD"/>
    <w:rsid w:val="00F45D41"/>
    <w:rsid w:val="00F515AD"/>
    <w:rsid w:val="00F56B14"/>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C2227"/>
    <w:rsid w:val="00FC2CA9"/>
    <w:rsid w:val="00FC58CD"/>
    <w:rsid w:val="00FD02A2"/>
    <w:rsid w:val="00FD5E64"/>
    <w:rsid w:val="00FD7985"/>
    <w:rsid w:val="00FE2E9C"/>
    <w:rsid w:val="00FE6526"/>
    <w:rsid w:val="00FF1DBD"/>
    <w:rsid w:val="00FF1E4B"/>
    <w:rsid w:val="00FF33E4"/>
    <w:rsid w:val="00FF7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link w:val="FootnoteTextChar"/>
    <w:rsid w:val="00C10FB1"/>
    <w:pPr>
      <w:tabs>
        <w:tab w:val="right" w:pos="1021"/>
      </w:tabs>
      <w:spacing w:line="220" w:lineRule="exact"/>
      <w:ind w:left="1134" w:right="1134" w:hanging="1134"/>
    </w:pPr>
    <w:rPr>
      <w:sz w:val="18"/>
    </w:rPr>
  </w:style>
  <w:style w:type="paragraph" w:styleId="Footer">
    <w:name w:val="footer"/>
    <w:aliases w:val="3_G"/>
    <w:basedOn w:val="Normal"/>
    <w:next w:val="Normal"/>
    <w:link w:val="FooterChar"/>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link w:val="HeaderChar"/>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paragraph" w:customStyle="1" w:styleId="ParNoG">
    <w:name w:val="_ParNo_G"/>
    <w:basedOn w:val="SingleTxtG"/>
    <w:rsid w:val="00FE2E9C"/>
    <w:pPr>
      <w:numPr>
        <w:numId w:val="49"/>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rsid w:val="00FC2CA9"/>
    <w:pPr>
      <w:spacing w:line="240" w:lineRule="auto"/>
    </w:pPr>
    <w:rPr>
      <w:rFonts w:ascii="Tahoma" w:hAnsi="Tahoma" w:cs="Tahoma"/>
      <w:sz w:val="16"/>
      <w:szCs w:val="16"/>
    </w:rPr>
  </w:style>
  <w:style w:type="character" w:customStyle="1" w:styleId="BalloonTextChar">
    <w:name w:val="Balloon Text Char"/>
    <w:link w:val="BalloonText"/>
    <w:rsid w:val="00FC2CA9"/>
    <w:rPr>
      <w:rFonts w:ascii="Tahoma" w:hAnsi="Tahoma" w:cs="Tahoma"/>
      <w:sz w:val="16"/>
      <w:szCs w:val="16"/>
      <w:lang w:val="fr-CH" w:eastAsia="en-US"/>
    </w:rPr>
  </w:style>
  <w:style w:type="character" w:customStyle="1" w:styleId="HeaderChar">
    <w:name w:val="Header Char"/>
    <w:aliases w:val="6_G Char"/>
    <w:link w:val="Header"/>
    <w:rsid w:val="00106460"/>
    <w:rPr>
      <w:b/>
      <w:sz w:val="18"/>
      <w:lang w:val="fr-CH" w:eastAsia="en-US"/>
    </w:rPr>
  </w:style>
  <w:style w:type="character" w:customStyle="1" w:styleId="FootnoteTextChar">
    <w:name w:val="Footnote Text Char"/>
    <w:aliases w:val="5_G Char"/>
    <w:link w:val="FootnoteText"/>
    <w:rsid w:val="00F34106"/>
    <w:rPr>
      <w:sz w:val="18"/>
      <w:lang w:val="fr-CH" w:eastAsia="en-US"/>
    </w:rPr>
  </w:style>
  <w:style w:type="character" w:customStyle="1" w:styleId="FooterChar">
    <w:name w:val="Footer Char"/>
    <w:aliases w:val="3_G Char"/>
    <w:link w:val="Footer"/>
    <w:rsid w:val="00F34106"/>
    <w:rPr>
      <w:sz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unece.org/trans/main/wp29/wp29wgs/wp29gen/wp29resolutions.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undocs.org/fr/ECE/TRANS/WP.29/78/Rev.3"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unece.org/trans/main/wp29/wp29wgs/wp29gen/wp29resolutions.html" TargetMode="Externa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fr/ECE/TRANS/WP.29/78/Rev.3" TargetMode="External"/><Relationship Id="rId27" Type="http://schemas.openxmlformats.org/officeDocument/2006/relationships/footer" Target="footer7.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FRENC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F90FF-3ECF-469C-86B5-154AB8A7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FRENCH my AMEND template.dotx</Template>
  <TotalTime>43</TotalTime>
  <Pages>11</Pages>
  <Words>3800</Words>
  <Characters>21663</Characters>
  <Application>Microsoft Office Word</Application>
  <DocSecurity>0</DocSecurity>
  <Lines>180</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25413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09</dc:creator>
  <cp:lastModifiedBy>Rev.24</cp:lastModifiedBy>
  <cp:revision>6</cp:revision>
  <cp:lastPrinted>2016-02-04T14:58:00Z</cp:lastPrinted>
  <dcterms:created xsi:type="dcterms:W3CDTF">2015-09-22T09:06:00Z</dcterms:created>
  <dcterms:modified xsi:type="dcterms:W3CDTF">2016-02-04T15:28:00Z</dcterms:modified>
</cp:coreProperties>
</file>