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F23EAE">
            <w:pPr>
              <w:jc w:val="right"/>
            </w:pPr>
            <w:r w:rsidRPr="00014D07">
              <w:rPr>
                <w:sz w:val="40"/>
              </w:rPr>
              <w:t>E</w:t>
            </w:r>
            <w:r>
              <w:t>/ECE/324/</w:t>
            </w:r>
            <w:r w:rsidR="008D38B7">
              <w:t>Rev.1/</w:t>
            </w:r>
            <w:r w:rsidR="008D38B7" w:rsidRPr="0063785D">
              <w:t>Add.</w:t>
            </w:r>
            <w:r w:rsidR="00F23EAE" w:rsidRPr="0063785D">
              <w:t>4</w:t>
            </w:r>
            <w:r w:rsidR="00F23EAE">
              <w:t>8</w:t>
            </w:r>
            <w:r w:rsidR="008D38B7" w:rsidRPr="0063785D">
              <w:t>/Rev.</w:t>
            </w:r>
            <w:r w:rsidR="00F23EAE">
              <w:t>6</w:t>
            </w:r>
            <w:r w:rsidR="008D38B7" w:rsidRPr="0063785D">
              <w:t>/Amend.3</w:t>
            </w:r>
            <w:r>
              <w:t>−</w:t>
            </w:r>
            <w:r w:rsidRPr="00014D07">
              <w:rPr>
                <w:sz w:val="40"/>
              </w:rPr>
              <w:t>E</w:t>
            </w:r>
            <w:r>
              <w:t>/ECE/TRANS/505</w:t>
            </w:r>
            <w:r w:rsidR="00F23EAE">
              <w:t>/Rev.1/</w:t>
            </w:r>
            <w:r w:rsidR="00F23EAE" w:rsidRPr="0063785D">
              <w:t>Add.4</w:t>
            </w:r>
            <w:r w:rsidR="00F23EAE">
              <w:t>8</w:t>
            </w:r>
            <w:r w:rsidR="00F23EAE" w:rsidRPr="0063785D">
              <w:t>/Rev.</w:t>
            </w:r>
            <w:r w:rsidR="00F23EAE">
              <w:t>6</w:t>
            </w:r>
            <w:r w:rsidR="00F23EAE" w:rsidRPr="0063785D">
              <w:t>/Amend.3</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040CB5" w:rsidP="003C3936">
            <w:pPr>
              <w:spacing w:before="120"/>
            </w:pPr>
            <w:r w:rsidRPr="00040CB5">
              <w:t>5 February 2016</w:t>
            </w:r>
            <w:bookmarkStart w:id="0" w:name="_GoBack"/>
            <w:bookmarkEnd w:id="0"/>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8D38B7">
        <w:t>4</w:t>
      </w:r>
      <w:r w:rsidR="00F23EAE">
        <w:t>8</w:t>
      </w:r>
      <w:r>
        <w:t xml:space="preserve"> – Regulation No.</w:t>
      </w:r>
      <w:r w:rsidR="00271A7F">
        <w:t xml:space="preserve"> </w:t>
      </w:r>
      <w:r w:rsidR="008D38B7">
        <w:t>4</w:t>
      </w:r>
      <w:r w:rsidR="00F23EAE">
        <w:t>9</w:t>
      </w:r>
    </w:p>
    <w:p w:rsidR="0064636E" w:rsidRPr="00014D07" w:rsidRDefault="0064636E" w:rsidP="00A41529">
      <w:pPr>
        <w:pStyle w:val="H1G"/>
        <w:spacing w:before="240"/>
      </w:pPr>
      <w:r>
        <w:tab/>
      </w:r>
      <w:r>
        <w:tab/>
      </w:r>
      <w:r w:rsidRPr="00014D07">
        <w:t xml:space="preserve">Revision </w:t>
      </w:r>
      <w:r w:rsidR="00F23EAE">
        <w:t>6</w:t>
      </w:r>
      <w:r w:rsidRPr="00014D07">
        <w:t xml:space="preserve"> - </w:t>
      </w:r>
      <w:r w:rsidR="00D623A7">
        <w:t>Amendment</w:t>
      </w:r>
      <w:r w:rsidRPr="00014D07">
        <w:t xml:space="preserve"> </w:t>
      </w:r>
      <w:r w:rsidR="008D38B7">
        <w:t>3</w:t>
      </w:r>
    </w:p>
    <w:p w:rsidR="0064636E" w:rsidRPr="00272880" w:rsidRDefault="00D623A7" w:rsidP="0064636E">
      <w:pPr>
        <w:pStyle w:val="SingleTxtG"/>
        <w:spacing w:after="360"/>
        <w:rPr>
          <w:spacing w:val="-2"/>
        </w:rPr>
      </w:pPr>
      <w:r>
        <w:rPr>
          <w:spacing w:val="-2"/>
        </w:rPr>
        <w:t xml:space="preserve">Supplement </w:t>
      </w:r>
      <w:r w:rsidR="008D38B7">
        <w:rPr>
          <w:spacing w:val="-2"/>
        </w:rPr>
        <w:t>3</w:t>
      </w:r>
      <w:r>
        <w:rPr>
          <w:spacing w:val="-2"/>
        </w:rPr>
        <w:t xml:space="preserve"> to </w:t>
      </w:r>
      <w:r w:rsidR="00271A7F">
        <w:rPr>
          <w:spacing w:val="-2"/>
        </w:rPr>
        <w:t xml:space="preserve">the </w:t>
      </w:r>
      <w:r w:rsidR="008D38B7">
        <w:rPr>
          <w:spacing w:val="-2"/>
        </w:rPr>
        <w:t>0</w:t>
      </w:r>
      <w:r w:rsidR="00F23EAE">
        <w:rPr>
          <w:spacing w:val="-2"/>
        </w:rPr>
        <w:t>6</w:t>
      </w:r>
      <w:r>
        <w:rPr>
          <w:spacing w:val="-2"/>
        </w:rPr>
        <w:t xml:space="preserve"> series of amendments</w:t>
      </w:r>
      <w:r w:rsidR="0064636E" w:rsidRPr="00272880">
        <w:rPr>
          <w:spacing w:val="-2"/>
        </w:rPr>
        <w:t xml:space="preserve"> – Date of entry into force: </w:t>
      </w:r>
      <w:r w:rsidR="008D38B7" w:rsidRPr="008D38B7">
        <w:t>20 January 2016</w:t>
      </w:r>
    </w:p>
    <w:p w:rsidR="0064636E" w:rsidRDefault="0064636E" w:rsidP="00A41529">
      <w:pPr>
        <w:pStyle w:val="H1G"/>
        <w:spacing w:before="120" w:after="120" w:line="240" w:lineRule="exact"/>
        <w:rPr>
          <w:lang w:val="en-US"/>
        </w:rPr>
      </w:pPr>
      <w:r>
        <w:rPr>
          <w:lang w:val="en-US"/>
        </w:rPr>
        <w:tab/>
      </w:r>
      <w:r>
        <w:rPr>
          <w:lang w:val="en-US"/>
        </w:rPr>
        <w:tab/>
      </w:r>
      <w:r w:rsidR="00F23EAE" w:rsidRPr="00F23EAE">
        <w:rPr>
          <w:lang w:val="en-US"/>
        </w:rPr>
        <w:t>Uniform provisions concerning the measures to be taken against the emission of gaseous and particulate pollutants from compression-</w:t>
      </w:r>
      <w:proofErr w:type="gramStart"/>
      <w:r w:rsidR="00F23EAE" w:rsidRPr="00F23EAE">
        <w:rPr>
          <w:lang w:val="en-US"/>
        </w:rPr>
        <w:t>ignition</w:t>
      </w:r>
      <w:proofErr w:type="gramEnd"/>
      <w:r w:rsidR="00F23EAE" w:rsidRPr="00F23EAE">
        <w:rPr>
          <w:lang w:val="en-US"/>
        </w:rPr>
        <w:t xml:space="preserve"> engines and positive ignition engines for use in vehicles</w:t>
      </w:r>
    </w:p>
    <w:p w:rsidR="00A41529" w:rsidRDefault="00B32121" w:rsidP="008D38B7">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F23EAE">
        <w:rPr>
          <w:spacing w:val="-6"/>
          <w:lang w:eastAsia="en-GB"/>
        </w:rPr>
        <w:t>55</w:t>
      </w:r>
      <w:r w:rsidR="008D38B7">
        <w:rPr>
          <w:spacing w:val="-6"/>
          <w:lang w:eastAsia="en-GB"/>
        </w:rPr>
        <w:t>.</w:t>
      </w:r>
    </w:p>
    <w:p w:rsidR="000D3A4F" w:rsidRPr="000D3A4F" w:rsidRDefault="00040CB5"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C711C7" w:rsidRDefault="00C711C7" w:rsidP="00C711C7">
      <w:pPr>
        <w:jc w:val="center"/>
      </w:pPr>
    </w:p>
    <w:p w:rsidR="00F23EAE" w:rsidRPr="00F23EAE" w:rsidRDefault="00D5540C" w:rsidP="00F23EAE">
      <w:pPr>
        <w:suppressAutoHyphens w:val="0"/>
        <w:snapToGrid w:val="0"/>
        <w:spacing w:after="120"/>
        <w:ind w:left="1134" w:right="1134"/>
        <w:rPr>
          <w:i/>
        </w:rPr>
      </w:pPr>
      <w:r>
        <w:br w:type="page"/>
      </w:r>
      <w:r w:rsidR="00F23EAE" w:rsidRPr="00F23EAE">
        <w:rPr>
          <w:i/>
        </w:rPr>
        <w:lastRenderedPageBreak/>
        <w:t xml:space="preserve">Paragraph 4.10.8., </w:t>
      </w:r>
      <w:r w:rsidR="00F23EAE" w:rsidRPr="00F23EAE">
        <w:t>amend to read:</w:t>
      </w:r>
    </w:p>
    <w:p w:rsidR="00F23EAE" w:rsidRPr="00F23EAE" w:rsidRDefault="00F23EAE" w:rsidP="00F23EAE">
      <w:pPr>
        <w:spacing w:after="120"/>
        <w:ind w:left="2268" w:right="1134" w:hanging="1134"/>
        <w:jc w:val="both"/>
        <w:rPr>
          <w:rFonts w:eastAsia="MS Mincho"/>
        </w:rPr>
      </w:pPr>
      <w:r w:rsidRPr="00F23EAE">
        <w:rPr>
          <w:rFonts w:eastAsia="MS Mincho"/>
        </w:rPr>
        <w:t>"4.10.8.</w:t>
      </w:r>
      <w:r w:rsidRPr="00F23EAE">
        <w:rPr>
          <w:rFonts w:eastAsia="MS Mincho"/>
        </w:rPr>
        <w:tab/>
        <w:t xml:space="preserve">If the manufacturer chooses, until the date specified in paragraph 13.2.3. </w:t>
      </w:r>
      <w:proofErr w:type="gramStart"/>
      <w:r w:rsidRPr="00F23EAE">
        <w:rPr>
          <w:rFonts w:eastAsia="MS Mincho"/>
        </w:rPr>
        <w:t>for</w:t>
      </w:r>
      <w:proofErr w:type="gramEnd"/>
      <w:r w:rsidRPr="00F23EAE">
        <w:rPr>
          <w:rFonts w:eastAsia="MS Mincho"/>
        </w:rPr>
        <w:t xml:space="preserve"> new type approvals, he may use alternative provisions for the monitoring of the Diesel Particulate Filter (</w:t>
      </w:r>
      <w:proofErr w:type="spellStart"/>
      <w:r w:rsidRPr="00F23EAE">
        <w:rPr>
          <w:rFonts w:eastAsia="MS Mincho"/>
        </w:rPr>
        <w:t>DPF</w:t>
      </w:r>
      <w:proofErr w:type="spellEnd"/>
      <w:r w:rsidRPr="00F23EAE">
        <w:rPr>
          <w:rFonts w:eastAsia="MS Mincho"/>
        </w:rPr>
        <w:t xml:space="preserve">) as set out in paragraph 2.3.2.2. </w:t>
      </w:r>
      <w:proofErr w:type="gramStart"/>
      <w:r w:rsidRPr="00F23EAE">
        <w:rPr>
          <w:rFonts w:eastAsia="MS Mincho"/>
        </w:rPr>
        <w:t>of</w:t>
      </w:r>
      <w:proofErr w:type="gramEnd"/>
      <w:r w:rsidRPr="00F23EAE">
        <w:rPr>
          <w:rFonts w:eastAsia="MS Mincho"/>
        </w:rPr>
        <w:t xml:space="preserve"> Annex</w:t>
      </w:r>
      <w:r>
        <w:rPr>
          <w:rFonts w:eastAsia="MS Mincho"/>
        </w:rPr>
        <w:t> </w:t>
      </w:r>
      <w:r w:rsidRPr="00F23EAE">
        <w:rPr>
          <w:rFonts w:eastAsia="MS Mincho"/>
        </w:rPr>
        <w:t>9A."</w:t>
      </w:r>
    </w:p>
    <w:p w:rsidR="00F23EAE" w:rsidRPr="00F23EAE" w:rsidRDefault="00F23EAE" w:rsidP="00F23EAE">
      <w:pPr>
        <w:spacing w:after="120"/>
        <w:ind w:left="2268" w:right="1134" w:hanging="1134"/>
        <w:jc w:val="both"/>
        <w:rPr>
          <w:rFonts w:eastAsia="MS Mincho"/>
        </w:rPr>
      </w:pPr>
      <w:proofErr w:type="gramStart"/>
      <w:r w:rsidRPr="00F23EAE">
        <w:rPr>
          <w:rFonts w:eastAsia="MS Mincho"/>
          <w:i/>
        </w:rPr>
        <w:t>Paragraphs 13.2.1.</w:t>
      </w:r>
      <w:proofErr w:type="gramEnd"/>
      <w:r w:rsidRPr="00F23EAE">
        <w:rPr>
          <w:rFonts w:eastAsia="MS Mincho"/>
          <w:i/>
        </w:rPr>
        <w:t xml:space="preserve"> </w:t>
      </w:r>
      <w:proofErr w:type="gramStart"/>
      <w:r w:rsidRPr="00F23EAE">
        <w:rPr>
          <w:rFonts w:eastAsia="MS Mincho"/>
          <w:i/>
        </w:rPr>
        <w:t>to</w:t>
      </w:r>
      <w:proofErr w:type="gramEnd"/>
      <w:r w:rsidRPr="00F23EAE">
        <w:rPr>
          <w:rFonts w:eastAsia="MS Mincho"/>
          <w:i/>
        </w:rPr>
        <w:t xml:space="preserve"> 13.3.3.,</w:t>
      </w:r>
      <w:r w:rsidRPr="00F23EAE">
        <w:rPr>
          <w:rFonts w:eastAsia="MS Mincho"/>
        </w:rPr>
        <w:t xml:space="preserve"> amend to read:</w:t>
      </w:r>
    </w:p>
    <w:p w:rsidR="00F23EAE" w:rsidRPr="00F23EAE" w:rsidRDefault="00F23EAE" w:rsidP="00F23EAE">
      <w:pPr>
        <w:tabs>
          <w:tab w:val="left" w:pos="8505"/>
        </w:tabs>
        <w:spacing w:after="120"/>
        <w:ind w:left="2268" w:right="1134" w:hanging="1134"/>
        <w:jc w:val="both"/>
        <w:rPr>
          <w:rFonts w:eastAsia="MS Mincho"/>
        </w:rPr>
      </w:pPr>
      <w:r w:rsidRPr="00F23EAE">
        <w:rPr>
          <w:rFonts w:eastAsia="MS Mincho"/>
        </w:rPr>
        <w:t>"13.2.1.</w:t>
      </w:r>
      <w:r w:rsidRPr="00F23EAE">
        <w:rPr>
          <w:rFonts w:eastAsia="MS Mincho"/>
        </w:rPr>
        <w:tab/>
        <w:t xml:space="preserve">Contracting Parties applying this Regulation shall, from the date of entry into force of the 06 series of amendments to this Regulation, grant an </w:t>
      </w:r>
      <w:proofErr w:type="spellStart"/>
      <w:r w:rsidRPr="00F23EAE">
        <w:rPr>
          <w:rFonts w:eastAsia="MS Mincho"/>
        </w:rPr>
        <w:t>ECE</w:t>
      </w:r>
      <w:proofErr w:type="spellEnd"/>
      <w:r w:rsidRPr="00F23EAE">
        <w:rPr>
          <w:rFonts w:eastAsia="MS Mincho"/>
        </w:rPr>
        <w:t xml:space="preserve"> approval to an engine system or vehicle only if it complies with:</w:t>
      </w:r>
    </w:p>
    <w:p w:rsidR="00F23EAE" w:rsidRPr="00F23EAE" w:rsidRDefault="00F23EAE" w:rsidP="00F23EAE">
      <w:pPr>
        <w:tabs>
          <w:tab w:val="left" w:pos="8505"/>
        </w:tabs>
        <w:spacing w:after="120"/>
        <w:ind w:left="2835" w:right="1134" w:hanging="567"/>
        <w:jc w:val="both"/>
      </w:pPr>
      <w:r w:rsidRPr="00F23EAE">
        <w:t>(a)</w:t>
      </w:r>
      <w:r w:rsidRPr="00F23EAE">
        <w:tab/>
        <w:t xml:space="preserve">The requirements of paragraph 4.1. </w:t>
      </w:r>
      <w:proofErr w:type="gramStart"/>
      <w:r w:rsidRPr="00F23EAE">
        <w:t>of</w:t>
      </w:r>
      <w:proofErr w:type="gramEnd"/>
      <w:r w:rsidRPr="00F23EAE">
        <w:t xml:space="preserve"> this Regulation;</w:t>
      </w:r>
    </w:p>
    <w:p w:rsidR="00F23EAE" w:rsidRPr="00F23EAE" w:rsidRDefault="00F23EAE" w:rsidP="00F23EAE">
      <w:pPr>
        <w:tabs>
          <w:tab w:val="left" w:pos="8505"/>
        </w:tabs>
        <w:spacing w:after="120"/>
        <w:ind w:left="2835" w:right="1134" w:hanging="567"/>
        <w:jc w:val="both"/>
        <w:rPr>
          <w:lang w:val="en-US"/>
        </w:rPr>
      </w:pPr>
      <w:r w:rsidRPr="00F23EAE">
        <w:t>(b)</w:t>
      </w:r>
      <w:r w:rsidRPr="00F23EAE">
        <w:tab/>
        <w:t xml:space="preserve">The performance monitoring requirements of paragraph 2.3.2.2. </w:t>
      </w:r>
      <w:proofErr w:type="gramStart"/>
      <w:r w:rsidRPr="00F23EAE">
        <w:t>of</w:t>
      </w:r>
      <w:proofErr w:type="gramEnd"/>
      <w:r w:rsidRPr="00F23EAE">
        <w:t xml:space="preserve"> Annex 9A in the case of compression ignition and dual-fuel engines and vehicles;</w:t>
      </w:r>
    </w:p>
    <w:p w:rsidR="00F23EAE" w:rsidRPr="00F23EAE" w:rsidRDefault="00F23EAE" w:rsidP="00F23EAE">
      <w:pPr>
        <w:tabs>
          <w:tab w:val="left" w:pos="8505"/>
        </w:tabs>
        <w:spacing w:after="120"/>
        <w:ind w:left="2835" w:right="1134" w:hanging="567"/>
        <w:jc w:val="both"/>
      </w:pPr>
      <w:r w:rsidRPr="00F23EAE">
        <w:t>(c)</w:t>
      </w:r>
      <w:r w:rsidRPr="00F23EAE">
        <w:tab/>
        <w:t xml:space="preserve">The </w:t>
      </w:r>
      <w:proofErr w:type="spellStart"/>
      <w:r w:rsidRPr="00F23EAE">
        <w:t>NO</w:t>
      </w:r>
      <w:r w:rsidRPr="00F23EAE">
        <w:rPr>
          <w:vertAlign w:val="subscript"/>
        </w:rPr>
        <w:t>x</w:t>
      </w:r>
      <w:proofErr w:type="spellEnd"/>
      <w:r w:rsidRPr="00F23EAE">
        <w:t xml:space="preserve"> </w:t>
      </w:r>
      <w:proofErr w:type="spellStart"/>
      <w:r w:rsidRPr="00F23EAE">
        <w:t>OTL</w:t>
      </w:r>
      <w:proofErr w:type="spellEnd"/>
      <w:r w:rsidRPr="00F23EAE">
        <w:t xml:space="preserve"> monitoring requirements as set out in the row "phase in period" of Table 1 of Annex 9A, in the case of compression ignition and dual-fuel engines and vehicles;</w:t>
      </w:r>
    </w:p>
    <w:p w:rsidR="00F23EAE" w:rsidRPr="00F23EAE" w:rsidRDefault="00F23EAE" w:rsidP="00F23EAE">
      <w:pPr>
        <w:spacing w:after="120"/>
        <w:ind w:left="2835" w:right="1134" w:hanging="567"/>
        <w:jc w:val="both"/>
      </w:pPr>
      <w:r w:rsidRPr="00F23EAE">
        <w:t>(d)</w:t>
      </w:r>
      <w:r w:rsidRPr="00F23EAE">
        <w:tab/>
        <w:t xml:space="preserve">The </w:t>
      </w:r>
      <w:proofErr w:type="spellStart"/>
      <w:r w:rsidRPr="00F23EAE">
        <w:t>NO</w:t>
      </w:r>
      <w:r w:rsidRPr="00F23EAE">
        <w:rPr>
          <w:vertAlign w:val="subscript"/>
        </w:rPr>
        <w:t>x</w:t>
      </w:r>
      <w:proofErr w:type="spellEnd"/>
      <w:r w:rsidRPr="00F23EAE">
        <w:t xml:space="preserve"> </w:t>
      </w:r>
      <w:proofErr w:type="spellStart"/>
      <w:r w:rsidRPr="00F23EAE">
        <w:t>OTL</w:t>
      </w:r>
      <w:proofErr w:type="spellEnd"/>
      <w:r w:rsidRPr="00F23EAE">
        <w:t xml:space="preserve"> monitoring requirements as set out in the row "phase in period" of Table 2 of Annex 9A, in the case of positive ignition engines and vehicles;</w:t>
      </w:r>
    </w:p>
    <w:p w:rsidR="00F23EAE" w:rsidRPr="00F23EAE" w:rsidRDefault="00F23EAE" w:rsidP="00F23EAE">
      <w:pPr>
        <w:spacing w:after="120"/>
        <w:ind w:left="2835" w:right="1134" w:hanging="567"/>
        <w:jc w:val="both"/>
        <w:rPr>
          <w:rFonts w:eastAsia="MS Mincho"/>
        </w:rPr>
      </w:pPr>
      <w:r w:rsidRPr="00F23EAE">
        <w:rPr>
          <w:rFonts w:eastAsia="MS Mincho"/>
        </w:rPr>
        <w:t>(e)</w:t>
      </w:r>
      <w:r w:rsidRPr="00F23EAE">
        <w:rPr>
          <w:rFonts w:eastAsia="MS Mincho"/>
        </w:rPr>
        <w:tab/>
        <w:t>The Reagent quality "phase-in" requirements as set out in paragraph</w:t>
      </w:r>
      <w:r>
        <w:rPr>
          <w:rFonts w:eastAsia="MS Mincho"/>
        </w:rPr>
        <w:t> </w:t>
      </w:r>
      <w:r w:rsidRPr="00F23EAE">
        <w:rPr>
          <w:rFonts w:eastAsia="MS Mincho"/>
        </w:rPr>
        <w:t xml:space="preserve">7.1.1.1. </w:t>
      </w:r>
      <w:proofErr w:type="gramStart"/>
      <w:r w:rsidRPr="00F23EAE">
        <w:rPr>
          <w:rFonts w:eastAsia="MS Mincho"/>
        </w:rPr>
        <w:t>of</w:t>
      </w:r>
      <w:proofErr w:type="gramEnd"/>
      <w:r w:rsidRPr="00F23EAE">
        <w:rPr>
          <w:rFonts w:eastAsia="MS Mincho"/>
        </w:rPr>
        <w:t xml:space="preserve"> Annex 11.</w:t>
      </w:r>
    </w:p>
    <w:p w:rsidR="00F23EAE" w:rsidRPr="00F23EAE" w:rsidRDefault="00F23EAE" w:rsidP="00F23EAE">
      <w:pPr>
        <w:spacing w:after="120"/>
        <w:ind w:left="2259" w:right="1134" w:hanging="1125"/>
        <w:jc w:val="both"/>
      </w:pPr>
      <w:r w:rsidRPr="00F23EAE">
        <w:t>13.2.1.1.</w:t>
      </w:r>
      <w:r w:rsidRPr="00F23EAE">
        <w:tab/>
        <w:t xml:space="preserve">In accordance with the requirements of paragraph 6.4.4. </w:t>
      </w:r>
      <w:proofErr w:type="gramStart"/>
      <w:r w:rsidRPr="00F23EAE">
        <w:t>of</w:t>
      </w:r>
      <w:proofErr w:type="gramEnd"/>
      <w:r w:rsidRPr="00F23EAE">
        <w:t xml:space="preserve"> Annex 9A manufacturers are exempted from providing a statement of </w:t>
      </w:r>
      <w:proofErr w:type="spellStart"/>
      <w:r w:rsidRPr="00F23EAE">
        <w:t>OBD</w:t>
      </w:r>
      <w:proofErr w:type="spellEnd"/>
      <w:r w:rsidRPr="00F23EAE">
        <w:t xml:space="preserve"> in-use </w:t>
      </w:r>
      <w:r w:rsidR="00250AE4">
        <w:t>p</w:t>
      </w:r>
      <w:r w:rsidRPr="00F23EAE">
        <w:t>erformance compliance.</w:t>
      </w:r>
    </w:p>
    <w:p w:rsidR="00F23EAE" w:rsidRPr="00F23EAE" w:rsidRDefault="00F23EAE" w:rsidP="00F23EAE">
      <w:pPr>
        <w:spacing w:after="120"/>
        <w:ind w:left="2268" w:right="1134" w:hanging="1098"/>
        <w:jc w:val="both"/>
        <w:rPr>
          <w:rFonts w:eastAsia="MS Mincho"/>
        </w:rPr>
      </w:pPr>
      <w:r w:rsidRPr="00F23EAE">
        <w:rPr>
          <w:rFonts w:eastAsia="MS Mincho"/>
        </w:rPr>
        <w:t>13.2.2.</w:t>
      </w:r>
      <w:r w:rsidRPr="00F23EAE">
        <w:rPr>
          <w:rFonts w:eastAsia="MS Mincho"/>
        </w:rPr>
        <w:tab/>
        <w:t>In the case of positive ignition engines and vehicles, Contracting Parties applying this Regulation shall, from 1 September 2014, grant a type-approval to an engine system or vehicle only if it complies with:</w:t>
      </w:r>
    </w:p>
    <w:p w:rsidR="00F23EAE" w:rsidRPr="00F23EAE" w:rsidRDefault="00F23EAE" w:rsidP="00F23EAE">
      <w:pPr>
        <w:spacing w:after="120"/>
        <w:ind w:left="2835" w:right="1134" w:hanging="567"/>
        <w:jc w:val="both"/>
        <w:rPr>
          <w:rFonts w:eastAsia="MS Mincho"/>
        </w:rPr>
      </w:pPr>
      <w:r w:rsidRPr="00F23EAE">
        <w:rPr>
          <w:rFonts w:eastAsia="MS Mincho"/>
        </w:rPr>
        <w:t>(a)</w:t>
      </w:r>
      <w:r w:rsidRPr="00F23EAE">
        <w:rPr>
          <w:rFonts w:eastAsia="MS Mincho"/>
        </w:rPr>
        <w:tab/>
        <w:t xml:space="preserve">The requirements of paragraph 4.1. </w:t>
      </w:r>
      <w:proofErr w:type="gramStart"/>
      <w:r w:rsidRPr="00F23EAE">
        <w:rPr>
          <w:rFonts w:eastAsia="MS Mincho"/>
        </w:rPr>
        <w:t>of</w:t>
      </w:r>
      <w:proofErr w:type="gramEnd"/>
      <w:r w:rsidRPr="00F23EAE">
        <w:rPr>
          <w:rFonts w:eastAsia="MS Mincho"/>
        </w:rPr>
        <w:t xml:space="preserve"> this Regulation;</w:t>
      </w:r>
    </w:p>
    <w:p w:rsidR="00F23EAE" w:rsidRPr="00F23EAE" w:rsidRDefault="00F23EAE" w:rsidP="00F23EAE">
      <w:pPr>
        <w:spacing w:after="120"/>
        <w:ind w:left="2835" w:right="1134" w:hanging="567"/>
        <w:jc w:val="both"/>
        <w:rPr>
          <w:rFonts w:eastAsia="MS Mincho"/>
        </w:rPr>
      </w:pPr>
      <w:r w:rsidRPr="00F23EAE">
        <w:rPr>
          <w:rFonts w:eastAsia="MS Mincho"/>
        </w:rPr>
        <w:t>(b)</w:t>
      </w:r>
      <w:r w:rsidRPr="00F23EAE">
        <w:rPr>
          <w:rFonts w:eastAsia="MS Mincho"/>
        </w:rPr>
        <w:tab/>
      </w:r>
      <w:r w:rsidRPr="00F23EAE">
        <w:rPr>
          <w:rFonts w:eastAsia="MS Mincho"/>
          <w:b/>
        </w:rPr>
        <w:tab/>
      </w:r>
      <w:r w:rsidRPr="00F23EAE">
        <w:rPr>
          <w:rFonts w:eastAsia="MS Mincho"/>
        </w:rPr>
        <w:t xml:space="preserve">The </w:t>
      </w:r>
      <w:proofErr w:type="spellStart"/>
      <w:r w:rsidRPr="00F23EAE">
        <w:rPr>
          <w:rFonts w:eastAsia="MS Mincho"/>
        </w:rPr>
        <w:t>NO</w:t>
      </w:r>
      <w:r w:rsidRPr="00F23EAE">
        <w:rPr>
          <w:rFonts w:eastAsia="MS Mincho"/>
          <w:vertAlign w:val="subscript"/>
        </w:rPr>
        <w:t>x</w:t>
      </w:r>
      <w:proofErr w:type="spellEnd"/>
      <w:r w:rsidRPr="00F23EAE">
        <w:rPr>
          <w:rFonts w:eastAsia="MS Mincho"/>
        </w:rPr>
        <w:t xml:space="preserve"> </w:t>
      </w:r>
      <w:proofErr w:type="spellStart"/>
      <w:r w:rsidRPr="00F23EAE">
        <w:rPr>
          <w:rFonts w:eastAsia="MS Mincho"/>
        </w:rPr>
        <w:t>OTL</w:t>
      </w:r>
      <w:proofErr w:type="spellEnd"/>
      <w:r w:rsidRPr="00F23EAE">
        <w:rPr>
          <w:rFonts w:eastAsia="MS Mincho"/>
        </w:rPr>
        <w:t xml:space="preserve"> monitoring requirements as set out in the row "phase-in period" of Table 2 of Annex 9A;</w:t>
      </w:r>
    </w:p>
    <w:p w:rsidR="00F23EAE" w:rsidRPr="00F23EAE" w:rsidRDefault="00F23EAE" w:rsidP="00F23EAE">
      <w:pPr>
        <w:spacing w:after="120"/>
        <w:ind w:left="2835" w:right="1134" w:hanging="567"/>
        <w:jc w:val="both"/>
        <w:rPr>
          <w:rFonts w:eastAsia="MS Mincho"/>
        </w:rPr>
      </w:pPr>
      <w:r w:rsidRPr="00F23EAE">
        <w:rPr>
          <w:rFonts w:eastAsia="MS Mincho"/>
        </w:rPr>
        <w:t>(c)</w:t>
      </w:r>
      <w:r w:rsidRPr="00F23EAE">
        <w:rPr>
          <w:rFonts w:eastAsia="MS Mincho"/>
        </w:rPr>
        <w:tab/>
        <w:t xml:space="preserve">The CO </w:t>
      </w:r>
      <w:proofErr w:type="spellStart"/>
      <w:r w:rsidRPr="00F23EAE">
        <w:rPr>
          <w:rFonts w:eastAsia="MS Mincho"/>
        </w:rPr>
        <w:t>OTL</w:t>
      </w:r>
      <w:proofErr w:type="spellEnd"/>
      <w:r w:rsidRPr="00F23EAE">
        <w:rPr>
          <w:rFonts w:eastAsia="MS Mincho"/>
        </w:rPr>
        <w:t xml:space="preserve"> monitoring requirements as set out in the row "phase-in period" of Table 2 of Annex 9A;</w:t>
      </w:r>
    </w:p>
    <w:p w:rsidR="00F23EAE" w:rsidRPr="00F23EAE" w:rsidRDefault="00F23EAE" w:rsidP="00F23EAE">
      <w:pPr>
        <w:spacing w:after="120"/>
        <w:ind w:left="2835" w:right="1134" w:hanging="567"/>
        <w:jc w:val="both"/>
        <w:rPr>
          <w:rFonts w:eastAsia="MS Mincho"/>
        </w:rPr>
      </w:pPr>
      <w:r w:rsidRPr="00F23EAE">
        <w:rPr>
          <w:rFonts w:eastAsia="MS Mincho"/>
        </w:rPr>
        <w:t>(d)</w:t>
      </w:r>
      <w:r w:rsidRPr="00F23EAE">
        <w:rPr>
          <w:rFonts w:eastAsia="MS Mincho"/>
        </w:rPr>
        <w:tab/>
        <w:t>The Reagent quality "phase-in" requirements as set out in paragraph</w:t>
      </w:r>
      <w:r>
        <w:rPr>
          <w:rFonts w:eastAsia="MS Mincho"/>
        </w:rPr>
        <w:t> </w:t>
      </w:r>
      <w:r w:rsidRPr="00F23EAE">
        <w:rPr>
          <w:rFonts w:eastAsia="MS Mincho"/>
        </w:rPr>
        <w:t xml:space="preserve">7.1.1.1. </w:t>
      </w:r>
      <w:proofErr w:type="gramStart"/>
      <w:r w:rsidRPr="00F23EAE">
        <w:rPr>
          <w:rFonts w:eastAsia="MS Mincho"/>
        </w:rPr>
        <w:t>of</w:t>
      </w:r>
      <w:proofErr w:type="gramEnd"/>
      <w:r w:rsidRPr="00F23EAE">
        <w:rPr>
          <w:rFonts w:eastAsia="MS Mincho"/>
        </w:rPr>
        <w:t xml:space="preserve"> Annex 11.</w:t>
      </w:r>
    </w:p>
    <w:p w:rsidR="00F23EAE" w:rsidRPr="00F23EAE" w:rsidRDefault="00F23EAE" w:rsidP="00F23EAE">
      <w:pPr>
        <w:spacing w:after="120"/>
        <w:ind w:left="2268" w:right="1134" w:hanging="1098"/>
        <w:jc w:val="both"/>
        <w:rPr>
          <w:rFonts w:eastAsia="MS Mincho"/>
        </w:rPr>
      </w:pPr>
      <w:r w:rsidRPr="00F23EAE">
        <w:rPr>
          <w:rFonts w:eastAsia="MS Mincho"/>
        </w:rPr>
        <w:t>13.2.2.1.</w:t>
      </w:r>
      <w:r w:rsidRPr="00F23EAE">
        <w:rPr>
          <w:rFonts w:eastAsia="MS Mincho"/>
        </w:rPr>
        <w:tab/>
        <w:t xml:space="preserve">In accordance with the requirements of paragraph 6.4.4. </w:t>
      </w:r>
      <w:proofErr w:type="gramStart"/>
      <w:r w:rsidRPr="00F23EAE">
        <w:rPr>
          <w:rFonts w:eastAsia="MS Mincho"/>
        </w:rPr>
        <w:t>of</w:t>
      </w:r>
      <w:proofErr w:type="gramEnd"/>
      <w:r w:rsidRPr="00F23EAE">
        <w:rPr>
          <w:rFonts w:eastAsia="MS Mincho"/>
        </w:rPr>
        <w:t xml:space="preserve"> Annex 9A manufacturers are exempted from providing a statement of </w:t>
      </w:r>
      <w:proofErr w:type="spellStart"/>
      <w:r w:rsidRPr="00F23EAE">
        <w:rPr>
          <w:rFonts w:eastAsia="MS Mincho"/>
        </w:rPr>
        <w:t>OBD</w:t>
      </w:r>
      <w:proofErr w:type="spellEnd"/>
      <w:r w:rsidRPr="00F23EAE">
        <w:rPr>
          <w:rFonts w:eastAsia="MS Mincho"/>
        </w:rPr>
        <w:t xml:space="preserve"> in-use </w:t>
      </w:r>
      <w:r w:rsidR="00250AE4">
        <w:rPr>
          <w:rFonts w:eastAsia="MS Mincho"/>
        </w:rPr>
        <w:t>p</w:t>
      </w:r>
      <w:r w:rsidRPr="00F23EAE">
        <w:rPr>
          <w:rFonts w:eastAsia="MS Mincho"/>
        </w:rPr>
        <w:t>erformance compliance.</w:t>
      </w:r>
    </w:p>
    <w:p w:rsidR="00F23EAE" w:rsidRPr="00F23EAE" w:rsidRDefault="00F23EAE" w:rsidP="00F23EAE">
      <w:pPr>
        <w:spacing w:after="120"/>
        <w:ind w:left="2268" w:right="1134" w:hanging="1098"/>
        <w:jc w:val="both"/>
        <w:rPr>
          <w:rFonts w:eastAsia="MS Mincho"/>
        </w:rPr>
      </w:pPr>
      <w:r w:rsidRPr="00F23EAE">
        <w:rPr>
          <w:rFonts w:eastAsia="MS Mincho"/>
        </w:rPr>
        <w:t>13.2.3.</w:t>
      </w:r>
      <w:r w:rsidRPr="00F23EAE">
        <w:rPr>
          <w:rFonts w:eastAsia="MS Mincho"/>
        </w:rPr>
        <w:tab/>
        <w:t>Contracting Parties applying this Regulation shall, from 31 December 2015, grant a type-approval to an engine system or vehicle only if it complies with:</w:t>
      </w:r>
    </w:p>
    <w:p w:rsidR="00F23EAE" w:rsidRPr="00F23EAE" w:rsidRDefault="00F23EAE" w:rsidP="00F23EAE">
      <w:pPr>
        <w:spacing w:after="120"/>
        <w:ind w:left="2835" w:right="1134" w:hanging="567"/>
        <w:jc w:val="both"/>
        <w:rPr>
          <w:rFonts w:eastAsia="MS Mincho"/>
        </w:rPr>
      </w:pPr>
      <w:r w:rsidRPr="00F23EAE">
        <w:rPr>
          <w:rFonts w:eastAsia="MS Mincho"/>
        </w:rPr>
        <w:t>(a)</w:t>
      </w:r>
      <w:r w:rsidRPr="00F23EAE">
        <w:rPr>
          <w:rFonts w:eastAsia="MS Mincho"/>
        </w:rPr>
        <w:tab/>
        <w:t xml:space="preserve">The requirements of paragraph 4.1. </w:t>
      </w:r>
      <w:proofErr w:type="gramStart"/>
      <w:r w:rsidRPr="00F23EAE">
        <w:rPr>
          <w:rFonts w:eastAsia="MS Mincho"/>
        </w:rPr>
        <w:t>of</w:t>
      </w:r>
      <w:proofErr w:type="gramEnd"/>
      <w:r w:rsidRPr="00F23EAE">
        <w:rPr>
          <w:rFonts w:eastAsia="MS Mincho"/>
        </w:rPr>
        <w:t xml:space="preserve"> this Regulation;</w:t>
      </w:r>
    </w:p>
    <w:p w:rsidR="00F23EAE" w:rsidRPr="00F23EAE" w:rsidRDefault="00F23EAE" w:rsidP="00F23EAE">
      <w:pPr>
        <w:tabs>
          <w:tab w:val="left" w:pos="2790"/>
        </w:tabs>
        <w:spacing w:after="120"/>
        <w:ind w:left="2835" w:right="1134" w:hanging="567"/>
        <w:jc w:val="both"/>
        <w:rPr>
          <w:rFonts w:eastAsia="MS Mincho"/>
        </w:rPr>
      </w:pPr>
      <w:r w:rsidRPr="00F23EAE">
        <w:rPr>
          <w:rFonts w:eastAsia="MS Mincho"/>
        </w:rPr>
        <w:t>(b)</w:t>
      </w:r>
      <w:r w:rsidRPr="00F23EAE">
        <w:rPr>
          <w:rFonts w:eastAsia="MS Mincho"/>
        </w:rPr>
        <w:tab/>
        <w:t xml:space="preserve">The PM Mass </w:t>
      </w:r>
      <w:proofErr w:type="spellStart"/>
      <w:r w:rsidRPr="00F23EAE">
        <w:rPr>
          <w:rFonts w:eastAsia="MS Mincho"/>
        </w:rPr>
        <w:t>OTL</w:t>
      </w:r>
      <w:proofErr w:type="spellEnd"/>
      <w:r w:rsidRPr="00F23EAE">
        <w:rPr>
          <w:rFonts w:eastAsia="MS Mincho"/>
        </w:rPr>
        <w:t xml:space="preserve"> monitoring requirements as set out in the row "general requirements" of Table 1 of Annex 9A in the case of compression ignition and dual-fuel engines and vehicles;</w:t>
      </w:r>
    </w:p>
    <w:p w:rsidR="00F23EAE" w:rsidRPr="00F23EAE" w:rsidRDefault="00F23EAE" w:rsidP="00F23EAE">
      <w:pPr>
        <w:tabs>
          <w:tab w:val="left" w:pos="2790"/>
        </w:tabs>
        <w:spacing w:after="120"/>
        <w:ind w:left="2835" w:right="1134" w:hanging="567"/>
        <w:jc w:val="both"/>
        <w:rPr>
          <w:rFonts w:eastAsia="MS Mincho"/>
        </w:rPr>
      </w:pPr>
      <w:r w:rsidRPr="00F23EAE">
        <w:rPr>
          <w:rFonts w:eastAsia="MS Mincho"/>
        </w:rPr>
        <w:lastRenderedPageBreak/>
        <w:t>(c)</w:t>
      </w:r>
      <w:r w:rsidRPr="00F23EAE">
        <w:rPr>
          <w:rFonts w:eastAsia="MS Mincho"/>
          <w:b/>
        </w:rPr>
        <w:tab/>
      </w:r>
      <w:r w:rsidRPr="00F23EAE">
        <w:rPr>
          <w:rFonts w:eastAsia="MS Mincho"/>
        </w:rPr>
        <w:t xml:space="preserve">The </w:t>
      </w:r>
      <w:proofErr w:type="spellStart"/>
      <w:r w:rsidRPr="00F23EAE">
        <w:rPr>
          <w:rFonts w:eastAsia="MS Mincho"/>
        </w:rPr>
        <w:t>NO</w:t>
      </w:r>
      <w:r w:rsidRPr="00F23EAE">
        <w:rPr>
          <w:rFonts w:eastAsia="MS Mincho"/>
          <w:vertAlign w:val="subscript"/>
        </w:rPr>
        <w:t>x</w:t>
      </w:r>
      <w:proofErr w:type="spellEnd"/>
      <w:r w:rsidRPr="00F23EAE">
        <w:rPr>
          <w:rFonts w:eastAsia="MS Mincho"/>
        </w:rPr>
        <w:t xml:space="preserve"> </w:t>
      </w:r>
      <w:proofErr w:type="spellStart"/>
      <w:r w:rsidRPr="00F23EAE">
        <w:rPr>
          <w:rFonts w:eastAsia="MS Mincho"/>
        </w:rPr>
        <w:t>OTL</w:t>
      </w:r>
      <w:proofErr w:type="spellEnd"/>
      <w:r w:rsidRPr="00F23EAE">
        <w:rPr>
          <w:rFonts w:eastAsia="MS Mincho"/>
        </w:rPr>
        <w:t xml:space="preserve"> monitoring requirements as set out in the row "general requirements" of Table 2 of Annex 9A in the case of compression ignition and dual-fuel engines and vehicles;</w:t>
      </w:r>
    </w:p>
    <w:p w:rsidR="00F23EAE" w:rsidRPr="00F23EAE" w:rsidRDefault="00F23EAE" w:rsidP="00F23EAE">
      <w:pPr>
        <w:tabs>
          <w:tab w:val="left" w:pos="2790"/>
        </w:tabs>
        <w:spacing w:after="120"/>
        <w:ind w:left="2835" w:right="1134" w:hanging="567"/>
        <w:jc w:val="both"/>
        <w:rPr>
          <w:rFonts w:eastAsia="MS Mincho"/>
        </w:rPr>
      </w:pPr>
      <w:r w:rsidRPr="00F23EAE">
        <w:rPr>
          <w:rFonts w:eastAsia="MS Mincho"/>
        </w:rPr>
        <w:t>(d)</w:t>
      </w:r>
      <w:r w:rsidRPr="00F23EAE">
        <w:rPr>
          <w:rFonts w:eastAsia="MS Mincho"/>
        </w:rPr>
        <w:tab/>
        <w:t xml:space="preserve">The </w:t>
      </w:r>
      <w:proofErr w:type="spellStart"/>
      <w:r w:rsidRPr="00F23EAE">
        <w:rPr>
          <w:rFonts w:eastAsia="MS Mincho"/>
        </w:rPr>
        <w:t>NO</w:t>
      </w:r>
      <w:r w:rsidRPr="00F23EAE">
        <w:rPr>
          <w:rFonts w:eastAsia="MS Mincho"/>
          <w:vertAlign w:val="subscript"/>
        </w:rPr>
        <w:t>x</w:t>
      </w:r>
      <w:proofErr w:type="spellEnd"/>
      <w:r w:rsidRPr="00F23EAE">
        <w:rPr>
          <w:rFonts w:eastAsia="MS Mincho"/>
        </w:rPr>
        <w:t xml:space="preserve"> and CO </w:t>
      </w:r>
      <w:proofErr w:type="spellStart"/>
      <w:r w:rsidRPr="00F23EAE">
        <w:rPr>
          <w:rFonts w:eastAsia="MS Mincho"/>
        </w:rPr>
        <w:t>OTL</w:t>
      </w:r>
      <w:proofErr w:type="spellEnd"/>
      <w:r w:rsidRPr="00F23EAE">
        <w:rPr>
          <w:rFonts w:eastAsia="MS Mincho"/>
        </w:rPr>
        <w:t xml:space="preserve"> monitoring requirements as set out in the row "general requirements" of Table 2 of Annex 9A in the case of positive ignition engines and vehicles;</w:t>
      </w:r>
    </w:p>
    <w:p w:rsidR="00F23EAE" w:rsidRPr="00F23EAE" w:rsidRDefault="00F23EAE" w:rsidP="00F23EAE">
      <w:pPr>
        <w:tabs>
          <w:tab w:val="left" w:pos="2790"/>
        </w:tabs>
        <w:spacing w:after="120"/>
        <w:ind w:left="2835" w:right="1134" w:hanging="567"/>
        <w:jc w:val="both"/>
        <w:rPr>
          <w:rFonts w:eastAsia="MS Mincho"/>
        </w:rPr>
      </w:pPr>
      <w:r w:rsidRPr="00F23EAE">
        <w:rPr>
          <w:rFonts w:eastAsia="MS Mincho"/>
        </w:rPr>
        <w:t>(e)</w:t>
      </w:r>
      <w:r w:rsidRPr="00F23EAE">
        <w:rPr>
          <w:rFonts w:eastAsia="MS Mincho"/>
        </w:rPr>
        <w:tab/>
        <w:t>The Reagent quality "general requirements</w:t>
      </w:r>
      <w:r w:rsidR="00250AE4" w:rsidRPr="00F23EAE">
        <w:rPr>
          <w:rFonts w:eastAsia="MS Mincho"/>
        </w:rPr>
        <w:t>"</w:t>
      </w:r>
      <w:r w:rsidRPr="00F23EAE">
        <w:rPr>
          <w:rFonts w:eastAsia="MS Mincho"/>
        </w:rPr>
        <w:t xml:space="preserve"> as set out in paragraph 7.1.1.1. </w:t>
      </w:r>
      <w:proofErr w:type="gramStart"/>
      <w:r w:rsidRPr="00F23EAE">
        <w:rPr>
          <w:rFonts w:eastAsia="MS Mincho"/>
        </w:rPr>
        <w:t>of</w:t>
      </w:r>
      <w:proofErr w:type="gramEnd"/>
      <w:r w:rsidRPr="00F23EAE">
        <w:rPr>
          <w:rFonts w:eastAsia="MS Mincho"/>
        </w:rPr>
        <w:t xml:space="preserve"> Annex 11.</w:t>
      </w:r>
    </w:p>
    <w:p w:rsidR="00F23EAE" w:rsidRPr="00F23EAE" w:rsidRDefault="00F23EAE" w:rsidP="00F23EAE">
      <w:pPr>
        <w:tabs>
          <w:tab w:val="left" w:pos="2790"/>
        </w:tabs>
        <w:spacing w:after="120"/>
        <w:ind w:left="2835" w:right="1134" w:hanging="567"/>
        <w:jc w:val="both"/>
        <w:rPr>
          <w:rFonts w:eastAsia="MS Mincho"/>
        </w:rPr>
      </w:pPr>
      <w:r w:rsidRPr="00F23EAE">
        <w:rPr>
          <w:rFonts w:eastAsia="MS Mincho"/>
        </w:rPr>
        <w:t>(f)</w:t>
      </w:r>
      <w:r w:rsidRPr="00F23EAE">
        <w:rPr>
          <w:rFonts w:eastAsia="MS Mincho"/>
        </w:rPr>
        <w:tab/>
        <w:t xml:space="preserve">The requirements regarding the plan and implementation of the monitoring techniques according to paragraphs 2.3.1.2. </w:t>
      </w:r>
      <w:proofErr w:type="gramStart"/>
      <w:r w:rsidRPr="00F23EAE">
        <w:rPr>
          <w:rFonts w:eastAsia="MS Mincho"/>
        </w:rPr>
        <w:t>and</w:t>
      </w:r>
      <w:proofErr w:type="gramEnd"/>
      <w:r w:rsidRPr="00F23EAE">
        <w:rPr>
          <w:rFonts w:eastAsia="MS Mincho"/>
        </w:rPr>
        <w:t xml:space="preserve"> 2.3.1.2.1. </w:t>
      </w:r>
      <w:proofErr w:type="gramStart"/>
      <w:r w:rsidRPr="00F23EAE">
        <w:rPr>
          <w:rFonts w:eastAsia="MS Mincho"/>
        </w:rPr>
        <w:t>of</w:t>
      </w:r>
      <w:proofErr w:type="gramEnd"/>
      <w:r w:rsidRPr="00F23EAE">
        <w:rPr>
          <w:rFonts w:eastAsia="MS Mincho"/>
        </w:rPr>
        <w:t xml:space="preserve"> Annex 9A;</w:t>
      </w:r>
    </w:p>
    <w:p w:rsidR="00F23EAE" w:rsidRPr="00F23EAE" w:rsidRDefault="00F23EAE" w:rsidP="00F23EAE">
      <w:pPr>
        <w:tabs>
          <w:tab w:val="left" w:pos="2790"/>
        </w:tabs>
        <w:spacing w:after="120"/>
        <w:ind w:left="2835" w:right="1134" w:hanging="567"/>
        <w:jc w:val="both"/>
        <w:rPr>
          <w:rFonts w:eastAsia="MS Mincho"/>
        </w:rPr>
      </w:pPr>
      <w:r w:rsidRPr="00F23EAE">
        <w:rPr>
          <w:rFonts w:eastAsia="MS Mincho"/>
        </w:rPr>
        <w:t>(g)</w:t>
      </w:r>
      <w:r w:rsidRPr="00F23EAE">
        <w:rPr>
          <w:rFonts w:eastAsia="MS Mincho"/>
        </w:rPr>
        <w:tab/>
        <w:t xml:space="preserve">The requirements of paragraph 6.4.1. </w:t>
      </w:r>
      <w:proofErr w:type="gramStart"/>
      <w:r w:rsidRPr="00F23EAE">
        <w:rPr>
          <w:rFonts w:eastAsia="MS Mincho"/>
        </w:rPr>
        <w:t>of</w:t>
      </w:r>
      <w:proofErr w:type="gramEnd"/>
      <w:r w:rsidRPr="00F23EAE">
        <w:rPr>
          <w:rFonts w:eastAsia="MS Mincho"/>
        </w:rPr>
        <w:t xml:space="preserve"> Annex 9A for providing a statement of </w:t>
      </w:r>
      <w:proofErr w:type="spellStart"/>
      <w:r w:rsidRPr="00F23EAE">
        <w:rPr>
          <w:rFonts w:eastAsia="MS Mincho"/>
        </w:rPr>
        <w:t>OBD</w:t>
      </w:r>
      <w:proofErr w:type="spellEnd"/>
      <w:r w:rsidRPr="00F23EAE">
        <w:rPr>
          <w:rFonts w:eastAsia="MS Mincho"/>
        </w:rPr>
        <w:t xml:space="preserve"> in-use </w:t>
      </w:r>
      <w:r w:rsidR="00250AE4">
        <w:rPr>
          <w:rFonts w:eastAsia="MS Mincho"/>
        </w:rPr>
        <w:t>p</w:t>
      </w:r>
      <w:r w:rsidRPr="00F23EAE">
        <w:rPr>
          <w:rFonts w:eastAsia="MS Mincho"/>
        </w:rPr>
        <w:t>erformance compliance.</w:t>
      </w:r>
    </w:p>
    <w:p w:rsidR="00F23EAE" w:rsidRPr="00F23EAE" w:rsidRDefault="00F23EAE" w:rsidP="00F23EAE">
      <w:pPr>
        <w:spacing w:after="120"/>
        <w:ind w:left="2268" w:right="1134" w:hanging="1134"/>
        <w:jc w:val="both"/>
        <w:rPr>
          <w:rFonts w:eastAsia="MS Mincho"/>
        </w:rPr>
      </w:pPr>
      <w:r w:rsidRPr="00F23EAE">
        <w:rPr>
          <w:rFonts w:eastAsia="MS Mincho"/>
        </w:rPr>
        <w:t>13.3.</w:t>
      </w:r>
      <w:r w:rsidRPr="00F23EAE">
        <w:rPr>
          <w:rFonts w:eastAsia="MS Mincho"/>
        </w:rPr>
        <w:tab/>
        <w:t>Acceptance of already issued type approvals</w:t>
      </w:r>
    </w:p>
    <w:p w:rsidR="00F23EAE" w:rsidRPr="00F23EAE" w:rsidRDefault="00F23EAE" w:rsidP="00F23EAE">
      <w:pPr>
        <w:spacing w:after="120"/>
        <w:ind w:left="2268" w:right="1134" w:hanging="1134"/>
        <w:jc w:val="both"/>
        <w:rPr>
          <w:rFonts w:eastAsia="MS Mincho"/>
        </w:rPr>
      </w:pPr>
      <w:r w:rsidRPr="00F23EAE">
        <w:rPr>
          <w:rFonts w:eastAsia="MS Mincho"/>
        </w:rPr>
        <w:t>13.3.1.</w:t>
      </w:r>
      <w:r w:rsidRPr="00F23EAE">
        <w:rPr>
          <w:rFonts w:eastAsia="MS Mincho"/>
        </w:rPr>
        <w:tab/>
        <w:t xml:space="preserve">As from 31 December 2013, Contracting Parties may refuse type approvals granted to this Regulation which do not comply with the requirements mentioned in paragraph 13.2.1. </w:t>
      </w:r>
      <w:proofErr w:type="gramStart"/>
      <w:r w:rsidRPr="00F23EAE">
        <w:rPr>
          <w:rFonts w:eastAsia="MS Mincho"/>
        </w:rPr>
        <w:t>above</w:t>
      </w:r>
      <w:proofErr w:type="gramEnd"/>
      <w:r w:rsidRPr="00F23EAE">
        <w:rPr>
          <w:rFonts w:eastAsia="MS Mincho"/>
        </w:rPr>
        <w:t>.</w:t>
      </w:r>
    </w:p>
    <w:p w:rsidR="00F23EAE" w:rsidRPr="00F23EAE" w:rsidRDefault="00F23EAE" w:rsidP="00F23EAE">
      <w:pPr>
        <w:spacing w:after="120"/>
        <w:ind w:left="2268" w:right="1134" w:hanging="1134"/>
        <w:jc w:val="both"/>
        <w:rPr>
          <w:rFonts w:eastAsia="MS Mincho"/>
        </w:rPr>
      </w:pPr>
      <w:r w:rsidRPr="00F23EAE">
        <w:rPr>
          <w:rFonts w:eastAsia="MS Mincho"/>
        </w:rPr>
        <w:t>13.3.2.</w:t>
      </w:r>
      <w:r w:rsidRPr="00F23EAE">
        <w:rPr>
          <w:rFonts w:eastAsia="MS Mincho"/>
        </w:rPr>
        <w:tab/>
        <w:t xml:space="preserve">As from 1 September 2015, Contracting Parties may refuse type approvals of positive ignition engines and vehicles granted to this Regulation, which do not comply with the requirements mentioned in paragraph 13.2.2. </w:t>
      </w:r>
      <w:proofErr w:type="gramStart"/>
      <w:r w:rsidRPr="00F23EAE">
        <w:rPr>
          <w:rFonts w:eastAsia="MS Mincho"/>
        </w:rPr>
        <w:t>above</w:t>
      </w:r>
      <w:proofErr w:type="gramEnd"/>
      <w:r w:rsidRPr="00F23EAE">
        <w:rPr>
          <w:rFonts w:eastAsia="MS Mincho"/>
        </w:rPr>
        <w:t>.</w:t>
      </w:r>
    </w:p>
    <w:p w:rsidR="00F23EAE" w:rsidRPr="00F23EAE" w:rsidRDefault="00F23EAE" w:rsidP="00F23EAE">
      <w:pPr>
        <w:spacing w:after="120"/>
        <w:ind w:left="2268" w:right="1134" w:hanging="1134"/>
        <w:jc w:val="both"/>
        <w:rPr>
          <w:rFonts w:eastAsia="MS Mincho"/>
        </w:rPr>
      </w:pPr>
      <w:r w:rsidRPr="00F23EAE">
        <w:rPr>
          <w:rFonts w:eastAsia="MS Mincho"/>
        </w:rPr>
        <w:t>13.3.3.</w:t>
      </w:r>
      <w:r w:rsidRPr="00F23EAE">
        <w:rPr>
          <w:rFonts w:eastAsia="MS Mincho"/>
        </w:rPr>
        <w:tab/>
        <w:t xml:space="preserve">As from 31 December 2016, Contracting Parties may refuse type approvals granted to this Regulation, which do not comply with the requirements mentioned in paragraph 13.2.3. </w:t>
      </w:r>
      <w:proofErr w:type="gramStart"/>
      <w:r w:rsidRPr="00F23EAE">
        <w:rPr>
          <w:rFonts w:eastAsia="MS Mincho"/>
        </w:rPr>
        <w:t>above</w:t>
      </w:r>
      <w:proofErr w:type="gramEnd"/>
      <w:r w:rsidRPr="00F23EAE">
        <w:rPr>
          <w:rFonts w:eastAsia="MS Mincho"/>
        </w:rPr>
        <w:t>."</w:t>
      </w:r>
    </w:p>
    <w:p w:rsidR="00A12308" w:rsidRDefault="00F23EAE" w:rsidP="00F23EAE">
      <w:pPr>
        <w:spacing w:after="120"/>
        <w:ind w:left="2268" w:right="1134" w:hanging="1134"/>
        <w:jc w:val="both"/>
        <w:rPr>
          <w:rFonts w:eastAsia="MS Mincho"/>
          <w:i/>
        </w:rPr>
      </w:pPr>
      <w:r w:rsidRPr="00F23EAE">
        <w:rPr>
          <w:rFonts w:eastAsia="MS Mincho"/>
          <w:i/>
        </w:rPr>
        <w:t xml:space="preserve">Annex 1, Part 1, </w:t>
      </w:r>
    </w:p>
    <w:p w:rsidR="00F23EAE" w:rsidRPr="00F23EAE" w:rsidRDefault="00A12308" w:rsidP="00F23EAE">
      <w:pPr>
        <w:spacing w:after="120"/>
        <w:ind w:left="2268" w:right="1134" w:hanging="1134"/>
        <w:jc w:val="both"/>
        <w:rPr>
          <w:rFonts w:eastAsia="MS Mincho"/>
        </w:rPr>
      </w:pPr>
      <w:r>
        <w:rPr>
          <w:rFonts w:eastAsia="MS Mincho"/>
          <w:i/>
        </w:rPr>
        <w:t>I</w:t>
      </w:r>
      <w:r w:rsidR="00F23EAE" w:rsidRPr="00F23EAE">
        <w:rPr>
          <w:rFonts w:eastAsia="MS Mincho"/>
          <w:i/>
        </w:rPr>
        <w:t>n the table,</w:t>
      </w:r>
      <w:r w:rsidR="00F23EAE" w:rsidRPr="00F23EAE">
        <w:rPr>
          <w:rFonts w:eastAsia="MS Mincho"/>
        </w:rPr>
        <w:t xml:space="preserve"> delete paragraph 3.2.12.2.8.6.</w:t>
      </w:r>
    </w:p>
    <w:p w:rsidR="00F23EAE" w:rsidRPr="00F23EAE" w:rsidRDefault="00F23EAE" w:rsidP="00F23EAE">
      <w:pPr>
        <w:spacing w:after="120"/>
        <w:ind w:left="2268" w:right="1134" w:hanging="1134"/>
        <w:jc w:val="both"/>
        <w:rPr>
          <w:rFonts w:eastAsia="MS Mincho"/>
        </w:rPr>
        <w:sectPr w:rsidR="00F23EAE" w:rsidRPr="00F23EAE" w:rsidSect="00F23EA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docGrid w:linePitch="272"/>
        </w:sectPr>
      </w:pPr>
    </w:p>
    <w:p w:rsidR="00F23EAE" w:rsidRPr="00F23EAE" w:rsidRDefault="00F23EAE" w:rsidP="00F23EAE">
      <w:pPr>
        <w:spacing w:after="120"/>
        <w:ind w:left="2268" w:right="1138" w:hanging="1134"/>
        <w:jc w:val="both"/>
        <w:rPr>
          <w:noProof/>
        </w:rPr>
      </w:pPr>
    </w:p>
    <w:p w:rsidR="00A12308" w:rsidRDefault="00F23EAE" w:rsidP="00A12308">
      <w:pPr>
        <w:spacing w:after="120"/>
        <w:rPr>
          <w:i/>
        </w:rPr>
      </w:pPr>
      <w:r w:rsidRPr="00F23EAE">
        <w:rPr>
          <w:i/>
        </w:rPr>
        <w:t xml:space="preserve">Annex 3, </w:t>
      </w:r>
    </w:p>
    <w:p w:rsidR="00F23EAE" w:rsidRPr="00F23EAE" w:rsidRDefault="00F23EAE" w:rsidP="00A12308">
      <w:pPr>
        <w:spacing w:after="120"/>
      </w:pPr>
      <w:r w:rsidRPr="00F23EAE">
        <w:rPr>
          <w:i/>
        </w:rPr>
        <w:t>Table 1, including reference notes,</w:t>
      </w:r>
      <w:r w:rsidRPr="00F23EAE">
        <w:t xml:space="preserve"> replace to read:</w:t>
      </w:r>
    </w:p>
    <w:p w:rsidR="00F23EAE" w:rsidRPr="00F23EAE" w:rsidRDefault="00F23EAE" w:rsidP="00F23EAE">
      <w:pPr>
        <w:spacing w:line="240" w:lineRule="auto"/>
        <w:ind w:right="1138"/>
        <w:outlineLvl w:val="0"/>
        <w:rPr>
          <w:bCs/>
          <w:lang w:eastAsia="en-GB"/>
        </w:rPr>
      </w:pPr>
      <w:r w:rsidRPr="00F23EAE">
        <w:rPr>
          <w:bCs/>
          <w:lang w:eastAsia="en-GB"/>
        </w:rPr>
        <w:t>"Table 1</w:t>
      </w:r>
    </w:p>
    <w:p w:rsidR="00F23EAE" w:rsidRPr="00F23EAE" w:rsidRDefault="00F23EAE" w:rsidP="00F23EAE">
      <w:pPr>
        <w:spacing w:after="120" w:line="240" w:lineRule="auto"/>
        <w:ind w:right="1134"/>
        <w:outlineLvl w:val="0"/>
        <w:rPr>
          <w:b/>
        </w:rPr>
      </w:pPr>
      <w:r w:rsidRPr="00F23EAE">
        <w:rPr>
          <w:b/>
          <w:bCs/>
          <w:lang w:eastAsia="en-GB"/>
        </w:rPr>
        <w:t>Letters with reference to r</w:t>
      </w:r>
      <w:r w:rsidRPr="00F23EAE">
        <w:rPr>
          <w:b/>
          <w:bCs/>
        </w:rPr>
        <w:t xml:space="preserve">equirements of </w:t>
      </w:r>
      <w:proofErr w:type="spellStart"/>
      <w:r w:rsidRPr="00F23EAE">
        <w:rPr>
          <w:b/>
          <w:bCs/>
        </w:rPr>
        <w:t>OBD</w:t>
      </w:r>
      <w:proofErr w:type="spellEnd"/>
      <w:r w:rsidRPr="00F23EAE">
        <w:rPr>
          <w:b/>
          <w:bCs/>
        </w:rPr>
        <w:t xml:space="preserve"> and SCR systems</w:t>
      </w:r>
    </w:p>
    <w:tbl>
      <w:tblPr>
        <w:tblW w:w="12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9"/>
        <w:gridCol w:w="1780"/>
        <w:gridCol w:w="1430"/>
        <w:gridCol w:w="1440"/>
        <w:gridCol w:w="998"/>
        <w:gridCol w:w="1245"/>
        <w:gridCol w:w="1245"/>
        <w:gridCol w:w="1642"/>
        <w:gridCol w:w="1681"/>
      </w:tblGrid>
      <w:tr w:rsidR="00F23EAE" w:rsidRPr="00F23EAE" w:rsidTr="00C02DB0">
        <w:tc>
          <w:tcPr>
            <w:tcW w:w="989" w:type="dxa"/>
            <w:tcBorders>
              <w:bottom w:val="single" w:sz="12" w:space="0" w:color="auto"/>
            </w:tcBorders>
            <w:vAlign w:val="center"/>
          </w:tcPr>
          <w:p w:rsidR="00F23EAE" w:rsidRPr="00F23EAE" w:rsidRDefault="00F23EAE" w:rsidP="00F23EAE">
            <w:pPr>
              <w:suppressAutoHyphens w:val="0"/>
              <w:spacing w:after="120" w:line="240" w:lineRule="auto"/>
              <w:ind w:left="113" w:right="113"/>
              <w:jc w:val="center"/>
              <w:rPr>
                <w:i/>
                <w:noProof/>
                <w:sz w:val="16"/>
                <w:szCs w:val="16"/>
                <w:lang w:eastAsia="en-GB"/>
              </w:rPr>
            </w:pPr>
            <w:r w:rsidRPr="00F23EAE">
              <w:rPr>
                <w:i/>
                <w:noProof/>
                <w:sz w:val="16"/>
                <w:szCs w:val="16"/>
                <w:lang w:eastAsia="en-GB"/>
              </w:rPr>
              <w:t>Character</w:t>
            </w:r>
          </w:p>
        </w:tc>
        <w:tc>
          <w:tcPr>
            <w:tcW w:w="1780" w:type="dxa"/>
            <w:tcBorders>
              <w:bottom w:val="single" w:sz="12" w:space="0" w:color="auto"/>
            </w:tcBorders>
            <w:vAlign w:val="center"/>
          </w:tcPr>
          <w:p w:rsidR="00F23EAE" w:rsidRPr="00F23EAE" w:rsidRDefault="00F23EAE" w:rsidP="00F23EAE">
            <w:pPr>
              <w:suppressAutoHyphens w:val="0"/>
              <w:spacing w:after="120" w:line="240" w:lineRule="auto"/>
              <w:ind w:left="113" w:right="113"/>
              <w:jc w:val="center"/>
              <w:rPr>
                <w:i/>
                <w:noProof/>
                <w:sz w:val="16"/>
                <w:szCs w:val="16"/>
                <w:lang w:eastAsia="en-GB"/>
              </w:rPr>
            </w:pPr>
            <w:r w:rsidRPr="00F23EAE">
              <w:rPr>
                <w:i/>
                <w:noProof/>
                <w:sz w:val="16"/>
                <w:szCs w:val="16"/>
                <w:lang w:eastAsia="en-GB"/>
              </w:rPr>
              <w:t>NO</w:t>
            </w:r>
            <w:r w:rsidRPr="00F23EAE">
              <w:rPr>
                <w:i/>
                <w:noProof/>
                <w:sz w:val="16"/>
                <w:szCs w:val="16"/>
                <w:vertAlign w:val="subscript"/>
                <w:lang w:eastAsia="en-GB"/>
              </w:rPr>
              <w:t>x</w:t>
            </w:r>
            <w:r w:rsidRPr="00F23EAE">
              <w:rPr>
                <w:i/>
                <w:noProof/>
                <w:sz w:val="16"/>
                <w:szCs w:val="16"/>
                <w:lang w:eastAsia="en-GB"/>
              </w:rPr>
              <w:t xml:space="preserve"> OTL</w:t>
            </w:r>
            <w:r w:rsidRPr="00F23EAE">
              <w:rPr>
                <w:i/>
                <w:noProof/>
                <w:sz w:val="16"/>
                <w:szCs w:val="16"/>
                <w:vertAlign w:val="superscript"/>
                <w:lang w:eastAsia="en-GB"/>
              </w:rPr>
              <w:t>1</w:t>
            </w:r>
          </w:p>
        </w:tc>
        <w:tc>
          <w:tcPr>
            <w:tcW w:w="1430" w:type="dxa"/>
            <w:tcBorders>
              <w:bottom w:val="single" w:sz="12" w:space="0" w:color="auto"/>
            </w:tcBorders>
            <w:vAlign w:val="center"/>
          </w:tcPr>
          <w:p w:rsidR="00F23EAE" w:rsidRPr="00F23EAE" w:rsidRDefault="00F23EAE" w:rsidP="00F23EAE">
            <w:pPr>
              <w:suppressAutoHyphens w:val="0"/>
              <w:spacing w:after="120" w:line="240" w:lineRule="auto"/>
              <w:ind w:left="113" w:right="113"/>
              <w:jc w:val="center"/>
              <w:rPr>
                <w:i/>
                <w:noProof/>
                <w:sz w:val="16"/>
                <w:szCs w:val="16"/>
                <w:lang w:eastAsia="en-GB"/>
              </w:rPr>
            </w:pPr>
            <w:r w:rsidRPr="00F23EAE">
              <w:rPr>
                <w:i/>
                <w:noProof/>
                <w:sz w:val="16"/>
                <w:szCs w:val="16"/>
                <w:lang w:eastAsia="en-GB"/>
              </w:rPr>
              <w:t>PM OTL</w:t>
            </w:r>
            <w:r w:rsidRPr="00F23EAE">
              <w:rPr>
                <w:i/>
                <w:noProof/>
                <w:sz w:val="16"/>
                <w:szCs w:val="16"/>
                <w:vertAlign w:val="superscript"/>
                <w:lang w:eastAsia="en-GB"/>
              </w:rPr>
              <w:t>2</w:t>
            </w:r>
          </w:p>
        </w:tc>
        <w:tc>
          <w:tcPr>
            <w:tcW w:w="1440" w:type="dxa"/>
            <w:tcBorders>
              <w:bottom w:val="single" w:sz="12" w:space="0" w:color="auto"/>
            </w:tcBorders>
            <w:vAlign w:val="center"/>
          </w:tcPr>
          <w:p w:rsidR="00F23EAE" w:rsidRPr="00F23EAE" w:rsidRDefault="00F23EAE" w:rsidP="00F23EAE">
            <w:pPr>
              <w:suppressAutoHyphens w:val="0"/>
              <w:spacing w:after="120" w:line="240" w:lineRule="auto"/>
              <w:ind w:left="113" w:right="113"/>
              <w:jc w:val="center"/>
              <w:rPr>
                <w:i/>
                <w:noProof/>
                <w:sz w:val="16"/>
                <w:szCs w:val="16"/>
                <w:lang w:eastAsia="en-GB"/>
              </w:rPr>
            </w:pPr>
            <w:r w:rsidRPr="00F23EAE">
              <w:rPr>
                <w:i/>
                <w:noProof/>
                <w:sz w:val="16"/>
                <w:szCs w:val="16"/>
                <w:lang w:eastAsia="en-GB"/>
              </w:rPr>
              <w:t>CO OTL</w:t>
            </w:r>
            <w:r w:rsidRPr="00F23EAE">
              <w:rPr>
                <w:i/>
                <w:noProof/>
                <w:sz w:val="16"/>
                <w:szCs w:val="16"/>
                <w:vertAlign w:val="superscript"/>
                <w:lang w:eastAsia="en-GB"/>
              </w:rPr>
              <w:t>6</w:t>
            </w:r>
          </w:p>
        </w:tc>
        <w:tc>
          <w:tcPr>
            <w:tcW w:w="998" w:type="dxa"/>
            <w:tcBorders>
              <w:bottom w:val="single" w:sz="12" w:space="0" w:color="auto"/>
            </w:tcBorders>
            <w:vAlign w:val="center"/>
          </w:tcPr>
          <w:p w:rsidR="00F23EAE" w:rsidRPr="00F23EAE" w:rsidRDefault="00F23EAE" w:rsidP="00F23EAE">
            <w:pPr>
              <w:suppressAutoHyphens w:val="0"/>
              <w:spacing w:after="120" w:line="240" w:lineRule="auto"/>
              <w:ind w:left="113" w:right="113"/>
              <w:jc w:val="center"/>
              <w:rPr>
                <w:i/>
                <w:noProof/>
                <w:sz w:val="16"/>
                <w:szCs w:val="16"/>
                <w:lang w:eastAsia="en-GB"/>
              </w:rPr>
            </w:pPr>
            <w:r w:rsidRPr="00F23EAE">
              <w:rPr>
                <w:i/>
                <w:noProof/>
                <w:sz w:val="16"/>
                <w:szCs w:val="16"/>
                <w:lang w:eastAsia="en-GB"/>
              </w:rPr>
              <w:t>IUPR</w:t>
            </w:r>
            <w:r w:rsidRPr="00F23EAE">
              <w:rPr>
                <w:i/>
                <w:noProof/>
                <w:sz w:val="16"/>
                <w:szCs w:val="16"/>
                <w:vertAlign w:val="superscript"/>
                <w:lang w:eastAsia="en-GB"/>
              </w:rPr>
              <w:t>13</w:t>
            </w:r>
          </w:p>
        </w:tc>
        <w:tc>
          <w:tcPr>
            <w:tcW w:w="1245" w:type="dxa"/>
            <w:tcBorders>
              <w:bottom w:val="single" w:sz="12" w:space="0" w:color="auto"/>
            </w:tcBorders>
            <w:vAlign w:val="center"/>
          </w:tcPr>
          <w:p w:rsidR="00F23EAE" w:rsidRPr="00F23EAE" w:rsidRDefault="00F23EAE" w:rsidP="00F23EAE">
            <w:pPr>
              <w:suppressAutoHyphens w:val="0"/>
              <w:spacing w:after="120" w:line="240" w:lineRule="auto"/>
              <w:ind w:left="113" w:right="113"/>
              <w:jc w:val="center"/>
              <w:rPr>
                <w:i/>
                <w:noProof/>
                <w:sz w:val="16"/>
                <w:szCs w:val="16"/>
                <w:lang w:eastAsia="en-GB"/>
              </w:rPr>
            </w:pPr>
            <w:r w:rsidRPr="00F23EAE">
              <w:rPr>
                <w:i/>
                <w:noProof/>
                <w:sz w:val="16"/>
                <w:szCs w:val="16"/>
                <w:lang w:eastAsia="en-GB"/>
              </w:rPr>
              <w:t xml:space="preserve">Reagent quality </w:t>
            </w:r>
          </w:p>
        </w:tc>
        <w:tc>
          <w:tcPr>
            <w:tcW w:w="1245" w:type="dxa"/>
            <w:tcBorders>
              <w:bottom w:val="single" w:sz="12" w:space="0" w:color="auto"/>
            </w:tcBorders>
            <w:vAlign w:val="center"/>
          </w:tcPr>
          <w:p w:rsidR="00F23EAE" w:rsidRPr="00F23EAE" w:rsidRDefault="00F23EAE" w:rsidP="00F23EAE">
            <w:pPr>
              <w:suppressAutoHyphens w:val="0"/>
              <w:spacing w:after="120" w:line="240" w:lineRule="auto"/>
              <w:ind w:left="113" w:right="113"/>
              <w:jc w:val="center"/>
              <w:rPr>
                <w:i/>
                <w:noProof/>
                <w:sz w:val="16"/>
                <w:szCs w:val="16"/>
                <w:lang w:eastAsia="en-GB"/>
              </w:rPr>
            </w:pPr>
            <w:r w:rsidRPr="00F23EAE">
              <w:rPr>
                <w:i/>
                <w:noProof/>
                <w:sz w:val="16"/>
                <w:szCs w:val="16"/>
                <w:lang w:eastAsia="en-GB"/>
              </w:rPr>
              <w:t>Additional OBD monitors</w:t>
            </w:r>
            <w:r w:rsidRPr="00F23EAE">
              <w:rPr>
                <w:i/>
                <w:noProof/>
                <w:sz w:val="16"/>
                <w:szCs w:val="16"/>
                <w:vertAlign w:val="superscript"/>
                <w:lang w:eastAsia="en-GB"/>
              </w:rPr>
              <w:t>12</w:t>
            </w:r>
          </w:p>
        </w:tc>
        <w:tc>
          <w:tcPr>
            <w:tcW w:w="1642" w:type="dxa"/>
            <w:tcBorders>
              <w:bottom w:val="single" w:sz="12" w:space="0" w:color="auto"/>
            </w:tcBorders>
            <w:vAlign w:val="center"/>
          </w:tcPr>
          <w:p w:rsidR="00F23EAE" w:rsidRPr="00F23EAE" w:rsidRDefault="00F23EAE" w:rsidP="00F23EAE">
            <w:pPr>
              <w:suppressAutoHyphens w:val="0"/>
              <w:spacing w:after="120" w:line="240" w:lineRule="auto"/>
              <w:ind w:left="113" w:right="113"/>
              <w:jc w:val="center"/>
              <w:rPr>
                <w:i/>
                <w:noProof/>
                <w:sz w:val="16"/>
                <w:szCs w:val="16"/>
                <w:lang w:eastAsia="en-GB"/>
              </w:rPr>
            </w:pPr>
            <w:r w:rsidRPr="00F23EAE">
              <w:rPr>
                <w:i/>
                <w:noProof/>
                <w:sz w:val="16"/>
                <w:szCs w:val="16"/>
                <w:lang w:eastAsia="en-GB"/>
              </w:rPr>
              <w:t>Implementation dates: new types</w:t>
            </w:r>
          </w:p>
        </w:tc>
        <w:tc>
          <w:tcPr>
            <w:tcW w:w="1681" w:type="dxa"/>
            <w:tcBorders>
              <w:bottom w:val="single" w:sz="12" w:space="0" w:color="auto"/>
            </w:tcBorders>
            <w:vAlign w:val="center"/>
          </w:tcPr>
          <w:p w:rsidR="00F23EAE" w:rsidRPr="00F23EAE" w:rsidRDefault="00F23EAE" w:rsidP="00F23EAE">
            <w:pPr>
              <w:suppressAutoHyphens w:val="0"/>
              <w:spacing w:after="120" w:line="240" w:lineRule="auto"/>
              <w:ind w:left="113" w:right="113"/>
              <w:jc w:val="center"/>
              <w:rPr>
                <w:i/>
                <w:noProof/>
                <w:sz w:val="16"/>
                <w:szCs w:val="16"/>
                <w:lang w:eastAsia="en-GB"/>
              </w:rPr>
            </w:pPr>
            <w:r w:rsidRPr="00F23EAE">
              <w:rPr>
                <w:i/>
                <w:noProof/>
                <w:sz w:val="16"/>
                <w:szCs w:val="16"/>
                <w:lang w:eastAsia="en-GB"/>
              </w:rPr>
              <w:t>Date when Contracting Parties may refuse type approval</w:t>
            </w:r>
          </w:p>
        </w:tc>
      </w:tr>
      <w:tr w:rsidR="00F23EAE" w:rsidRPr="00F23EAE" w:rsidTr="00C02DB0">
        <w:tc>
          <w:tcPr>
            <w:tcW w:w="989" w:type="dxa"/>
            <w:tcBorders>
              <w:top w:val="single" w:sz="12"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A</w:t>
            </w:r>
            <w:r w:rsidRPr="00F23EAE">
              <w:rPr>
                <w:noProof/>
                <w:sz w:val="18"/>
                <w:szCs w:val="18"/>
                <w:vertAlign w:val="superscript"/>
                <w:lang w:eastAsia="en-GB"/>
              </w:rPr>
              <w:t>9 10</w:t>
            </w:r>
          </w:p>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B</w:t>
            </w:r>
            <w:r w:rsidRPr="00F23EAE">
              <w:rPr>
                <w:noProof/>
                <w:sz w:val="18"/>
                <w:szCs w:val="18"/>
                <w:vertAlign w:val="superscript"/>
                <w:lang w:eastAsia="en-GB"/>
              </w:rPr>
              <w:t>10</w:t>
            </w:r>
          </w:p>
        </w:tc>
        <w:tc>
          <w:tcPr>
            <w:tcW w:w="1780" w:type="dxa"/>
            <w:tcBorders>
              <w:top w:val="single" w:sz="12"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Row "phase-in period" of Tables 1 and 2 of Annex 9A</w:t>
            </w:r>
          </w:p>
        </w:tc>
        <w:tc>
          <w:tcPr>
            <w:tcW w:w="1430" w:type="dxa"/>
            <w:tcBorders>
              <w:top w:val="single" w:sz="12"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vertAlign w:val="superscript"/>
                <w:lang w:eastAsia="en-GB"/>
              </w:rPr>
            </w:pPr>
            <w:r w:rsidRPr="00F23EAE">
              <w:rPr>
                <w:noProof/>
                <w:sz w:val="18"/>
                <w:szCs w:val="18"/>
                <w:lang w:eastAsia="en-GB"/>
              </w:rPr>
              <w:t>Performance monitoring</w:t>
            </w:r>
            <w:r w:rsidRPr="00F23EAE">
              <w:rPr>
                <w:noProof/>
                <w:sz w:val="18"/>
                <w:szCs w:val="18"/>
                <w:vertAlign w:val="superscript"/>
                <w:lang w:eastAsia="en-GB"/>
              </w:rPr>
              <w:t>3</w:t>
            </w:r>
          </w:p>
        </w:tc>
        <w:tc>
          <w:tcPr>
            <w:tcW w:w="1440" w:type="dxa"/>
            <w:tcBorders>
              <w:top w:val="single" w:sz="12"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N/A</w:t>
            </w:r>
          </w:p>
        </w:tc>
        <w:tc>
          <w:tcPr>
            <w:tcW w:w="998" w:type="dxa"/>
            <w:tcBorders>
              <w:top w:val="single" w:sz="12"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Phase-in</w:t>
            </w:r>
            <w:r w:rsidRPr="00F23EAE">
              <w:rPr>
                <w:noProof/>
                <w:sz w:val="18"/>
                <w:szCs w:val="18"/>
                <w:vertAlign w:val="superscript"/>
                <w:lang w:eastAsia="en-GB"/>
              </w:rPr>
              <w:t>7</w:t>
            </w:r>
          </w:p>
        </w:tc>
        <w:tc>
          <w:tcPr>
            <w:tcW w:w="1245" w:type="dxa"/>
            <w:tcBorders>
              <w:top w:val="single" w:sz="12"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vertAlign w:val="superscript"/>
                <w:lang w:eastAsia="en-GB"/>
              </w:rPr>
            </w:pPr>
            <w:r w:rsidRPr="00F23EAE">
              <w:rPr>
                <w:noProof/>
                <w:sz w:val="18"/>
                <w:szCs w:val="18"/>
                <w:lang w:eastAsia="en-GB"/>
              </w:rPr>
              <w:t>Phase-in</w:t>
            </w:r>
            <w:r w:rsidRPr="00F23EAE">
              <w:rPr>
                <w:noProof/>
                <w:sz w:val="18"/>
                <w:szCs w:val="18"/>
                <w:vertAlign w:val="superscript"/>
                <w:lang w:eastAsia="en-GB"/>
              </w:rPr>
              <w:t>4</w:t>
            </w:r>
          </w:p>
        </w:tc>
        <w:tc>
          <w:tcPr>
            <w:tcW w:w="1245" w:type="dxa"/>
            <w:tcBorders>
              <w:top w:val="single" w:sz="12"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N/A</w:t>
            </w:r>
          </w:p>
        </w:tc>
        <w:tc>
          <w:tcPr>
            <w:tcW w:w="1642" w:type="dxa"/>
            <w:tcBorders>
              <w:top w:val="single" w:sz="12"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Date of entry into force of 06 series of Regulation No. 49</w:t>
            </w:r>
          </w:p>
        </w:tc>
        <w:tc>
          <w:tcPr>
            <w:tcW w:w="1681" w:type="dxa"/>
            <w:tcBorders>
              <w:top w:val="single" w:sz="12" w:space="0" w:color="auto"/>
            </w:tcBorders>
            <w:vAlign w:val="center"/>
          </w:tcPr>
          <w:p w:rsidR="00F23EAE" w:rsidRPr="00F23EAE" w:rsidRDefault="00F23EAE" w:rsidP="00F23EAE">
            <w:pPr>
              <w:suppressAutoHyphens w:val="0"/>
              <w:spacing w:after="120" w:line="240" w:lineRule="auto"/>
              <w:ind w:right="113"/>
              <w:jc w:val="center"/>
              <w:rPr>
                <w:noProof/>
                <w:sz w:val="18"/>
                <w:szCs w:val="18"/>
                <w:lang w:eastAsia="en-GB"/>
              </w:rPr>
            </w:pPr>
            <w:r w:rsidRPr="00F23EAE">
              <w:rPr>
                <w:noProof/>
                <w:sz w:val="18"/>
                <w:szCs w:val="18"/>
                <w:lang w:eastAsia="en-GB"/>
              </w:rPr>
              <w:t>01 September 2015</w:t>
            </w:r>
            <w:r w:rsidRPr="00F23EAE">
              <w:rPr>
                <w:noProof/>
                <w:sz w:val="18"/>
                <w:szCs w:val="18"/>
                <w:vertAlign w:val="superscript"/>
                <w:lang w:eastAsia="en-GB"/>
              </w:rPr>
              <w:t>9</w:t>
            </w:r>
          </w:p>
          <w:p w:rsidR="00F23EAE" w:rsidRPr="00F23EAE" w:rsidRDefault="00F23EAE" w:rsidP="00F23EAE">
            <w:pPr>
              <w:suppressAutoHyphens w:val="0"/>
              <w:spacing w:after="120" w:line="240" w:lineRule="auto"/>
              <w:ind w:right="113"/>
              <w:jc w:val="center"/>
              <w:rPr>
                <w:noProof/>
                <w:sz w:val="18"/>
                <w:szCs w:val="18"/>
                <w:lang w:eastAsia="en-GB"/>
              </w:rPr>
            </w:pPr>
            <w:r w:rsidRPr="00F23EAE">
              <w:rPr>
                <w:noProof/>
                <w:sz w:val="18"/>
                <w:szCs w:val="18"/>
                <w:lang w:eastAsia="en-GB"/>
              </w:rPr>
              <w:t>31 December 2016</w:t>
            </w:r>
            <w:r w:rsidRPr="00F23EAE">
              <w:rPr>
                <w:noProof/>
                <w:sz w:val="18"/>
                <w:szCs w:val="18"/>
                <w:vertAlign w:val="superscript"/>
                <w:lang w:eastAsia="en-GB"/>
              </w:rPr>
              <w:t>10</w:t>
            </w:r>
          </w:p>
        </w:tc>
      </w:tr>
      <w:tr w:rsidR="00F23EAE" w:rsidRPr="00F23EAE" w:rsidTr="00C02DB0">
        <w:tc>
          <w:tcPr>
            <w:tcW w:w="989" w:type="dxa"/>
            <w:tcBorders>
              <w:bottom w:val="single" w:sz="4"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B</w:t>
            </w:r>
            <w:r w:rsidRPr="00F23EAE">
              <w:rPr>
                <w:noProof/>
                <w:sz w:val="18"/>
                <w:szCs w:val="18"/>
                <w:vertAlign w:val="superscript"/>
                <w:lang w:eastAsia="en-GB"/>
              </w:rPr>
              <w:t>11</w:t>
            </w:r>
          </w:p>
        </w:tc>
        <w:tc>
          <w:tcPr>
            <w:tcW w:w="1780" w:type="dxa"/>
            <w:tcBorders>
              <w:bottom w:val="single" w:sz="4"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Row "phase-in period" of Tables 1 and 2 of Annex 9A</w:t>
            </w:r>
          </w:p>
        </w:tc>
        <w:tc>
          <w:tcPr>
            <w:tcW w:w="1430" w:type="dxa"/>
            <w:tcBorders>
              <w:bottom w:val="single" w:sz="4"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N/A</w:t>
            </w:r>
          </w:p>
        </w:tc>
        <w:tc>
          <w:tcPr>
            <w:tcW w:w="1440" w:type="dxa"/>
            <w:tcBorders>
              <w:bottom w:val="single" w:sz="4"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Row "phase-in period" of Table 2 of Annex 9A</w:t>
            </w:r>
          </w:p>
        </w:tc>
        <w:tc>
          <w:tcPr>
            <w:tcW w:w="998" w:type="dxa"/>
            <w:tcBorders>
              <w:bottom w:val="single" w:sz="4"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N/A</w:t>
            </w:r>
          </w:p>
        </w:tc>
        <w:tc>
          <w:tcPr>
            <w:tcW w:w="1245" w:type="dxa"/>
            <w:tcBorders>
              <w:bottom w:val="single" w:sz="4"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vertAlign w:val="superscript"/>
                <w:lang w:eastAsia="en-GB"/>
              </w:rPr>
            </w:pPr>
            <w:r w:rsidRPr="00F23EAE">
              <w:rPr>
                <w:noProof/>
                <w:sz w:val="18"/>
                <w:szCs w:val="18"/>
                <w:lang w:eastAsia="en-GB"/>
              </w:rPr>
              <w:t>Phase-in</w:t>
            </w:r>
            <w:r w:rsidRPr="00F23EAE">
              <w:rPr>
                <w:noProof/>
                <w:sz w:val="18"/>
                <w:szCs w:val="18"/>
                <w:vertAlign w:val="superscript"/>
                <w:lang w:eastAsia="en-GB"/>
              </w:rPr>
              <w:t>4</w:t>
            </w:r>
          </w:p>
        </w:tc>
        <w:tc>
          <w:tcPr>
            <w:tcW w:w="1245" w:type="dxa"/>
            <w:tcBorders>
              <w:bottom w:val="single" w:sz="4"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N/A</w:t>
            </w:r>
          </w:p>
        </w:tc>
        <w:tc>
          <w:tcPr>
            <w:tcW w:w="1642" w:type="dxa"/>
            <w:tcBorders>
              <w:bottom w:val="single" w:sz="4"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01 September 2014</w:t>
            </w:r>
          </w:p>
        </w:tc>
        <w:tc>
          <w:tcPr>
            <w:tcW w:w="1681" w:type="dxa"/>
            <w:tcBorders>
              <w:bottom w:val="single" w:sz="4" w:space="0" w:color="auto"/>
            </w:tcBorders>
            <w:vAlign w:val="center"/>
          </w:tcPr>
          <w:p w:rsidR="00F23EAE" w:rsidRPr="00F23EAE" w:rsidRDefault="00F23EAE" w:rsidP="00F23EAE">
            <w:pPr>
              <w:suppressAutoHyphens w:val="0"/>
              <w:spacing w:after="120" w:line="240" w:lineRule="auto"/>
              <w:jc w:val="center"/>
              <w:rPr>
                <w:noProof/>
                <w:sz w:val="18"/>
                <w:szCs w:val="18"/>
                <w:lang w:eastAsia="en-GB"/>
              </w:rPr>
            </w:pPr>
            <w:r w:rsidRPr="00F23EAE">
              <w:rPr>
                <w:noProof/>
                <w:sz w:val="18"/>
                <w:szCs w:val="18"/>
                <w:lang w:eastAsia="en-GB"/>
              </w:rPr>
              <w:t>31 December 2016</w:t>
            </w:r>
          </w:p>
        </w:tc>
      </w:tr>
      <w:tr w:rsidR="00F23EAE" w:rsidRPr="00F23EAE" w:rsidTr="00C02DB0">
        <w:tc>
          <w:tcPr>
            <w:tcW w:w="989" w:type="dxa"/>
            <w:tcBorders>
              <w:bottom w:val="single" w:sz="12"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C</w:t>
            </w:r>
          </w:p>
        </w:tc>
        <w:tc>
          <w:tcPr>
            <w:tcW w:w="1780" w:type="dxa"/>
            <w:tcBorders>
              <w:bottom w:val="single" w:sz="12"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Row "general requirements" of Tables 1 and 2 of Annex 9A</w:t>
            </w:r>
          </w:p>
        </w:tc>
        <w:tc>
          <w:tcPr>
            <w:tcW w:w="1430" w:type="dxa"/>
            <w:tcBorders>
              <w:bottom w:val="single" w:sz="12"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Row "general requirements" of Table 1 of Annex 9A</w:t>
            </w:r>
          </w:p>
        </w:tc>
        <w:tc>
          <w:tcPr>
            <w:tcW w:w="1440" w:type="dxa"/>
            <w:tcBorders>
              <w:bottom w:val="single" w:sz="12"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Row "general requirements" of Table 2 of Annex 9A</w:t>
            </w:r>
          </w:p>
        </w:tc>
        <w:tc>
          <w:tcPr>
            <w:tcW w:w="998" w:type="dxa"/>
            <w:tcBorders>
              <w:bottom w:val="single" w:sz="12"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General</w:t>
            </w:r>
            <w:r w:rsidRPr="00F23EAE">
              <w:rPr>
                <w:noProof/>
                <w:sz w:val="18"/>
                <w:szCs w:val="18"/>
                <w:vertAlign w:val="superscript"/>
                <w:lang w:eastAsia="en-GB"/>
              </w:rPr>
              <w:t>8</w:t>
            </w:r>
          </w:p>
        </w:tc>
        <w:tc>
          <w:tcPr>
            <w:tcW w:w="1245" w:type="dxa"/>
            <w:tcBorders>
              <w:bottom w:val="single" w:sz="12"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vertAlign w:val="superscript"/>
                <w:lang w:eastAsia="en-GB"/>
              </w:rPr>
            </w:pPr>
            <w:r w:rsidRPr="00F23EAE">
              <w:rPr>
                <w:noProof/>
                <w:sz w:val="18"/>
                <w:szCs w:val="18"/>
                <w:lang w:eastAsia="en-GB"/>
              </w:rPr>
              <w:t>General</w:t>
            </w:r>
            <w:r w:rsidRPr="00F23EAE">
              <w:rPr>
                <w:noProof/>
                <w:sz w:val="18"/>
                <w:szCs w:val="18"/>
                <w:vertAlign w:val="superscript"/>
                <w:lang w:eastAsia="en-GB"/>
              </w:rPr>
              <w:t>5</w:t>
            </w:r>
          </w:p>
        </w:tc>
        <w:tc>
          <w:tcPr>
            <w:tcW w:w="1245" w:type="dxa"/>
            <w:tcBorders>
              <w:bottom w:val="single" w:sz="12"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r w:rsidRPr="00F23EAE">
              <w:rPr>
                <w:noProof/>
                <w:sz w:val="18"/>
                <w:szCs w:val="18"/>
                <w:lang w:eastAsia="en-GB"/>
              </w:rPr>
              <w:t>Yes</w:t>
            </w:r>
          </w:p>
        </w:tc>
        <w:tc>
          <w:tcPr>
            <w:tcW w:w="1642" w:type="dxa"/>
            <w:tcBorders>
              <w:bottom w:val="single" w:sz="12" w:space="0" w:color="auto"/>
            </w:tcBorders>
            <w:vAlign w:val="center"/>
          </w:tcPr>
          <w:p w:rsidR="00F23EAE" w:rsidRPr="00F23EAE" w:rsidRDefault="00F23EAE" w:rsidP="00F23EAE">
            <w:pPr>
              <w:suppressAutoHyphens w:val="0"/>
              <w:spacing w:after="120" w:line="240" w:lineRule="auto"/>
              <w:jc w:val="center"/>
              <w:rPr>
                <w:noProof/>
                <w:sz w:val="18"/>
                <w:szCs w:val="18"/>
                <w:lang w:eastAsia="en-GB"/>
              </w:rPr>
            </w:pPr>
            <w:r w:rsidRPr="00F23EAE">
              <w:rPr>
                <w:noProof/>
                <w:sz w:val="18"/>
                <w:szCs w:val="18"/>
                <w:lang w:eastAsia="en-GB"/>
              </w:rPr>
              <w:t>31 December 2015</w:t>
            </w:r>
          </w:p>
        </w:tc>
        <w:tc>
          <w:tcPr>
            <w:tcW w:w="1681" w:type="dxa"/>
            <w:tcBorders>
              <w:bottom w:val="single" w:sz="12" w:space="0" w:color="auto"/>
            </w:tcBorders>
            <w:vAlign w:val="center"/>
          </w:tcPr>
          <w:p w:rsidR="00F23EAE" w:rsidRPr="00F23EAE" w:rsidRDefault="00F23EAE" w:rsidP="00F23EAE">
            <w:pPr>
              <w:suppressAutoHyphens w:val="0"/>
              <w:spacing w:after="120" w:line="240" w:lineRule="auto"/>
              <w:ind w:left="113" w:right="113"/>
              <w:jc w:val="center"/>
              <w:rPr>
                <w:noProof/>
                <w:sz w:val="18"/>
                <w:szCs w:val="18"/>
                <w:lang w:eastAsia="en-GB"/>
              </w:rPr>
            </w:pPr>
          </w:p>
        </w:tc>
      </w:tr>
      <w:tr w:rsidR="00F23EAE" w:rsidRPr="00F23EAE" w:rsidTr="00C02DB0">
        <w:tc>
          <w:tcPr>
            <w:tcW w:w="12450" w:type="dxa"/>
            <w:gridSpan w:val="9"/>
            <w:tcBorders>
              <w:top w:val="single" w:sz="12" w:space="0" w:color="auto"/>
              <w:left w:val="nil"/>
              <w:bottom w:val="nil"/>
              <w:right w:val="nil"/>
            </w:tcBorders>
            <w:vAlign w:val="center"/>
          </w:tcPr>
          <w:p w:rsidR="00F23EAE" w:rsidRPr="00F23EAE" w:rsidRDefault="00F23EAE" w:rsidP="00F23EAE">
            <w:pPr>
              <w:suppressAutoHyphens w:val="0"/>
              <w:autoSpaceDE w:val="0"/>
              <w:autoSpaceDN w:val="0"/>
              <w:adjustRightInd w:val="0"/>
              <w:spacing w:line="240" w:lineRule="auto"/>
              <w:rPr>
                <w:color w:val="000000"/>
                <w:sz w:val="18"/>
                <w:szCs w:val="18"/>
                <w:lang w:eastAsia="en-GB"/>
              </w:rPr>
            </w:pPr>
            <w:r w:rsidRPr="00F23EAE">
              <w:rPr>
                <w:bCs/>
                <w:i/>
                <w:iCs/>
                <w:color w:val="000000"/>
                <w:sz w:val="18"/>
                <w:szCs w:val="18"/>
                <w:lang w:eastAsia="en-GB"/>
              </w:rPr>
              <w:t>Notes:</w:t>
            </w:r>
          </w:p>
          <w:p w:rsidR="00F23EAE" w:rsidRPr="00F23EAE" w:rsidRDefault="00F23EAE" w:rsidP="00F23EAE">
            <w:pPr>
              <w:ind w:left="567" w:hanging="581"/>
              <w:jc w:val="both"/>
              <w:rPr>
                <w:rFonts w:eastAsia="MS Mincho"/>
                <w:sz w:val="18"/>
                <w:szCs w:val="18"/>
              </w:rPr>
            </w:pPr>
            <w:r w:rsidRPr="00F23EAE">
              <w:rPr>
                <w:rFonts w:eastAsia="MS Mincho"/>
                <w:sz w:val="18"/>
                <w:szCs w:val="18"/>
                <w:vertAlign w:val="superscript"/>
              </w:rPr>
              <w:t>1</w:t>
            </w:r>
            <w:r w:rsidRPr="00F23EAE">
              <w:rPr>
                <w:rFonts w:eastAsia="MS Mincho"/>
                <w:sz w:val="18"/>
                <w:szCs w:val="18"/>
              </w:rPr>
              <w:tab/>
              <w:t>"</w:t>
            </w:r>
            <w:proofErr w:type="spellStart"/>
            <w:r w:rsidRPr="00F23EAE">
              <w:rPr>
                <w:rFonts w:eastAsia="MS Mincho"/>
                <w:sz w:val="18"/>
                <w:szCs w:val="18"/>
              </w:rPr>
              <w:t>NO</w:t>
            </w:r>
            <w:r w:rsidRPr="00F23EAE">
              <w:rPr>
                <w:rFonts w:eastAsia="MS Mincho"/>
                <w:sz w:val="18"/>
                <w:szCs w:val="18"/>
                <w:vertAlign w:val="subscript"/>
              </w:rPr>
              <w:t>x</w:t>
            </w:r>
            <w:proofErr w:type="spellEnd"/>
            <w:r w:rsidRPr="00F23EAE">
              <w:rPr>
                <w:rFonts w:eastAsia="MS Mincho"/>
                <w:sz w:val="18"/>
                <w:szCs w:val="18"/>
              </w:rPr>
              <w:t xml:space="preserve"> </w:t>
            </w:r>
            <w:proofErr w:type="spellStart"/>
            <w:r w:rsidRPr="00F23EAE">
              <w:rPr>
                <w:rFonts w:eastAsia="MS Mincho"/>
                <w:sz w:val="18"/>
                <w:szCs w:val="18"/>
              </w:rPr>
              <w:t>OTL</w:t>
            </w:r>
            <w:proofErr w:type="spellEnd"/>
            <w:r w:rsidRPr="00F23EAE">
              <w:rPr>
                <w:rFonts w:eastAsia="MS Mincho"/>
                <w:sz w:val="18"/>
                <w:szCs w:val="18"/>
              </w:rPr>
              <w:t>" monitoring requirements as set out in Table 1 of Annex 9A for compression ignition and dual-fuel engines and vehicles and in Table 2 of Annex 9A for positive ignition engines and vehicles.</w:t>
            </w:r>
          </w:p>
          <w:p w:rsidR="00F23EAE" w:rsidRPr="00F23EAE" w:rsidRDefault="00F23EAE" w:rsidP="00F23EAE">
            <w:pPr>
              <w:ind w:hanging="14"/>
              <w:jc w:val="both"/>
              <w:rPr>
                <w:rFonts w:eastAsia="MS Mincho"/>
                <w:sz w:val="18"/>
                <w:szCs w:val="18"/>
              </w:rPr>
            </w:pPr>
            <w:r w:rsidRPr="00F23EAE">
              <w:rPr>
                <w:rFonts w:eastAsia="MS Mincho"/>
                <w:sz w:val="18"/>
                <w:szCs w:val="18"/>
                <w:vertAlign w:val="superscript"/>
              </w:rPr>
              <w:t>2</w:t>
            </w:r>
            <w:r w:rsidRPr="00F23EAE">
              <w:rPr>
                <w:rFonts w:eastAsia="MS Mincho"/>
                <w:sz w:val="18"/>
                <w:szCs w:val="18"/>
              </w:rPr>
              <w:tab/>
              <w:t xml:space="preserve">"PM </w:t>
            </w:r>
            <w:proofErr w:type="spellStart"/>
            <w:r w:rsidRPr="00F23EAE">
              <w:rPr>
                <w:rFonts w:eastAsia="MS Mincho"/>
                <w:sz w:val="18"/>
                <w:szCs w:val="18"/>
              </w:rPr>
              <w:t>OTL</w:t>
            </w:r>
            <w:proofErr w:type="spellEnd"/>
            <w:r w:rsidRPr="00F23EAE">
              <w:rPr>
                <w:rFonts w:eastAsia="MS Mincho"/>
                <w:sz w:val="18"/>
                <w:szCs w:val="18"/>
              </w:rPr>
              <w:t>" monitoring requirements as set out in Table 1 of Annex 9A for compression ignition and dual-fuel engines and vehicles.</w:t>
            </w:r>
          </w:p>
          <w:p w:rsidR="00F23EAE" w:rsidRPr="00F23EAE" w:rsidRDefault="00F23EAE" w:rsidP="00F23EAE">
            <w:pPr>
              <w:ind w:hanging="14"/>
              <w:jc w:val="both"/>
              <w:rPr>
                <w:rFonts w:eastAsia="MS Mincho"/>
                <w:sz w:val="18"/>
                <w:szCs w:val="18"/>
              </w:rPr>
            </w:pPr>
            <w:r w:rsidRPr="00F23EAE">
              <w:rPr>
                <w:rFonts w:eastAsia="MS Mincho"/>
                <w:sz w:val="18"/>
                <w:szCs w:val="18"/>
                <w:vertAlign w:val="superscript"/>
              </w:rPr>
              <w:t>3</w:t>
            </w:r>
            <w:r w:rsidRPr="00F23EAE">
              <w:rPr>
                <w:rFonts w:eastAsia="MS Mincho"/>
                <w:sz w:val="18"/>
                <w:szCs w:val="18"/>
              </w:rPr>
              <w:tab/>
              <w:t xml:space="preserve">"Performance monitoring" requirements as set out in paragraph 2.3.2.2. </w:t>
            </w:r>
            <w:proofErr w:type="gramStart"/>
            <w:r w:rsidRPr="00F23EAE">
              <w:rPr>
                <w:rFonts w:eastAsia="MS Mincho"/>
                <w:sz w:val="18"/>
                <w:szCs w:val="18"/>
              </w:rPr>
              <w:t>of</w:t>
            </w:r>
            <w:proofErr w:type="gramEnd"/>
            <w:r w:rsidRPr="00F23EAE">
              <w:rPr>
                <w:rFonts w:eastAsia="MS Mincho"/>
                <w:sz w:val="18"/>
                <w:szCs w:val="18"/>
              </w:rPr>
              <w:t xml:space="preserve"> Annex 9A.</w:t>
            </w:r>
          </w:p>
          <w:p w:rsidR="00F23EAE" w:rsidRPr="00F23EAE" w:rsidRDefault="00F23EAE" w:rsidP="00F23EAE">
            <w:pPr>
              <w:ind w:hanging="14"/>
              <w:jc w:val="both"/>
              <w:rPr>
                <w:rFonts w:eastAsia="MS Mincho"/>
                <w:sz w:val="18"/>
                <w:szCs w:val="18"/>
              </w:rPr>
            </w:pPr>
            <w:r w:rsidRPr="00F23EAE">
              <w:rPr>
                <w:rFonts w:eastAsia="MS Mincho"/>
                <w:sz w:val="18"/>
                <w:szCs w:val="18"/>
                <w:vertAlign w:val="superscript"/>
              </w:rPr>
              <w:t>4</w:t>
            </w:r>
            <w:r w:rsidRPr="00F23EAE">
              <w:rPr>
                <w:rFonts w:eastAsia="MS Mincho"/>
                <w:sz w:val="18"/>
                <w:szCs w:val="18"/>
              </w:rPr>
              <w:tab/>
              <w:t xml:space="preserve">Reagent quality "phase-in" requirements as set out in paragraph 7.1.1.1. </w:t>
            </w:r>
            <w:proofErr w:type="gramStart"/>
            <w:r w:rsidRPr="00F23EAE">
              <w:rPr>
                <w:rFonts w:eastAsia="MS Mincho"/>
                <w:sz w:val="18"/>
                <w:szCs w:val="18"/>
              </w:rPr>
              <w:t>of</w:t>
            </w:r>
            <w:proofErr w:type="gramEnd"/>
            <w:r w:rsidRPr="00F23EAE">
              <w:rPr>
                <w:rFonts w:eastAsia="MS Mincho"/>
                <w:sz w:val="18"/>
                <w:szCs w:val="18"/>
              </w:rPr>
              <w:t xml:space="preserve"> Annex 11.</w:t>
            </w:r>
          </w:p>
          <w:p w:rsidR="00F23EAE" w:rsidRPr="00F23EAE" w:rsidRDefault="00F23EAE" w:rsidP="00F23EAE">
            <w:pPr>
              <w:ind w:hanging="14"/>
              <w:jc w:val="both"/>
              <w:rPr>
                <w:rFonts w:eastAsia="MS Mincho"/>
                <w:sz w:val="18"/>
                <w:szCs w:val="18"/>
              </w:rPr>
            </w:pPr>
            <w:r w:rsidRPr="00F23EAE">
              <w:rPr>
                <w:rFonts w:eastAsia="MS Mincho"/>
                <w:sz w:val="18"/>
                <w:szCs w:val="18"/>
                <w:vertAlign w:val="superscript"/>
              </w:rPr>
              <w:t>5</w:t>
            </w:r>
            <w:r w:rsidRPr="00F23EAE">
              <w:rPr>
                <w:rFonts w:eastAsia="MS Mincho"/>
                <w:sz w:val="18"/>
                <w:szCs w:val="18"/>
              </w:rPr>
              <w:tab/>
              <w:t xml:space="preserve">Reagent quality "general" requirements as set out in paragraph 7.1.1. </w:t>
            </w:r>
            <w:proofErr w:type="gramStart"/>
            <w:r w:rsidRPr="00F23EAE">
              <w:rPr>
                <w:rFonts w:eastAsia="MS Mincho"/>
                <w:sz w:val="18"/>
                <w:szCs w:val="18"/>
              </w:rPr>
              <w:t>of</w:t>
            </w:r>
            <w:proofErr w:type="gramEnd"/>
            <w:r w:rsidRPr="00F23EAE">
              <w:rPr>
                <w:rFonts w:eastAsia="MS Mincho"/>
                <w:sz w:val="18"/>
                <w:szCs w:val="18"/>
              </w:rPr>
              <w:t xml:space="preserve"> Annex 11.</w:t>
            </w:r>
          </w:p>
          <w:p w:rsidR="00F23EAE" w:rsidRPr="00F23EAE" w:rsidRDefault="00F23EAE" w:rsidP="00F23EAE">
            <w:pPr>
              <w:ind w:hanging="14"/>
              <w:jc w:val="both"/>
              <w:rPr>
                <w:rFonts w:eastAsia="MS Mincho"/>
                <w:sz w:val="18"/>
                <w:szCs w:val="18"/>
              </w:rPr>
            </w:pPr>
            <w:r w:rsidRPr="00F23EAE">
              <w:rPr>
                <w:rFonts w:eastAsia="MS Mincho"/>
                <w:sz w:val="18"/>
                <w:szCs w:val="18"/>
                <w:vertAlign w:val="superscript"/>
              </w:rPr>
              <w:t>6</w:t>
            </w:r>
            <w:r w:rsidRPr="00F23EAE">
              <w:rPr>
                <w:rFonts w:eastAsia="MS Mincho"/>
                <w:sz w:val="18"/>
                <w:szCs w:val="18"/>
              </w:rPr>
              <w:tab/>
              <w:t xml:space="preserve">"CO </w:t>
            </w:r>
            <w:proofErr w:type="spellStart"/>
            <w:r w:rsidRPr="00F23EAE">
              <w:rPr>
                <w:rFonts w:eastAsia="MS Mincho"/>
                <w:sz w:val="18"/>
                <w:szCs w:val="18"/>
              </w:rPr>
              <w:t>OTL</w:t>
            </w:r>
            <w:proofErr w:type="spellEnd"/>
            <w:r w:rsidRPr="00F23EAE">
              <w:rPr>
                <w:rFonts w:eastAsia="MS Mincho"/>
                <w:sz w:val="18"/>
                <w:szCs w:val="18"/>
              </w:rPr>
              <w:t>" monitoring requirements as set out in Table 2 of Annex 9A for positive ignition engines and vehicles.</w:t>
            </w:r>
          </w:p>
          <w:p w:rsidR="00F23EAE" w:rsidRPr="00F23EAE" w:rsidRDefault="00F23EAE" w:rsidP="00F23EAE">
            <w:pPr>
              <w:ind w:hanging="14"/>
              <w:jc w:val="both"/>
              <w:rPr>
                <w:rFonts w:eastAsia="MS Mincho"/>
                <w:sz w:val="18"/>
                <w:szCs w:val="18"/>
              </w:rPr>
            </w:pPr>
            <w:r w:rsidRPr="00F23EAE">
              <w:rPr>
                <w:rFonts w:eastAsia="MS Mincho"/>
                <w:sz w:val="18"/>
                <w:szCs w:val="18"/>
                <w:vertAlign w:val="superscript"/>
              </w:rPr>
              <w:t>7</w:t>
            </w:r>
            <w:r w:rsidRPr="00F23EAE">
              <w:rPr>
                <w:rFonts w:eastAsia="MS Mincho"/>
                <w:sz w:val="18"/>
                <w:szCs w:val="18"/>
              </w:rPr>
              <w:tab/>
              <w:t xml:space="preserve">Excluding the statement required by paragraph 6.4.1. </w:t>
            </w:r>
            <w:proofErr w:type="gramStart"/>
            <w:r w:rsidRPr="00F23EAE">
              <w:rPr>
                <w:rFonts w:eastAsia="MS Mincho"/>
                <w:sz w:val="18"/>
                <w:szCs w:val="18"/>
              </w:rPr>
              <w:t>of</w:t>
            </w:r>
            <w:proofErr w:type="gramEnd"/>
            <w:r w:rsidRPr="00F23EAE">
              <w:rPr>
                <w:rFonts w:eastAsia="MS Mincho"/>
                <w:sz w:val="18"/>
                <w:szCs w:val="18"/>
              </w:rPr>
              <w:t xml:space="preserve"> Annex 9A.</w:t>
            </w:r>
          </w:p>
          <w:p w:rsidR="00F23EAE" w:rsidRPr="00F23EAE" w:rsidRDefault="00F23EAE" w:rsidP="00F23EAE">
            <w:pPr>
              <w:ind w:hanging="14"/>
              <w:jc w:val="both"/>
              <w:rPr>
                <w:rFonts w:eastAsia="MS Mincho"/>
                <w:sz w:val="18"/>
                <w:szCs w:val="18"/>
              </w:rPr>
            </w:pPr>
            <w:r w:rsidRPr="00F23EAE">
              <w:rPr>
                <w:rFonts w:eastAsia="MS Mincho"/>
                <w:sz w:val="18"/>
                <w:szCs w:val="18"/>
                <w:vertAlign w:val="superscript"/>
              </w:rPr>
              <w:t>8</w:t>
            </w:r>
            <w:r w:rsidRPr="00F23EAE">
              <w:rPr>
                <w:rFonts w:eastAsia="MS Mincho"/>
                <w:sz w:val="18"/>
                <w:szCs w:val="18"/>
              </w:rPr>
              <w:tab/>
              <w:t xml:space="preserve">Including the statement required by paragraph 6.4.1. </w:t>
            </w:r>
            <w:proofErr w:type="gramStart"/>
            <w:r w:rsidRPr="00F23EAE">
              <w:rPr>
                <w:rFonts w:eastAsia="MS Mincho"/>
                <w:sz w:val="18"/>
                <w:szCs w:val="18"/>
              </w:rPr>
              <w:t>of</w:t>
            </w:r>
            <w:proofErr w:type="gramEnd"/>
            <w:r w:rsidRPr="00F23EAE">
              <w:rPr>
                <w:rFonts w:eastAsia="MS Mincho"/>
                <w:sz w:val="18"/>
                <w:szCs w:val="18"/>
              </w:rPr>
              <w:t xml:space="preserve"> Annex 9A.</w:t>
            </w:r>
          </w:p>
          <w:p w:rsidR="00F23EAE" w:rsidRPr="00F23EAE" w:rsidRDefault="00F23EAE" w:rsidP="00F23EAE">
            <w:pPr>
              <w:ind w:hanging="14"/>
              <w:jc w:val="both"/>
              <w:rPr>
                <w:rFonts w:eastAsia="MS Mincho"/>
                <w:sz w:val="18"/>
                <w:szCs w:val="18"/>
                <w:vertAlign w:val="superscript"/>
              </w:rPr>
            </w:pPr>
            <w:r w:rsidRPr="00F23EAE">
              <w:rPr>
                <w:rFonts w:eastAsia="MS Mincho"/>
                <w:sz w:val="18"/>
                <w:szCs w:val="18"/>
                <w:vertAlign w:val="superscript"/>
              </w:rPr>
              <w:t>9</w:t>
            </w:r>
            <w:r w:rsidRPr="00F23EAE">
              <w:rPr>
                <w:rFonts w:eastAsia="MS Mincho"/>
                <w:sz w:val="18"/>
                <w:szCs w:val="18"/>
                <w:vertAlign w:val="superscript"/>
              </w:rPr>
              <w:tab/>
            </w:r>
            <w:r w:rsidRPr="00F23EAE">
              <w:rPr>
                <w:rFonts w:eastAsia="MS Mincho"/>
                <w:sz w:val="18"/>
                <w:szCs w:val="18"/>
              </w:rPr>
              <w:t>For positive-ignition engines and vehicles.</w:t>
            </w:r>
          </w:p>
          <w:p w:rsidR="00F23EAE" w:rsidRPr="00F23EAE" w:rsidRDefault="00F23EAE" w:rsidP="00F23EAE">
            <w:pPr>
              <w:ind w:hanging="14"/>
              <w:jc w:val="both"/>
              <w:rPr>
                <w:rFonts w:eastAsia="MS Mincho"/>
                <w:sz w:val="18"/>
                <w:szCs w:val="18"/>
              </w:rPr>
            </w:pPr>
            <w:r w:rsidRPr="00F23EAE">
              <w:rPr>
                <w:rFonts w:eastAsia="MS Mincho"/>
                <w:sz w:val="18"/>
                <w:szCs w:val="18"/>
                <w:vertAlign w:val="superscript"/>
              </w:rPr>
              <w:t>10</w:t>
            </w:r>
            <w:r w:rsidRPr="00F23EAE">
              <w:rPr>
                <w:rFonts w:eastAsia="MS Mincho"/>
                <w:sz w:val="18"/>
                <w:szCs w:val="18"/>
                <w:vertAlign w:val="superscript"/>
              </w:rPr>
              <w:tab/>
            </w:r>
            <w:r w:rsidRPr="00F23EAE">
              <w:rPr>
                <w:rFonts w:eastAsia="MS Mincho"/>
                <w:sz w:val="18"/>
                <w:szCs w:val="18"/>
              </w:rPr>
              <w:t>For compression-ignition and dual-fuel engines and vehicles.</w:t>
            </w:r>
          </w:p>
          <w:p w:rsidR="00F23EAE" w:rsidRPr="00F23EAE" w:rsidRDefault="00F23EAE" w:rsidP="00F23EAE">
            <w:pPr>
              <w:ind w:hanging="14"/>
              <w:jc w:val="both"/>
              <w:rPr>
                <w:rFonts w:eastAsia="MS Mincho"/>
                <w:sz w:val="18"/>
                <w:szCs w:val="18"/>
              </w:rPr>
            </w:pPr>
            <w:r w:rsidRPr="00F23EAE">
              <w:rPr>
                <w:rFonts w:eastAsia="MS Mincho"/>
                <w:sz w:val="18"/>
                <w:szCs w:val="18"/>
                <w:vertAlign w:val="superscript"/>
              </w:rPr>
              <w:t>11</w:t>
            </w:r>
            <w:r w:rsidRPr="00F23EAE">
              <w:rPr>
                <w:rFonts w:eastAsia="MS Mincho"/>
                <w:sz w:val="18"/>
                <w:szCs w:val="18"/>
                <w:vertAlign w:val="superscript"/>
              </w:rPr>
              <w:tab/>
            </w:r>
            <w:r w:rsidRPr="00F23EAE">
              <w:rPr>
                <w:rFonts w:eastAsia="MS Mincho"/>
                <w:sz w:val="18"/>
                <w:szCs w:val="18"/>
              </w:rPr>
              <w:t>Only applicable to positive-ignition engines and vehicles.</w:t>
            </w:r>
          </w:p>
          <w:p w:rsidR="00F23EAE" w:rsidRPr="00F23EAE" w:rsidRDefault="00F23EAE" w:rsidP="00F23EAE">
            <w:pPr>
              <w:ind w:hanging="14"/>
              <w:jc w:val="both"/>
              <w:rPr>
                <w:rFonts w:eastAsia="MS Mincho"/>
                <w:sz w:val="18"/>
                <w:szCs w:val="18"/>
              </w:rPr>
            </w:pPr>
            <w:r w:rsidRPr="00F23EAE">
              <w:rPr>
                <w:rFonts w:eastAsia="MS Mincho"/>
                <w:sz w:val="18"/>
                <w:szCs w:val="18"/>
                <w:vertAlign w:val="superscript"/>
              </w:rPr>
              <w:t>12</w:t>
            </w:r>
            <w:r w:rsidRPr="00F23EAE">
              <w:rPr>
                <w:rFonts w:eastAsia="MS Mincho"/>
                <w:sz w:val="18"/>
                <w:szCs w:val="18"/>
              </w:rPr>
              <w:tab/>
              <w:t xml:space="preserve">"Additional provisions concerning monitoring requirements" as set out in paragraph 2.3.1.2. </w:t>
            </w:r>
            <w:proofErr w:type="gramStart"/>
            <w:r w:rsidRPr="00F23EAE">
              <w:rPr>
                <w:rFonts w:eastAsia="MS Mincho"/>
                <w:sz w:val="18"/>
                <w:szCs w:val="18"/>
              </w:rPr>
              <w:t>of</w:t>
            </w:r>
            <w:proofErr w:type="gramEnd"/>
            <w:r w:rsidRPr="00F23EAE">
              <w:rPr>
                <w:rFonts w:eastAsia="MS Mincho"/>
                <w:sz w:val="18"/>
                <w:szCs w:val="18"/>
              </w:rPr>
              <w:t xml:space="preserve"> Annex 9A.</w:t>
            </w:r>
          </w:p>
          <w:p w:rsidR="00F23EAE" w:rsidRPr="00F23EAE" w:rsidRDefault="00F23EAE" w:rsidP="00F23EAE">
            <w:pPr>
              <w:suppressAutoHyphens w:val="0"/>
              <w:autoSpaceDE w:val="0"/>
              <w:autoSpaceDN w:val="0"/>
              <w:adjustRightInd w:val="0"/>
              <w:spacing w:line="240" w:lineRule="auto"/>
              <w:rPr>
                <w:bCs/>
                <w:color w:val="000000"/>
                <w:sz w:val="18"/>
                <w:szCs w:val="18"/>
                <w:vertAlign w:val="superscript"/>
                <w:lang w:eastAsia="en-GB"/>
              </w:rPr>
            </w:pPr>
            <w:r w:rsidRPr="00F23EAE">
              <w:rPr>
                <w:sz w:val="18"/>
                <w:szCs w:val="18"/>
                <w:vertAlign w:val="superscript"/>
              </w:rPr>
              <w:t>13</w:t>
            </w:r>
            <w:r w:rsidRPr="00F23EAE">
              <w:rPr>
                <w:sz w:val="18"/>
                <w:szCs w:val="18"/>
              </w:rPr>
              <w:tab/>
            </w:r>
            <w:proofErr w:type="spellStart"/>
            <w:r w:rsidRPr="00F23EAE">
              <w:rPr>
                <w:sz w:val="18"/>
                <w:szCs w:val="18"/>
              </w:rPr>
              <w:t>IUPR</w:t>
            </w:r>
            <w:proofErr w:type="spellEnd"/>
            <w:r w:rsidRPr="00F23EAE">
              <w:rPr>
                <w:sz w:val="18"/>
                <w:szCs w:val="18"/>
              </w:rPr>
              <w:t xml:space="preserve"> specifications are set out in Annexes 9A and 9C of this Regulation. PI engines are not subjected to </w:t>
            </w:r>
            <w:proofErr w:type="spellStart"/>
            <w:r w:rsidRPr="00F23EAE">
              <w:rPr>
                <w:sz w:val="18"/>
                <w:szCs w:val="18"/>
              </w:rPr>
              <w:t>IUPR</w:t>
            </w:r>
            <w:proofErr w:type="spellEnd"/>
            <w:r w:rsidRPr="00F23EAE">
              <w:rPr>
                <w:sz w:val="18"/>
                <w:szCs w:val="18"/>
              </w:rPr>
              <w:t>.</w:t>
            </w:r>
            <w:r w:rsidRPr="00F23EAE">
              <w:rPr>
                <w:bCs/>
                <w:color w:val="000000"/>
                <w:sz w:val="18"/>
                <w:szCs w:val="18"/>
              </w:rPr>
              <w:t>"</w:t>
            </w:r>
          </w:p>
        </w:tc>
      </w:tr>
    </w:tbl>
    <w:p w:rsidR="00F23EAE" w:rsidRPr="00F23EAE" w:rsidRDefault="00F23EAE" w:rsidP="00F23EAE">
      <w:pPr>
        <w:ind w:hanging="14"/>
        <w:jc w:val="both"/>
      </w:pPr>
    </w:p>
    <w:p w:rsidR="00F23EAE" w:rsidRPr="00F23EAE" w:rsidRDefault="00F23EAE" w:rsidP="00F23EAE">
      <w:pPr>
        <w:tabs>
          <w:tab w:val="left" w:pos="2160"/>
        </w:tabs>
        <w:spacing w:after="120"/>
        <w:ind w:left="2174" w:right="1138" w:hanging="2084"/>
        <w:jc w:val="both"/>
        <w:sectPr w:rsidR="00F23EAE" w:rsidRPr="00F23EAE" w:rsidSect="00C159BE">
          <w:headerReference w:type="even" r:id="rId15"/>
          <w:footerReference w:type="even" r:id="rId16"/>
          <w:headerReference w:type="first" r:id="rId17"/>
          <w:footerReference w:type="first" r:id="rId18"/>
          <w:endnotePr>
            <w:numFmt w:val="decimal"/>
          </w:endnotePr>
          <w:pgSz w:w="16840" w:h="11907" w:orient="landscape" w:code="9"/>
          <w:pgMar w:top="1134" w:right="1701" w:bottom="1134" w:left="2268" w:header="567" w:footer="567" w:gutter="0"/>
          <w:pgNumType w:start="4"/>
          <w:cols w:space="720"/>
          <w:docGrid w:linePitch="272"/>
        </w:sectPr>
      </w:pPr>
    </w:p>
    <w:p w:rsidR="00C81C30" w:rsidRDefault="00C81C30" w:rsidP="00F23EAE">
      <w:pPr>
        <w:tabs>
          <w:tab w:val="left" w:pos="2160"/>
        </w:tabs>
        <w:spacing w:after="120"/>
        <w:ind w:left="1134" w:right="1134"/>
        <w:jc w:val="both"/>
        <w:rPr>
          <w:i/>
        </w:rPr>
      </w:pPr>
    </w:p>
    <w:p w:rsidR="00F23EAE" w:rsidRPr="00F23EAE" w:rsidRDefault="00F23EAE" w:rsidP="00F23EAE">
      <w:pPr>
        <w:tabs>
          <w:tab w:val="left" w:pos="2160"/>
        </w:tabs>
        <w:spacing w:after="120"/>
        <w:ind w:left="1134" w:right="1134"/>
        <w:jc w:val="both"/>
        <w:rPr>
          <w:i/>
        </w:rPr>
      </w:pPr>
      <w:r w:rsidRPr="00F23EAE">
        <w:rPr>
          <w:i/>
        </w:rPr>
        <w:t>Annex 9A</w:t>
      </w:r>
      <w:r w:rsidR="00945855">
        <w:rPr>
          <w:i/>
        </w:rPr>
        <w:t>,</w:t>
      </w:r>
    </w:p>
    <w:p w:rsidR="00F23EAE" w:rsidRPr="00F23EAE" w:rsidRDefault="00F23EAE" w:rsidP="00F23EAE">
      <w:pPr>
        <w:tabs>
          <w:tab w:val="left" w:pos="2160"/>
        </w:tabs>
        <w:spacing w:after="120"/>
        <w:ind w:left="1134" w:right="1134"/>
        <w:jc w:val="both"/>
      </w:pPr>
      <w:r w:rsidRPr="00F23EAE">
        <w:rPr>
          <w:i/>
        </w:rPr>
        <w:t>Paragraph 2.2.,</w:t>
      </w:r>
      <w:r w:rsidRPr="00F23EAE">
        <w:t xml:space="preserve"> amend to read:</w:t>
      </w:r>
    </w:p>
    <w:p w:rsidR="00F23EAE" w:rsidRPr="00F23EAE" w:rsidRDefault="00F23EAE" w:rsidP="00F23EAE">
      <w:pPr>
        <w:spacing w:after="120"/>
        <w:ind w:left="2268" w:right="1134" w:hanging="1134"/>
        <w:jc w:val="both"/>
        <w:rPr>
          <w:rFonts w:eastAsia="MS Mincho"/>
        </w:rPr>
      </w:pPr>
      <w:proofErr w:type="gramStart"/>
      <w:r w:rsidRPr="00F23EAE">
        <w:rPr>
          <w:rFonts w:eastAsia="MS Mincho"/>
        </w:rPr>
        <w:t>"2.2.</w:t>
      </w:r>
      <w:r w:rsidRPr="00F23EAE">
        <w:rPr>
          <w:rFonts w:eastAsia="MS Mincho"/>
        </w:rPr>
        <w:tab/>
        <w:t>Requirements regarding operating sequences and driving cycles for hybrid vehicles and vehicles with stop-start systems."</w:t>
      </w:r>
      <w:proofErr w:type="gramEnd"/>
    </w:p>
    <w:p w:rsidR="00F23EAE" w:rsidRPr="00F23EAE" w:rsidRDefault="00F23EAE" w:rsidP="00F23EAE">
      <w:pPr>
        <w:spacing w:before="120" w:after="120"/>
        <w:ind w:left="1134" w:right="1134"/>
        <w:jc w:val="both"/>
      </w:pPr>
      <w:r w:rsidRPr="00F23EAE">
        <w:rPr>
          <w:i/>
        </w:rPr>
        <w:t xml:space="preserve">Insert new paragraphs 2.2.1. </w:t>
      </w:r>
      <w:proofErr w:type="gramStart"/>
      <w:r w:rsidRPr="00F23EAE">
        <w:rPr>
          <w:i/>
        </w:rPr>
        <w:t>to</w:t>
      </w:r>
      <w:proofErr w:type="gramEnd"/>
      <w:r w:rsidRPr="00F23EAE">
        <w:rPr>
          <w:i/>
        </w:rPr>
        <w:t xml:space="preserve"> 2.2.2.3.</w:t>
      </w:r>
      <w:r w:rsidRPr="00F23EAE">
        <w:t>, to read:</w:t>
      </w:r>
    </w:p>
    <w:p w:rsidR="00F23EAE" w:rsidRPr="00F23EAE" w:rsidRDefault="00F23EAE" w:rsidP="00F23EAE">
      <w:pPr>
        <w:spacing w:after="120"/>
        <w:ind w:left="2268" w:right="1134" w:hanging="1134"/>
        <w:jc w:val="both"/>
      </w:pPr>
      <w:r w:rsidRPr="00F23EAE">
        <w:t>"2.2.1.</w:t>
      </w:r>
      <w:r w:rsidRPr="00F23EAE">
        <w:tab/>
        <w:t xml:space="preserve">Operating sequence </w:t>
      </w:r>
    </w:p>
    <w:p w:rsidR="00F23EAE" w:rsidRPr="00F23EAE" w:rsidRDefault="00F23EAE" w:rsidP="00F23EAE">
      <w:pPr>
        <w:spacing w:after="120"/>
        <w:ind w:left="2268" w:right="1134" w:hanging="1134"/>
        <w:jc w:val="both"/>
      </w:pPr>
      <w:r w:rsidRPr="00F23EAE">
        <w:t>2.2.1.1.</w:t>
      </w:r>
      <w:r w:rsidRPr="00F23EAE">
        <w:tab/>
        <w:t>For vehicles that employ engine shut-off strategies that are commanded by the engine control system (for example hybrid bus with engine shut-off at idle) and that are followed by an engine cranking, the (engine shut-off – engine cranking) sequence shall be considered as part of the existing operating sequence.</w:t>
      </w:r>
    </w:p>
    <w:p w:rsidR="00F23EAE" w:rsidRPr="00F23EAE" w:rsidRDefault="00F23EAE" w:rsidP="00F23EAE">
      <w:pPr>
        <w:spacing w:after="120"/>
        <w:ind w:left="2268" w:right="1134" w:hanging="1134"/>
        <w:jc w:val="both"/>
      </w:pPr>
      <w:r w:rsidRPr="00F23EAE">
        <w:t>2.2.1.2.</w:t>
      </w:r>
      <w:r w:rsidRPr="00F23EAE">
        <w:tab/>
        <w:t>The manufacturer shall provide the description of such strategies in the documentation considered in paragraphs 3.1.3. (</w:t>
      </w:r>
      <w:proofErr w:type="gramStart"/>
      <w:r w:rsidRPr="00F23EAE">
        <w:t>a</w:t>
      </w:r>
      <w:proofErr w:type="gramEnd"/>
      <w:r w:rsidRPr="00F23EAE">
        <w:t xml:space="preserve">) and 3.1.3. (b) </w:t>
      </w:r>
      <w:proofErr w:type="gramStart"/>
      <w:r w:rsidRPr="00F23EAE">
        <w:t>of</w:t>
      </w:r>
      <w:proofErr w:type="gramEnd"/>
      <w:r w:rsidRPr="00F23EAE">
        <w:t xml:space="preserve"> this Regulation.</w:t>
      </w:r>
    </w:p>
    <w:p w:rsidR="00F23EAE" w:rsidRPr="00F23EAE" w:rsidRDefault="00F23EAE" w:rsidP="00F23EAE">
      <w:pPr>
        <w:spacing w:after="120"/>
        <w:ind w:left="2268" w:right="1134" w:hanging="1134"/>
        <w:jc w:val="both"/>
      </w:pPr>
      <w:r w:rsidRPr="00F23EAE">
        <w:t>2.2.1.3.</w:t>
      </w:r>
      <w:r w:rsidRPr="00F23EAE">
        <w:tab/>
        <w:t>In the case of a hybrid vehicle, the operating sequence shall start at the time of the engine start or at the time when the vehicle starts moving, whichever occurs first.</w:t>
      </w:r>
    </w:p>
    <w:p w:rsidR="00F23EAE" w:rsidRPr="00F23EAE" w:rsidRDefault="00F23EAE" w:rsidP="00F23EAE">
      <w:pPr>
        <w:spacing w:after="120"/>
        <w:ind w:left="2268" w:right="1134" w:hanging="1134"/>
        <w:jc w:val="both"/>
      </w:pPr>
      <w:r w:rsidRPr="00F23EAE">
        <w:t>2.2.2.</w:t>
      </w:r>
      <w:r w:rsidRPr="00F23EAE">
        <w:tab/>
        <w:t>Driving cycle</w:t>
      </w:r>
    </w:p>
    <w:p w:rsidR="00F23EAE" w:rsidRPr="00F23EAE" w:rsidRDefault="00F23EAE" w:rsidP="00F23EAE">
      <w:pPr>
        <w:spacing w:after="120"/>
        <w:ind w:left="2268" w:right="1134" w:hanging="1134"/>
        <w:jc w:val="both"/>
      </w:pPr>
      <w:r w:rsidRPr="00F23EAE">
        <w:t>2.2.2.1.</w:t>
      </w:r>
      <w:r w:rsidRPr="00F23EAE">
        <w:tab/>
        <w:t xml:space="preserve">For vehicles that employ engine shut-off strategies that are commanded by the engine control system (for example hybrid bus with engine shut-off at idle) and that are followed by an engine cranking, the (engine shut-off – engine cranking) sequence shall be considered as part of the existing driving cycle. </w:t>
      </w:r>
    </w:p>
    <w:p w:rsidR="00F23EAE" w:rsidRPr="00F23EAE" w:rsidRDefault="00F23EAE" w:rsidP="00F23EAE">
      <w:pPr>
        <w:spacing w:after="120"/>
        <w:ind w:left="2268" w:right="1134" w:hanging="1134"/>
        <w:jc w:val="both"/>
      </w:pPr>
      <w:r w:rsidRPr="00F23EAE">
        <w:t>2.2.2.2.</w:t>
      </w:r>
      <w:r w:rsidRPr="00F23EAE">
        <w:tab/>
        <w:t>The manufacturer shall provide the description of such strategies in the documentation considered in paragraphs 3.1.3. (</w:t>
      </w:r>
      <w:proofErr w:type="gramStart"/>
      <w:r w:rsidRPr="00F23EAE">
        <w:t>a</w:t>
      </w:r>
      <w:proofErr w:type="gramEnd"/>
      <w:r w:rsidRPr="00F23EAE">
        <w:t xml:space="preserve">) and 3.1.3. (b) </w:t>
      </w:r>
      <w:proofErr w:type="gramStart"/>
      <w:r w:rsidRPr="00F23EAE">
        <w:t>of</w:t>
      </w:r>
      <w:proofErr w:type="gramEnd"/>
      <w:r w:rsidRPr="00F23EAE">
        <w:t xml:space="preserve"> this Regulation.</w:t>
      </w:r>
    </w:p>
    <w:p w:rsidR="00F23EAE" w:rsidRPr="00F23EAE" w:rsidRDefault="00F23EAE" w:rsidP="00F23EAE">
      <w:pPr>
        <w:spacing w:after="120"/>
        <w:ind w:left="2268" w:right="1134" w:hanging="1134"/>
        <w:jc w:val="both"/>
      </w:pPr>
      <w:r w:rsidRPr="00F23EAE">
        <w:t>2.2.2.3.</w:t>
      </w:r>
      <w:r w:rsidRPr="00F23EAE">
        <w:tab/>
        <w:t>In the case of a hybrid vehicle, the driving cycle shall start at the time of the engine start or at the time when the vehicle starts moving, whichever occurs first."</w:t>
      </w:r>
    </w:p>
    <w:p w:rsidR="00F23EAE" w:rsidRPr="00F23EAE" w:rsidRDefault="00F23EAE" w:rsidP="00F23EAE">
      <w:pPr>
        <w:tabs>
          <w:tab w:val="left" w:pos="2160"/>
        </w:tabs>
        <w:spacing w:after="120"/>
        <w:ind w:left="2174" w:right="1138" w:hanging="1040"/>
        <w:jc w:val="both"/>
        <w:rPr>
          <w:rFonts w:eastAsia="MS Mincho"/>
          <w:noProof/>
        </w:rPr>
      </w:pPr>
      <w:r w:rsidRPr="00F23EAE">
        <w:rPr>
          <w:rFonts w:eastAsia="MS Mincho"/>
          <w:i/>
          <w:noProof/>
        </w:rPr>
        <w:t xml:space="preserve">Paragraph 2.3.2.2., </w:t>
      </w:r>
      <w:r w:rsidRPr="00F23EAE">
        <w:rPr>
          <w:rFonts w:eastAsia="MS Mincho"/>
          <w:noProof/>
        </w:rPr>
        <w:t>amend to read:</w:t>
      </w:r>
    </w:p>
    <w:p w:rsidR="00F23EAE" w:rsidRPr="00F23EAE" w:rsidRDefault="00F23EAE" w:rsidP="00F23EAE">
      <w:pPr>
        <w:spacing w:after="120"/>
        <w:ind w:left="2268" w:right="1134" w:hanging="1134"/>
        <w:jc w:val="both"/>
        <w:rPr>
          <w:rFonts w:eastAsia="MS Mincho"/>
          <w:spacing w:val="-2"/>
        </w:rPr>
      </w:pPr>
      <w:r w:rsidRPr="00F23EAE">
        <w:rPr>
          <w:rFonts w:eastAsia="MS Mincho"/>
          <w:spacing w:val="-2"/>
        </w:rPr>
        <w:t>"2.3.2.2.</w:t>
      </w:r>
      <w:r w:rsidRPr="00F23EAE">
        <w:rPr>
          <w:rFonts w:eastAsia="MS Mincho"/>
          <w:spacing w:val="-2"/>
        </w:rPr>
        <w:tab/>
        <w:t>In the case of a wall flow diesel particulate filter (</w:t>
      </w:r>
      <w:proofErr w:type="spellStart"/>
      <w:r w:rsidRPr="00F23EAE">
        <w:rPr>
          <w:rFonts w:eastAsia="MS Mincho"/>
          <w:spacing w:val="-2"/>
        </w:rPr>
        <w:t>DPF</w:t>
      </w:r>
      <w:proofErr w:type="spellEnd"/>
      <w:r w:rsidRPr="00F23EAE">
        <w:rPr>
          <w:rFonts w:eastAsia="MS Mincho"/>
          <w:spacing w:val="-2"/>
        </w:rPr>
        <w:t xml:space="preserve">), until the date specified in paragraph 13.2.3. </w:t>
      </w:r>
      <w:proofErr w:type="gramStart"/>
      <w:r w:rsidRPr="00F23EAE">
        <w:rPr>
          <w:rFonts w:eastAsia="MS Mincho"/>
          <w:spacing w:val="-2"/>
        </w:rPr>
        <w:t>of</w:t>
      </w:r>
      <w:proofErr w:type="gramEnd"/>
      <w:r w:rsidRPr="00F23EAE">
        <w:rPr>
          <w:rFonts w:eastAsia="MS Mincho"/>
          <w:spacing w:val="-2"/>
        </w:rPr>
        <w:t xml:space="preserve"> this Regulation for new type approvals and paragraph 13.3.3. for new registrations, the manufacturer may choose to apply the performance monitoring requirements set out in Appendix 8 to Annex 9B instead of the requirements of paragraph 2.3.2.1., if he can demonstrate with technical documentation that in case of deterioration there is a positive correlation between the loss of filtration efficiency and the loss of pressure drop ("delta pressure") across the </w:t>
      </w:r>
      <w:proofErr w:type="spellStart"/>
      <w:r w:rsidRPr="00F23EAE">
        <w:rPr>
          <w:rFonts w:eastAsia="MS Mincho"/>
          <w:spacing w:val="-2"/>
        </w:rPr>
        <w:t>DPF</w:t>
      </w:r>
      <w:proofErr w:type="spellEnd"/>
      <w:r w:rsidRPr="00F23EAE">
        <w:rPr>
          <w:rFonts w:eastAsia="MS Mincho"/>
          <w:spacing w:val="-2"/>
        </w:rPr>
        <w:t xml:space="preserve"> under the operating conditions of the engine specified in the test described in Appendix 8 to Annex 9B."</w:t>
      </w:r>
    </w:p>
    <w:p w:rsidR="00F23EAE" w:rsidRPr="00F23EAE" w:rsidRDefault="00F23EAE" w:rsidP="00F23EAE">
      <w:pPr>
        <w:tabs>
          <w:tab w:val="left" w:pos="2160"/>
        </w:tabs>
        <w:spacing w:after="120"/>
        <w:ind w:left="2160" w:right="1134" w:hanging="1026"/>
        <w:jc w:val="both"/>
      </w:pPr>
      <w:r w:rsidRPr="00F23EAE">
        <w:rPr>
          <w:i/>
        </w:rPr>
        <w:t>Paragraph 2.4.1., including footnote</w:t>
      </w:r>
      <w:r w:rsidR="00C81C30">
        <w:rPr>
          <w:i/>
        </w:rPr>
        <w:t xml:space="preserve"> 1</w:t>
      </w:r>
      <w:r w:rsidRPr="00F23EAE">
        <w:rPr>
          <w:i/>
        </w:rPr>
        <w:t>,</w:t>
      </w:r>
      <w:r w:rsidRPr="00F23EAE">
        <w:t xml:space="preserve"> amend to read:</w:t>
      </w:r>
    </w:p>
    <w:p w:rsidR="00F23EAE" w:rsidRPr="00F23EAE" w:rsidRDefault="00F23EAE" w:rsidP="00F23EAE">
      <w:pPr>
        <w:spacing w:after="120"/>
        <w:ind w:left="2268" w:right="1134" w:hanging="1134"/>
        <w:jc w:val="both"/>
        <w:rPr>
          <w:b/>
        </w:rPr>
      </w:pPr>
      <w:r w:rsidRPr="00F23EAE">
        <w:t>"2.4.1.</w:t>
      </w:r>
      <w:r w:rsidRPr="00F23EAE">
        <w:tab/>
        <w:t>If requested by the manufacturer, for vehicles of categories M</w:t>
      </w:r>
      <w:r w:rsidRPr="00F23EAE">
        <w:rPr>
          <w:vertAlign w:val="subscript"/>
        </w:rPr>
        <w:t>2</w:t>
      </w:r>
      <w:r w:rsidRPr="00F23EAE">
        <w:t xml:space="preserve"> and N</w:t>
      </w:r>
      <w:r w:rsidRPr="00F23EAE">
        <w:rPr>
          <w:vertAlign w:val="subscript"/>
        </w:rPr>
        <w:t>1</w:t>
      </w:r>
      <w:r w:rsidRPr="00F23EAE">
        <w:t>, for vehicles of categories M</w:t>
      </w:r>
      <w:r w:rsidRPr="00F23EAE">
        <w:rPr>
          <w:vertAlign w:val="subscript"/>
        </w:rPr>
        <w:t>1</w:t>
      </w:r>
      <w:r w:rsidRPr="00F23EAE">
        <w:t xml:space="preserve"> and N</w:t>
      </w:r>
      <w:r w:rsidRPr="00F23EAE">
        <w:rPr>
          <w:vertAlign w:val="subscript"/>
        </w:rPr>
        <w:t>2</w:t>
      </w:r>
      <w:r w:rsidRPr="00F23EAE">
        <w:t xml:space="preserve"> with a technically permissible maximum laden mass not exceeding 7.5 tonnes, and for vehicles of category M</w:t>
      </w:r>
      <w:r w:rsidRPr="00F23EAE">
        <w:rPr>
          <w:vertAlign w:val="subscript"/>
        </w:rPr>
        <w:t>3</w:t>
      </w:r>
      <w:r w:rsidRPr="00F23EAE">
        <w:t xml:space="preserve"> Class I, Class II and Class</w:t>
      </w:r>
      <w:r w:rsidR="00C81C30">
        <w:t>es</w:t>
      </w:r>
      <w:r w:rsidRPr="00F23EAE">
        <w:t xml:space="preserve"> A and B</w:t>
      </w:r>
      <w:r w:rsidRPr="00F23EAE">
        <w:rPr>
          <w:vertAlign w:val="superscript"/>
        </w:rPr>
        <w:t>1</w:t>
      </w:r>
      <w:r w:rsidRPr="00F23EAE">
        <w:t xml:space="preserve"> with a permissible mass not exceeding 7.5 tonnes, compliance with the requirements of Annex 11 to the 07 series of amendments to Regulation No. 83 shall be considered equivalent to the compliance with this </w:t>
      </w:r>
      <w:r w:rsidR="00C81C30">
        <w:t>a</w:t>
      </w:r>
      <w:r w:rsidR="00C81C30" w:rsidRPr="00F23EAE">
        <w:t>nnex</w:t>
      </w:r>
      <w:r w:rsidRPr="00F23EAE">
        <w:t>, according to the following equivalences:</w:t>
      </w:r>
    </w:p>
    <w:p w:rsidR="00F23EAE" w:rsidRPr="00F23EAE" w:rsidRDefault="00F23EAE" w:rsidP="00F23EAE">
      <w:pPr>
        <w:ind w:left="2268" w:right="1134" w:hanging="1134"/>
        <w:jc w:val="both"/>
        <w:rPr>
          <w:u w:val="single"/>
        </w:rPr>
      </w:pPr>
      <w:r w:rsidRPr="00F23EAE">
        <w:separator/>
      </w:r>
    </w:p>
    <w:p w:rsidR="00F23EAE" w:rsidRPr="00F23EAE" w:rsidRDefault="00F23EAE" w:rsidP="00F23EAE">
      <w:pPr>
        <w:tabs>
          <w:tab w:val="left" w:pos="1418"/>
        </w:tabs>
        <w:spacing w:after="120"/>
        <w:ind w:left="1134" w:right="1134"/>
        <w:rPr>
          <w:sz w:val="18"/>
          <w:szCs w:val="18"/>
        </w:rPr>
      </w:pPr>
      <w:r w:rsidRPr="00F23EAE">
        <w:rPr>
          <w:sz w:val="18"/>
          <w:szCs w:val="18"/>
          <w:vertAlign w:val="superscript"/>
        </w:rPr>
        <w:t>1</w:t>
      </w:r>
      <w:r w:rsidRPr="00F23EAE">
        <w:rPr>
          <w:sz w:val="18"/>
          <w:szCs w:val="18"/>
        </w:rPr>
        <w:tab/>
      </w:r>
      <w:r w:rsidRPr="00F23EAE">
        <w:rPr>
          <w:sz w:val="18"/>
          <w:szCs w:val="18"/>
          <w:lang w:val="en-US"/>
        </w:rPr>
        <w:t xml:space="preserve">As defined in the Consolidated Resolution on the Construction of Vehicles (R.E.3.), document </w:t>
      </w:r>
      <w:proofErr w:type="spellStart"/>
      <w:r w:rsidRPr="00F23EAE">
        <w:rPr>
          <w:sz w:val="18"/>
          <w:szCs w:val="18"/>
          <w:lang w:val="en-US"/>
        </w:rPr>
        <w:t>ECE</w:t>
      </w:r>
      <w:proofErr w:type="spellEnd"/>
      <w:r w:rsidRPr="00F23EAE">
        <w:rPr>
          <w:sz w:val="18"/>
          <w:szCs w:val="18"/>
          <w:lang w:val="en-US"/>
        </w:rPr>
        <w:t xml:space="preserve">/TRANS/WP.29/78/Rev.3, para. 2. </w:t>
      </w:r>
      <w:r w:rsidRPr="00F23EAE">
        <w:rPr>
          <w:sz w:val="18"/>
          <w:szCs w:val="18"/>
        </w:rPr>
        <w:t xml:space="preserve">- </w:t>
      </w:r>
      <w:hyperlink r:id="rId19" w:history="1">
        <w:r w:rsidRPr="00F23EAE">
          <w:rPr>
            <w:sz w:val="18"/>
            <w:szCs w:val="18"/>
          </w:rPr>
          <w:t>www.unece.org/trans/main/wp29/wp29wgs/wp29gen/wp29resolutions.html</w:t>
        </w:r>
      </w:hyperlink>
      <w:r w:rsidRPr="00F23EAE">
        <w:t>"</w:t>
      </w:r>
    </w:p>
    <w:p w:rsidR="00F23EAE" w:rsidRPr="00F23EAE" w:rsidRDefault="00F23EAE" w:rsidP="00F23EAE">
      <w:pPr>
        <w:tabs>
          <w:tab w:val="left" w:pos="1440"/>
          <w:tab w:val="left" w:pos="2160"/>
        </w:tabs>
        <w:spacing w:after="120"/>
        <w:ind w:left="1440" w:right="1134" w:hanging="306"/>
        <w:jc w:val="both"/>
      </w:pPr>
      <w:r w:rsidRPr="00F23EAE">
        <w:rPr>
          <w:i/>
        </w:rPr>
        <w:t xml:space="preserve">Insert new paragraphs 2.4.1.1. </w:t>
      </w:r>
      <w:proofErr w:type="gramStart"/>
      <w:r w:rsidRPr="00F23EAE">
        <w:rPr>
          <w:i/>
        </w:rPr>
        <w:t>to</w:t>
      </w:r>
      <w:proofErr w:type="gramEnd"/>
      <w:r w:rsidRPr="00F23EAE">
        <w:rPr>
          <w:i/>
        </w:rPr>
        <w:t xml:space="preserve"> 2.4.1.3.2.2.,</w:t>
      </w:r>
      <w:r w:rsidRPr="00F23EAE">
        <w:t xml:space="preserve"> to read:</w:t>
      </w:r>
    </w:p>
    <w:p w:rsidR="00F23EAE" w:rsidRPr="00F23EAE" w:rsidRDefault="00F23EAE" w:rsidP="00F23EAE">
      <w:pPr>
        <w:spacing w:after="120"/>
        <w:ind w:left="2268" w:right="1134" w:hanging="1134"/>
        <w:jc w:val="both"/>
      </w:pPr>
      <w:r w:rsidRPr="00F23EAE">
        <w:t>"2.4.1.1.</w:t>
      </w:r>
      <w:r w:rsidRPr="00F23EAE">
        <w:tab/>
        <w:t xml:space="preserve">The </w:t>
      </w:r>
      <w:proofErr w:type="spellStart"/>
      <w:r w:rsidRPr="00F23EAE">
        <w:t>OBD</w:t>
      </w:r>
      <w:proofErr w:type="spellEnd"/>
      <w:r w:rsidRPr="00F23EAE">
        <w:t xml:space="preserve"> standard "Interim </w:t>
      </w:r>
      <w:proofErr w:type="spellStart"/>
      <w:r w:rsidRPr="00F23EAE">
        <w:t>OBD</w:t>
      </w:r>
      <w:proofErr w:type="spellEnd"/>
      <w:r w:rsidRPr="00F23EAE">
        <w:t xml:space="preserve"> threshold limits" in Table A11/3 of Annex 11 to the 07 series of amendments to Regulation No. 83 shall be considered as equivalent to the character A of the Table 1 of Annex 3 to this Regulation.</w:t>
      </w:r>
    </w:p>
    <w:p w:rsidR="00F23EAE" w:rsidRPr="00F23EAE" w:rsidRDefault="00F23EAE" w:rsidP="00F23EAE">
      <w:pPr>
        <w:spacing w:after="120"/>
        <w:ind w:left="2268" w:right="1134" w:hanging="1134"/>
        <w:jc w:val="both"/>
      </w:pPr>
      <w:r w:rsidRPr="00F23EAE">
        <w:t>2.4.1.2.</w:t>
      </w:r>
      <w:r w:rsidRPr="00F23EAE">
        <w:tab/>
        <w:t xml:space="preserve">The </w:t>
      </w:r>
      <w:proofErr w:type="spellStart"/>
      <w:r w:rsidRPr="00F23EAE">
        <w:t>OBD</w:t>
      </w:r>
      <w:proofErr w:type="spellEnd"/>
      <w:r w:rsidRPr="00F23EAE">
        <w:t xml:space="preserve"> standard "Preliminary </w:t>
      </w:r>
      <w:proofErr w:type="spellStart"/>
      <w:r w:rsidRPr="00F23EAE">
        <w:t>OBD</w:t>
      </w:r>
      <w:proofErr w:type="spellEnd"/>
      <w:r w:rsidRPr="00F23EAE">
        <w:t xml:space="preserve"> threshold limits" in Table A11/2 of Annex 11 to the 07 series of amendments to Regulation No. 83 shall be considered as equivalent to the character B of the Table 1 of Annex 3 to this Regulation.</w:t>
      </w:r>
    </w:p>
    <w:p w:rsidR="00F23EAE" w:rsidRPr="00F23EAE" w:rsidRDefault="00F23EAE" w:rsidP="00F23EAE">
      <w:pPr>
        <w:spacing w:after="120"/>
        <w:ind w:left="2268" w:right="1134" w:hanging="1134"/>
        <w:jc w:val="both"/>
      </w:pPr>
      <w:r w:rsidRPr="00F23EAE">
        <w:t>2.4.1.3.</w:t>
      </w:r>
      <w:r w:rsidRPr="00F23EAE">
        <w:tab/>
        <w:t xml:space="preserve">The </w:t>
      </w:r>
      <w:proofErr w:type="spellStart"/>
      <w:r w:rsidRPr="00F23EAE">
        <w:t>OBD</w:t>
      </w:r>
      <w:proofErr w:type="spellEnd"/>
      <w:r w:rsidRPr="00F23EAE">
        <w:t xml:space="preserve"> standard "Final </w:t>
      </w:r>
      <w:proofErr w:type="spellStart"/>
      <w:r w:rsidRPr="00F23EAE">
        <w:t>OBD</w:t>
      </w:r>
      <w:proofErr w:type="spellEnd"/>
      <w:r w:rsidRPr="00F23EAE">
        <w:t xml:space="preserve"> threshold limits" in Table A11/1 of Annex 11 to the 07 series of amendments to Regulation No. 83 shall be considered as equivalent to the character C of the Table 1 of Annex 3 to this Regulation.</w:t>
      </w:r>
    </w:p>
    <w:p w:rsidR="00F23EAE" w:rsidRPr="00F23EAE" w:rsidRDefault="00F23EAE" w:rsidP="00F23EAE">
      <w:pPr>
        <w:spacing w:after="120"/>
        <w:ind w:left="2268" w:right="1134" w:hanging="1134"/>
        <w:jc w:val="both"/>
      </w:pPr>
      <w:r w:rsidRPr="00F23EAE">
        <w:t>2.4.1.3.1.</w:t>
      </w:r>
      <w:r w:rsidRPr="00F23EAE">
        <w:tab/>
        <w:t xml:space="preserve">If such alternative approval is used, the information related to </w:t>
      </w:r>
      <w:proofErr w:type="spellStart"/>
      <w:r w:rsidRPr="00F23EAE">
        <w:t>OBD</w:t>
      </w:r>
      <w:proofErr w:type="spellEnd"/>
      <w:r w:rsidRPr="00F23EAE">
        <w:t xml:space="preserve"> systems in paragraph 3.2.12.2.7. </w:t>
      </w:r>
      <w:proofErr w:type="gramStart"/>
      <w:r w:rsidRPr="00F23EAE">
        <w:t>of</w:t>
      </w:r>
      <w:proofErr w:type="gramEnd"/>
      <w:r w:rsidRPr="00F23EAE">
        <w:t xml:space="preserve"> Part 2 of Annex 1 is replaced by the information of paragraph 3.2.12.2.7. </w:t>
      </w:r>
      <w:proofErr w:type="gramStart"/>
      <w:r w:rsidRPr="00F23EAE">
        <w:t>of</w:t>
      </w:r>
      <w:proofErr w:type="gramEnd"/>
      <w:r w:rsidRPr="00F23EAE">
        <w:t xml:space="preserve"> Annex 1 to the 07 series of amendments to Regulation No. 83.</w:t>
      </w:r>
    </w:p>
    <w:p w:rsidR="00F23EAE" w:rsidRPr="00F23EAE" w:rsidRDefault="00F23EAE" w:rsidP="00F23EAE">
      <w:pPr>
        <w:keepNext/>
        <w:spacing w:after="120"/>
        <w:ind w:left="2268" w:right="1134" w:hanging="1134"/>
        <w:jc w:val="both"/>
      </w:pPr>
      <w:r w:rsidRPr="00F23EAE">
        <w:t>2.4.1.3.2.</w:t>
      </w:r>
      <w:r w:rsidRPr="00F23EAE">
        <w:tab/>
        <w:t xml:space="preserve">The equivalences set out in paragraph 2.4.1. </w:t>
      </w:r>
      <w:proofErr w:type="gramStart"/>
      <w:r w:rsidRPr="00F23EAE">
        <w:t>shall</w:t>
      </w:r>
      <w:proofErr w:type="gramEnd"/>
      <w:r w:rsidRPr="00F23EAE">
        <w:t xml:space="preserve"> apply in the following manner:</w:t>
      </w:r>
    </w:p>
    <w:p w:rsidR="00F23EAE" w:rsidRPr="00F23EAE" w:rsidRDefault="00F23EAE" w:rsidP="00F23EAE">
      <w:pPr>
        <w:keepNext/>
        <w:spacing w:after="120"/>
        <w:ind w:left="2268" w:right="1134" w:hanging="1134"/>
        <w:jc w:val="both"/>
      </w:pPr>
      <w:r w:rsidRPr="00F23EAE">
        <w:t>2.4.1.3.2.1.</w:t>
      </w:r>
      <w:r w:rsidRPr="00F23EAE">
        <w:tab/>
        <w:t xml:space="preserve">The </w:t>
      </w:r>
      <w:proofErr w:type="spellStart"/>
      <w:r w:rsidRPr="00F23EAE">
        <w:t>OTL's</w:t>
      </w:r>
      <w:proofErr w:type="spellEnd"/>
      <w:r w:rsidRPr="00F23EAE">
        <w:t xml:space="preserve"> and dates referred to in Table 1 of Annex 3 to this Regulation and relevant to the assigned character for which the type-approval is sought shall apply;</w:t>
      </w:r>
    </w:p>
    <w:p w:rsidR="00F23EAE" w:rsidRPr="00F23EAE" w:rsidRDefault="00F23EAE" w:rsidP="00F23EAE">
      <w:pPr>
        <w:keepNext/>
        <w:spacing w:after="120"/>
        <w:ind w:left="2268" w:right="1134" w:hanging="1134"/>
        <w:jc w:val="both"/>
        <w:rPr>
          <w:b/>
        </w:rPr>
      </w:pPr>
      <w:r w:rsidRPr="00F23EAE">
        <w:t>2.4.1.3.2.2.</w:t>
      </w:r>
      <w:r w:rsidRPr="00F23EAE">
        <w:tab/>
        <w:t xml:space="preserve">The requirements on </w:t>
      </w:r>
      <w:proofErr w:type="spellStart"/>
      <w:r w:rsidRPr="00F23EAE">
        <w:t>NO</w:t>
      </w:r>
      <w:r w:rsidRPr="00F23EAE">
        <w:rPr>
          <w:vertAlign w:val="subscript"/>
        </w:rPr>
        <w:t>x</w:t>
      </w:r>
      <w:proofErr w:type="spellEnd"/>
      <w:r w:rsidRPr="00F23EAE">
        <w:t xml:space="preserve"> control measures described in paragraphs 2.1.2.2.1. </w:t>
      </w:r>
      <w:proofErr w:type="gramStart"/>
      <w:r w:rsidRPr="00F23EAE">
        <w:t>to</w:t>
      </w:r>
      <w:proofErr w:type="gramEnd"/>
      <w:r w:rsidRPr="00F23EAE">
        <w:t xml:space="preserve"> 2.1.2.2.4. </w:t>
      </w:r>
      <w:proofErr w:type="gramStart"/>
      <w:r w:rsidRPr="00F23EAE">
        <w:t>of</w:t>
      </w:r>
      <w:proofErr w:type="gramEnd"/>
      <w:r w:rsidRPr="00F23EAE">
        <w:t xml:space="preserve"> Annex 11 shall apply."</w:t>
      </w:r>
    </w:p>
    <w:p w:rsidR="00F23EAE" w:rsidRPr="00F23EAE" w:rsidRDefault="00F23EAE" w:rsidP="00F23EAE">
      <w:pPr>
        <w:spacing w:after="120"/>
        <w:ind w:left="2268" w:right="1138" w:hanging="1134"/>
        <w:jc w:val="both"/>
        <w:rPr>
          <w:rFonts w:eastAsia="MS Mincho"/>
          <w:noProof/>
        </w:rPr>
      </w:pPr>
      <w:r w:rsidRPr="00F23EAE">
        <w:rPr>
          <w:rFonts w:eastAsia="MS Mincho"/>
          <w:i/>
          <w:noProof/>
        </w:rPr>
        <w:t>Table 2,</w:t>
      </w:r>
      <w:r w:rsidRPr="00F23EAE">
        <w:rPr>
          <w:rFonts w:eastAsia="MS Mincho"/>
          <w:noProof/>
        </w:rPr>
        <w:t xml:space="preserve"> amend to read:</w:t>
      </w:r>
    </w:p>
    <w:p w:rsidR="00F23EAE" w:rsidRPr="00F23EAE" w:rsidRDefault="00F23EAE" w:rsidP="00F23EAE">
      <w:pPr>
        <w:ind w:left="2268" w:right="1138" w:hanging="1134"/>
        <w:jc w:val="both"/>
        <w:rPr>
          <w:rFonts w:eastAsia="MS Mincho"/>
          <w:noProof/>
        </w:rPr>
      </w:pPr>
      <w:r w:rsidRPr="00F23EAE">
        <w:rPr>
          <w:rFonts w:eastAsia="MS Mincho"/>
        </w:rPr>
        <w:t>"</w:t>
      </w:r>
      <w:r w:rsidRPr="00F23EAE">
        <w:rPr>
          <w:rFonts w:eastAsia="MS Mincho"/>
          <w:noProof/>
        </w:rPr>
        <w:t>Table 2</w:t>
      </w:r>
    </w:p>
    <w:p w:rsidR="00F23EAE" w:rsidRPr="00F23EAE" w:rsidRDefault="00F23EAE" w:rsidP="00F23EAE">
      <w:pPr>
        <w:spacing w:after="120"/>
        <w:ind w:left="2268" w:right="1134" w:hanging="1134"/>
        <w:jc w:val="both"/>
        <w:rPr>
          <w:b/>
        </w:rPr>
      </w:pPr>
      <w:bookmarkStart w:id="3" w:name="_Toc339460656"/>
      <w:bookmarkStart w:id="4" w:name="_Toc339542179"/>
      <w:proofErr w:type="spellStart"/>
      <w:r w:rsidRPr="00F23EAE">
        <w:rPr>
          <w:b/>
        </w:rPr>
        <w:t>OTLs</w:t>
      </w:r>
      <w:proofErr w:type="spellEnd"/>
      <w:r w:rsidRPr="00F23EAE">
        <w:rPr>
          <w:b/>
        </w:rPr>
        <w:t xml:space="preserve"> (positive ignition engines</w:t>
      </w:r>
      <w:bookmarkEnd w:id="3"/>
      <w:bookmarkEnd w:id="4"/>
      <w:r w:rsidRPr="00F23EAE">
        <w:rPr>
          <w:b/>
        </w:rPr>
        <w:t>)</w:t>
      </w:r>
    </w:p>
    <w:tbl>
      <w:tblPr>
        <w:tblW w:w="607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00"/>
        <w:gridCol w:w="1865"/>
      </w:tblGrid>
      <w:tr w:rsidR="00F23EAE" w:rsidRPr="00F23EAE" w:rsidTr="00C02DB0">
        <w:trPr>
          <w:cantSplit/>
        </w:trPr>
        <w:tc>
          <w:tcPr>
            <w:tcW w:w="2410" w:type="dxa"/>
            <w:tcBorders>
              <w:bottom w:val="single" w:sz="2" w:space="0" w:color="auto"/>
            </w:tcBorders>
          </w:tcPr>
          <w:p w:rsidR="00F23EAE" w:rsidRPr="00F23EAE" w:rsidRDefault="00F23EAE" w:rsidP="00F23EAE">
            <w:pPr>
              <w:keepNext/>
              <w:suppressAutoHyphens w:val="0"/>
              <w:spacing w:before="120" w:after="120" w:line="240" w:lineRule="auto"/>
              <w:ind w:left="2268" w:hanging="1134"/>
              <w:jc w:val="both"/>
              <w:outlineLvl w:val="0"/>
              <w:rPr>
                <w:i/>
                <w:noProof/>
                <w:sz w:val="16"/>
                <w:szCs w:val="16"/>
                <w:lang w:eastAsia="en-GB"/>
              </w:rPr>
            </w:pPr>
          </w:p>
        </w:tc>
        <w:tc>
          <w:tcPr>
            <w:tcW w:w="3665" w:type="dxa"/>
            <w:gridSpan w:val="2"/>
            <w:tcBorders>
              <w:bottom w:val="single" w:sz="2" w:space="0" w:color="auto"/>
            </w:tcBorders>
          </w:tcPr>
          <w:p w:rsidR="00F23EAE" w:rsidRPr="00F23EAE" w:rsidRDefault="00F23EAE" w:rsidP="00F23EAE">
            <w:pPr>
              <w:keepNext/>
              <w:suppressAutoHyphens w:val="0"/>
              <w:spacing w:before="120" w:after="120" w:line="240" w:lineRule="auto"/>
              <w:ind w:left="2268" w:hanging="1134"/>
              <w:jc w:val="both"/>
              <w:outlineLvl w:val="0"/>
              <w:rPr>
                <w:i/>
                <w:noProof/>
                <w:sz w:val="16"/>
                <w:szCs w:val="16"/>
                <w:lang w:eastAsia="en-GB"/>
              </w:rPr>
            </w:pPr>
            <w:r w:rsidRPr="00F23EAE">
              <w:rPr>
                <w:i/>
                <w:noProof/>
                <w:sz w:val="16"/>
                <w:szCs w:val="16"/>
                <w:lang w:eastAsia="en-GB"/>
              </w:rPr>
              <w:t xml:space="preserve">Limit in mg/kWh </w:t>
            </w:r>
          </w:p>
        </w:tc>
      </w:tr>
      <w:tr w:rsidR="00F23EAE" w:rsidRPr="00F23EAE" w:rsidTr="00C02DB0">
        <w:trPr>
          <w:cantSplit/>
        </w:trPr>
        <w:tc>
          <w:tcPr>
            <w:tcW w:w="2410" w:type="dxa"/>
            <w:tcBorders>
              <w:top w:val="single" w:sz="2" w:space="0" w:color="auto"/>
              <w:bottom w:val="single" w:sz="12" w:space="0" w:color="auto"/>
            </w:tcBorders>
          </w:tcPr>
          <w:p w:rsidR="00F23EAE" w:rsidRPr="00F23EAE" w:rsidRDefault="00F23EAE" w:rsidP="00F23EAE">
            <w:pPr>
              <w:keepNext/>
              <w:suppressAutoHyphens w:val="0"/>
              <w:spacing w:before="80" w:after="80" w:line="240" w:lineRule="auto"/>
              <w:ind w:left="2268" w:hanging="1134"/>
              <w:jc w:val="both"/>
              <w:outlineLvl w:val="0"/>
              <w:rPr>
                <w:i/>
                <w:noProof/>
                <w:sz w:val="16"/>
                <w:szCs w:val="16"/>
                <w:lang w:eastAsia="en-GB"/>
              </w:rPr>
            </w:pPr>
          </w:p>
        </w:tc>
        <w:tc>
          <w:tcPr>
            <w:tcW w:w="1800" w:type="dxa"/>
            <w:tcBorders>
              <w:top w:val="single" w:sz="2" w:space="0" w:color="auto"/>
              <w:bottom w:val="single" w:sz="12" w:space="0" w:color="auto"/>
            </w:tcBorders>
          </w:tcPr>
          <w:p w:rsidR="00F23EAE" w:rsidRPr="00F23EAE" w:rsidRDefault="00F23EAE" w:rsidP="00F23EAE">
            <w:pPr>
              <w:keepNext/>
              <w:suppressAutoHyphens w:val="0"/>
              <w:spacing w:before="80" w:after="80" w:line="240" w:lineRule="auto"/>
              <w:ind w:left="2268" w:hanging="1134"/>
              <w:outlineLvl w:val="0"/>
              <w:rPr>
                <w:i/>
                <w:noProof/>
                <w:sz w:val="16"/>
                <w:szCs w:val="16"/>
                <w:lang w:eastAsia="en-GB"/>
              </w:rPr>
            </w:pPr>
            <w:r w:rsidRPr="00F23EAE">
              <w:rPr>
                <w:i/>
                <w:noProof/>
                <w:sz w:val="16"/>
                <w:szCs w:val="16"/>
                <w:lang w:eastAsia="en-GB"/>
              </w:rPr>
              <w:t>NO</w:t>
            </w:r>
            <w:r w:rsidRPr="00F23EAE">
              <w:rPr>
                <w:i/>
                <w:noProof/>
                <w:sz w:val="16"/>
                <w:szCs w:val="16"/>
                <w:vertAlign w:val="subscript"/>
                <w:lang w:eastAsia="en-GB"/>
              </w:rPr>
              <w:t>x</w:t>
            </w:r>
          </w:p>
        </w:tc>
        <w:tc>
          <w:tcPr>
            <w:tcW w:w="1865" w:type="dxa"/>
            <w:tcBorders>
              <w:top w:val="single" w:sz="2" w:space="0" w:color="auto"/>
              <w:bottom w:val="single" w:sz="12" w:space="0" w:color="auto"/>
            </w:tcBorders>
          </w:tcPr>
          <w:p w:rsidR="00F23EAE" w:rsidRPr="00F23EAE" w:rsidRDefault="00F23EAE" w:rsidP="00F23EAE">
            <w:pPr>
              <w:keepNext/>
              <w:suppressAutoHyphens w:val="0"/>
              <w:spacing w:before="80" w:after="80" w:line="240" w:lineRule="auto"/>
              <w:ind w:left="2268" w:hanging="1134"/>
              <w:outlineLvl w:val="0"/>
              <w:rPr>
                <w:i/>
                <w:noProof/>
                <w:sz w:val="16"/>
                <w:szCs w:val="16"/>
                <w:lang w:eastAsia="en-GB"/>
              </w:rPr>
            </w:pPr>
            <w:r w:rsidRPr="00F23EAE">
              <w:rPr>
                <w:i/>
                <w:noProof/>
                <w:sz w:val="16"/>
                <w:szCs w:val="16"/>
                <w:lang w:eastAsia="en-GB"/>
              </w:rPr>
              <w:t>CO</w:t>
            </w:r>
            <w:r w:rsidRPr="00F23EAE">
              <w:rPr>
                <w:i/>
                <w:noProof/>
                <w:sz w:val="16"/>
                <w:szCs w:val="16"/>
                <w:vertAlign w:val="superscript"/>
                <w:lang w:eastAsia="en-GB"/>
              </w:rPr>
              <w:t>1</w:t>
            </w:r>
          </w:p>
        </w:tc>
      </w:tr>
      <w:tr w:rsidR="00F23EAE" w:rsidRPr="00F23EAE" w:rsidTr="00C02DB0">
        <w:trPr>
          <w:cantSplit/>
        </w:trPr>
        <w:tc>
          <w:tcPr>
            <w:tcW w:w="2410" w:type="dxa"/>
            <w:tcBorders>
              <w:top w:val="single" w:sz="12" w:space="0" w:color="auto"/>
              <w:bottom w:val="single" w:sz="4" w:space="0" w:color="auto"/>
            </w:tcBorders>
          </w:tcPr>
          <w:p w:rsidR="00F23EAE" w:rsidRPr="00F23EAE" w:rsidRDefault="00F23EAE" w:rsidP="00F23EAE">
            <w:pPr>
              <w:keepNext/>
              <w:suppressAutoHyphens w:val="0"/>
              <w:spacing w:before="40" w:after="40" w:line="240" w:lineRule="auto"/>
              <w:ind w:left="2268" w:hanging="2092"/>
              <w:jc w:val="both"/>
              <w:outlineLvl w:val="0"/>
              <w:rPr>
                <w:noProof/>
                <w:lang w:eastAsia="en-GB"/>
              </w:rPr>
            </w:pPr>
            <w:r w:rsidRPr="00F23EAE">
              <w:rPr>
                <w:noProof/>
                <w:lang w:eastAsia="en-GB"/>
              </w:rPr>
              <w:t>Phase-in period</w:t>
            </w:r>
            <w:r w:rsidRPr="00F23EAE" w:rsidDel="00C03D2A">
              <w:rPr>
                <w:noProof/>
                <w:lang w:eastAsia="en-GB"/>
              </w:rPr>
              <w:t xml:space="preserve"> </w:t>
            </w:r>
          </w:p>
        </w:tc>
        <w:tc>
          <w:tcPr>
            <w:tcW w:w="1800" w:type="dxa"/>
            <w:tcBorders>
              <w:top w:val="single" w:sz="12" w:space="0" w:color="auto"/>
              <w:bottom w:val="single" w:sz="4" w:space="0" w:color="auto"/>
            </w:tcBorders>
          </w:tcPr>
          <w:p w:rsidR="00F23EAE" w:rsidRPr="00F23EAE" w:rsidRDefault="00F23EAE" w:rsidP="00F23EAE">
            <w:pPr>
              <w:keepNext/>
              <w:tabs>
                <w:tab w:val="left" w:pos="1168"/>
              </w:tabs>
              <w:suppressAutoHyphens w:val="0"/>
              <w:spacing w:before="40" w:after="40" w:line="240" w:lineRule="auto"/>
              <w:ind w:left="2268" w:hanging="1134"/>
              <w:jc w:val="both"/>
              <w:outlineLvl w:val="0"/>
              <w:rPr>
                <w:noProof/>
                <w:lang w:eastAsia="en-GB"/>
              </w:rPr>
            </w:pPr>
            <w:r w:rsidRPr="00F23EAE">
              <w:rPr>
                <w:noProof/>
                <w:lang w:eastAsia="en-GB"/>
              </w:rPr>
              <w:t>1 500</w:t>
            </w:r>
          </w:p>
        </w:tc>
        <w:tc>
          <w:tcPr>
            <w:tcW w:w="1865" w:type="dxa"/>
            <w:tcBorders>
              <w:top w:val="single" w:sz="12" w:space="0" w:color="auto"/>
              <w:bottom w:val="single" w:sz="4" w:space="0" w:color="auto"/>
            </w:tcBorders>
          </w:tcPr>
          <w:p w:rsidR="00F23EAE" w:rsidRPr="00F23EAE" w:rsidRDefault="00F23EAE" w:rsidP="00F23EAE">
            <w:pPr>
              <w:keepNext/>
              <w:suppressAutoHyphens w:val="0"/>
              <w:spacing w:before="40" w:after="40" w:line="240" w:lineRule="auto"/>
              <w:ind w:left="2268" w:hanging="1134"/>
              <w:outlineLvl w:val="0"/>
              <w:rPr>
                <w:noProof/>
                <w:lang w:eastAsia="en-GB"/>
              </w:rPr>
            </w:pPr>
            <w:r w:rsidRPr="00F23EAE">
              <w:rPr>
                <w:noProof/>
                <w:lang w:eastAsia="en-GB"/>
              </w:rPr>
              <w:t>7 500</w:t>
            </w:r>
          </w:p>
        </w:tc>
      </w:tr>
      <w:tr w:rsidR="00F23EAE" w:rsidRPr="00F23EAE" w:rsidTr="00C02DB0">
        <w:trPr>
          <w:cantSplit/>
        </w:trPr>
        <w:tc>
          <w:tcPr>
            <w:tcW w:w="2410" w:type="dxa"/>
            <w:tcBorders>
              <w:bottom w:val="single" w:sz="12" w:space="0" w:color="auto"/>
            </w:tcBorders>
          </w:tcPr>
          <w:p w:rsidR="00F23EAE" w:rsidRPr="00F23EAE" w:rsidRDefault="00F23EAE" w:rsidP="00F23EAE">
            <w:pPr>
              <w:suppressAutoHyphens w:val="0"/>
              <w:spacing w:before="40" w:after="40" w:line="240" w:lineRule="auto"/>
              <w:ind w:left="2268" w:hanging="2092"/>
              <w:jc w:val="both"/>
              <w:outlineLvl w:val="0"/>
              <w:rPr>
                <w:noProof/>
                <w:lang w:eastAsia="en-GB"/>
              </w:rPr>
            </w:pPr>
            <w:r w:rsidRPr="00F23EAE">
              <w:rPr>
                <w:noProof/>
                <w:lang w:eastAsia="en-GB"/>
              </w:rPr>
              <w:t>General requirements</w:t>
            </w:r>
          </w:p>
        </w:tc>
        <w:tc>
          <w:tcPr>
            <w:tcW w:w="1800" w:type="dxa"/>
            <w:tcBorders>
              <w:bottom w:val="single" w:sz="12" w:space="0" w:color="auto"/>
            </w:tcBorders>
          </w:tcPr>
          <w:p w:rsidR="00F23EAE" w:rsidRPr="00F23EAE" w:rsidRDefault="00F23EAE" w:rsidP="00F23EAE">
            <w:pPr>
              <w:keepNext/>
              <w:suppressAutoHyphens w:val="0"/>
              <w:spacing w:before="40" w:after="40" w:line="240" w:lineRule="auto"/>
              <w:ind w:left="2268" w:hanging="1134"/>
              <w:outlineLvl w:val="0"/>
              <w:rPr>
                <w:noProof/>
                <w:lang w:eastAsia="en-GB"/>
              </w:rPr>
            </w:pPr>
            <w:r w:rsidRPr="00F23EAE">
              <w:rPr>
                <w:noProof/>
                <w:lang w:eastAsia="en-GB"/>
              </w:rPr>
              <w:t>1 200</w:t>
            </w:r>
          </w:p>
        </w:tc>
        <w:tc>
          <w:tcPr>
            <w:tcW w:w="1865" w:type="dxa"/>
            <w:tcBorders>
              <w:bottom w:val="single" w:sz="12" w:space="0" w:color="auto"/>
            </w:tcBorders>
          </w:tcPr>
          <w:p w:rsidR="00F23EAE" w:rsidRPr="00F23EAE" w:rsidRDefault="00F23EAE" w:rsidP="00F23EAE">
            <w:pPr>
              <w:keepNext/>
              <w:suppressAutoHyphens w:val="0"/>
              <w:spacing w:before="40" w:after="40" w:line="240" w:lineRule="auto"/>
              <w:ind w:left="2268" w:hanging="1134"/>
              <w:outlineLvl w:val="0"/>
              <w:rPr>
                <w:noProof/>
                <w:lang w:eastAsia="en-GB"/>
              </w:rPr>
            </w:pPr>
            <w:r w:rsidRPr="00F23EAE">
              <w:rPr>
                <w:noProof/>
                <w:lang w:eastAsia="en-GB"/>
              </w:rPr>
              <w:t>7 500</w:t>
            </w:r>
          </w:p>
        </w:tc>
      </w:tr>
    </w:tbl>
    <w:p w:rsidR="00F23EAE" w:rsidRPr="00F23EAE" w:rsidRDefault="00F23EAE" w:rsidP="00F23EAE">
      <w:pPr>
        <w:spacing w:after="120"/>
        <w:ind w:left="1701" w:right="1134" w:hanging="567"/>
        <w:jc w:val="both"/>
        <w:rPr>
          <w:sz w:val="18"/>
          <w:szCs w:val="18"/>
        </w:rPr>
      </w:pPr>
      <w:r w:rsidRPr="00F23EAE">
        <w:rPr>
          <w:sz w:val="18"/>
          <w:szCs w:val="18"/>
          <w:vertAlign w:val="superscript"/>
        </w:rPr>
        <w:t>1</w:t>
      </w:r>
      <w:r w:rsidRPr="00F23EAE">
        <w:rPr>
          <w:sz w:val="18"/>
          <w:szCs w:val="18"/>
        </w:rPr>
        <w:tab/>
        <w:t xml:space="preserve">The transitional provisions related to introduction of the CO </w:t>
      </w:r>
      <w:proofErr w:type="spellStart"/>
      <w:r w:rsidRPr="00F23EAE">
        <w:rPr>
          <w:sz w:val="18"/>
          <w:szCs w:val="18"/>
        </w:rPr>
        <w:t>OTLs</w:t>
      </w:r>
      <w:proofErr w:type="spellEnd"/>
      <w:r w:rsidRPr="00F23EAE">
        <w:rPr>
          <w:sz w:val="18"/>
          <w:szCs w:val="18"/>
        </w:rPr>
        <w:t xml:space="preserve"> are specified in paragraphs 13.2.2. </w:t>
      </w:r>
      <w:proofErr w:type="gramStart"/>
      <w:r w:rsidRPr="00F23EAE">
        <w:rPr>
          <w:sz w:val="18"/>
          <w:szCs w:val="18"/>
        </w:rPr>
        <w:t>and</w:t>
      </w:r>
      <w:proofErr w:type="gramEnd"/>
      <w:r w:rsidRPr="00F23EAE">
        <w:rPr>
          <w:sz w:val="18"/>
          <w:szCs w:val="18"/>
        </w:rPr>
        <w:t xml:space="preserve"> 13.3.2. </w:t>
      </w:r>
      <w:proofErr w:type="gramStart"/>
      <w:r w:rsidRPr="00F23EAE">
        <w:rPr>
          <w:sz w:val="18"/>
          <w:szCs w:val="18"/>
        </w:rPr>
        <w:t>of</w:t>
      </w:r>
      <w:proofErr w:type="gramEnd"/>
      <w:r w:rsidRPr="00F23EAE">
        <w:rPr>
          <w:sz w:val="18"/>
          <w:szCs w:val="18"/>
        </w:rPr>
        <w:t xml:space="preserve"> this Regulation.</w:t>
      </w:r>
      <w:r w:rsidRPr="00F23EAE">
        <w:t>"</w:t>
      </w:r>
    </w:p>
    <w:p w:rsidR="00F23EAE" w:rsidRPr="00F23EAE" w:rsidRDefault="00F23EAE" w:rsidP="00C81C30">
      <w:pPr>
        <w:keepNext/>
        <w:keepLines/>
        <w:spacing w:after="120"/>
        <w:ind w:left="2268" w:right="1140" w:hanging="1134"/>
        <w:jc w:val="both"/>
        <w:rPr>
          <w:rFonts w:eastAsia="MS Mincho"/>
          <w:i/>
          <w:noProof/>
        </w:rPr>
      </w:pPr>
      <w:r w:rsidRPr="00F23EAE">
        <w:rPr>
          <w:rFonts w:eastAsia="MS Mincho"/>
          <w:i/>
          <w:noProof/>
        </w:rPr>
        <w:t>Annex 9B</w:t>
      </w:r>
      <w:r w:rsidR="00945855">
        <w:rPr>
          <w:rFonts w:eastAsia="MS Mincho"/>
          <w:i/>
          <w:noProof/>
        </w:rPr>
        <w:t>,</w:t>
      </w:r>
    </w:p>
    <w:p w:rsidR="00F23EAE" w:rsidRPr="00F23EAE" w:rsidRDefault="00F23EAE" w:rsidP="00C81C30">
      <w:pPr>
        <w:keepNext/>
        <w:keepLines/>
        <w:spacing w:after="120"/>
        <w:ind w:left="2268" w:right="1138" w:hanging="1134"/>
        <w:jc w:val="both"/>
        <w:rPr>
          <w:rFonts w:eastAsia="MS Mincho"/>
          <w:noProof/>
        </w:rPr>
      </w:pPr>
      <w:r w:rsidRPr="00F23EAE">
        <w:rPr>
          <w:rFonts w:eastAsia="MS Mincho"/>
          <w:i/>
          <w:noProof/>
        </w:rPr>
        <w:t xml:space="preserve">Paragraph 3.5., </w:t>
      </w:r>
      <w:r w:rsidRPr="00F23EAE">
        <w:rPr>
          <w:rFonts w:eastAsia="MS Mincho"/>
          <w:noProof/>
        </w:rPr>
        <w:t>amend to read:</w:t>
      </w:r>
    </w:p>
    <w:p w:rsidR="00F23EAE" w:rsidRPr="00F23EAE" w:rsidRDefault="00F23EAE" w:rsidP="00C81C30">
      <w:pPr>
        <w:keepNext/>
        <w:keepLines/>
        <w:spacing w:after="120"/>
        <w:ind w:left="2268" w:right="1134" w:hanging="1134"/>
        <w:jc w:val="both"/>
        <w:rPr>
          <w:b/>
          <w:u w:val="single"/>
        </w:rPr>
      </w:pPr>
      <w:r w:rsidRPr="00F23EAE">
        <w:rPr>
          <w:noProof/>
        </w:rPr>
        <w:t>"3.5.</w:t>
      </w:r>
      <w:r w:rsidRPr="00F23EAE">
        <w:rPr>
          <w:noProof/>
        </w:rPr>
        <w:tab/>
      </w:r>
      <w:r w:rsidRPr="00F23EAE">
        <w:rPr>
          <w:i/>
        </w:rPr>
        <w:t>"Continuous-MI"</w:t>
      </w:r>
      <w:r w:rsidRPr="00F23EAE">
        <w:t xml:space="preserve"> means the malfunction indicator showing a steady indication from the time the key is moved to on (run) position and the engine is started (ignition on – engine on) or the vehicle starts moving, whichever occurs first, and extinguishing when the key is moved to off."</w:t>
      </w:r>
    </w:p>
    <w:p w:rsidR="00F23EAE" w:rsidRPr="00F23EAE" w:rsidRDefault="00F23EAE" w:rsidP="00F23EAE">
      <w:pPr>
        <w:tabs>
          <w:tab w:val="left" w:pos="2160"/>
        </w:tabs>
        <w:spacing w:after="120"/>
        <w:ind w:left="2160" w:right="1138" w:hanging="1026"/>
        <w:jc w:val="both"/>
        <w:rPr>
          <w:rFonts w:eastAsia="MS Mincho"/>
          <w:noProof/>
        </w:rPr>
      </w:pPr>
      <w:r w:rsidRPr="00F23EAE">
        <w:rPr>
          <w:rFonts w:eastAsia="MS Mincho"/>
          <w:i/>
          <w:noProof/>
        </w:rPr>
        <w:t>Paragraph 3.22.,</w:t>
      </w:r>
      <w:r w:rsidRPr="00F23EAE">
        <w:rPr>
          <w:rFonts w:eastAsia="MS Mincho"/>
          <w:noProof/>
        </w:rPr>
        <w:t xml:space="preserve"> amend to read:</w:t>
      </w:r>
    </w:p>
    <w:p w:rsidR="00F23EAE" w:rsidRPr="00F23EAE" w:rsidRDefault="00F23EAE" w:rsidP="00F23EAE">
      <w:pPr>
        <w:spacing w:after="120"/>
        <w:ind w:left="2268" w:right="1134" w:hanging="1134"/>
        <w:jc w:val="both"/>
      </w:pPr>
      <w:r w:rsidRPr="00F23EAE">
        <w:rPr>
          <w:noProof/>
        </w:rPr>
        <w:t>"3.22.</w:t>
      </w:r>
      <w:r w:rsidRPr="00F23EAE">
        <w:rPr>
          <w:noProof/>
        </w:rPr>
        <w:tab/>
      </w:r>
      <w:r w:rsidRPr="00F23EAE">
        <w:rPr>
          <w:i/>
        </w:rPr>
        <w:t>"Short-MI"</w:t>
      </w:r>
      <w:r w:rsidRPr="00F23EAE">
        <w:t xml:space="preserve"> means the malfunction indicator showing a 15 seconds steady indication from the time the key is moved to on (run) position and the engine is started (ignition on - engine on) or the vehicle starts moving, and extinguishing either after these 15 seconds or when the key is moved to off, whichever occurs first."</w:t>
      </w:r>
    </w:p>
    <w:p w:rsidR="00F23EAE" w:rsidRPr="00F23EAE" w:rsidRDefault="00F23EAE" w:rsidP="00F23EAE">
      <w:pPr>
        <w:tabs>
          <w:tab w:val="left" w:pos="2160"/>
        </w:tabs>
        <w:spacing w:after="120"/>
        <w:ind w:left="2160" w:right="1134" w:hanging="1026"/>
        <w:jc w:val="both"/>
      </w:pPr>
      <w:r w:rsidRPr="00F23EAE">
        <w:rPr>
          <w:i/>
        </w:rPr>
        <w:t>Paragraph 4.6.4.,</w:t>
      </w:r>
      <w:r w:rsidRPr="00F23EAE">
        <w:t xml:space="preserve"> amend to read:</w:t>
      </w:r>
    </w:p>
    <w:p w:rsidR="00F23EAE" w:rsidRPr="00F23EAE" w:rsidRDefault="00F23EAE" w:rsidP="00F23EAE">
      <w:pPr>
        <w:spacing w:after="120"/>
        <w:ind w:left="2268" w:right="1134" w:hanging="1134"/>
        <w:jc w:val="both"/>
        <w:rPr>
          <w:rFonts w:eastAsia="MS Mincho"/>
        </w:rPr>
      </w:pPr>
      <w:bookmarkStart w:id="5" w:name="_Toc116368237"/>
      <w:bookmarkStart w:id="6" w:name="_Ref116444577"/>
      <w:bookmarkStart w:id="7" w:name="_Toc118223037"/>
      <w:r w:rsidRPr="00F23EAE">
        <w:rPr>
          <w:rFonts w:eastAsia="MS Mincho"/>
        </w:rPr>
        <w:t>"4.6.4.</w:t>
      </w:r>
      <w:r w:rsidRPr="00F23EAE">
        <w:rPr>
          <w:rFonts w:eastAsia="MS Mincho"/>
        </w:rPr>
        <w:tab/>
        <w:t>MI activation at key-on</w:t>
      </w:r>
      <w:bookmarkEnd w:id="5"/>
      <w:r w:rsidRPr="00F23EAE">
        <w:rPr>
          <w:rFonts w:eastAsia="MS Mincho"/>
        </w:rPr>
        <w:t>/engine</w:t>
      </w:r>
      <w:bookmarkEnd w:id="6"/>
      <w:bookmarkEnd w:id="7"/>
      <w:r w:rsidRPr="00F23EAE">
        <w:rPr>
          <w:rFonts w:eastAsia="MS Mincho"/>
        </w:rPr>
        <w:t>-off</w:t>
      </w:r>
    </w:p>
    <w:p w:rsidR="00F23EAE" w:rsidRPr="00F23EAE" w:rsidRDefault="00F23EAE" w:rsidP="00F23EAE">
      <w:pPr>
        <w:spacing w:after="120"/>
        <w:ind w:left="2268" w:right="1134" w:hanging="1008"/>
        <w:jc w:val="both"/>
        <w:rPr>
          <w:rFonts w:eastAsia="MS Mincho"/>
        </w:rPr>
      </w:pPr>
      <w:r w:rsidRPr="00F23EAE">
        <w:rPr>
          <w:rFonts w:eastAsia="MS Mincho"/>
        </w:rPr>
        <w:tab/>
        <w:t>The MI activation at key-on/engine-off shall consist of two sequences separated by a 5 seconds MI off:</w:t>
      </w:r>
    </w:p>
    <w:p w:rsidR="00F23EAE" w:rsidRPr="00F23EAE" w:rsidRDefault="00F23EAE" w:rsidP="00F23EAE">
      <w:pPr>
        <w:spacing w:after="120"/>
        <w:ind w:left="2835" w:right="1134" w:hanging="567"/>
        <w:jc w:val="both"/>
      </w:pPr>
      <w:r w:rsidRPr="00F23EAE">
        <w:t>(a)</w:t>
      </w:r>
      <w:r w:rsidRPr="00F23EAE">
        <w:tab/>
        <w:t>The first sequence is designed to provide an indication of the MI functionality and the readiness of the monitored components;</w:t>
      </w:r>
    </w:p>
    <w:p w:rsidR="00F23EAE" w:rsidRPr="00F23EAE" w:rsidRDefault="00F23EAE" w:rsidP="00F23EAE">
      <w:pPr>
        <w:spacing w:after="120"/>
        <w:ind w:left="2835" w:right="1134" w:hanging="567"/>
        <w:jc w:val="both"/>
      </w:pPr>
      <w:r w:rsidRPr="00F23EAE">
        <w:t>(b)</w:t>
      </w:r>
      <w:r w:rsidRPr="00F23EAE">
        <w:tab/>
        <w:t>The second sequence is designed to provide an indication of the presence of a malfunction.</w:t>
      </w:r>
    </w:p>
    <w:p w:rsidR="00F23EAE" w:rsidRPr="00F23EAE" w:rsidRDefault="00F23EAE" w:rsidP="00F23EAE">
      <w:pPr>
        <w:tabs>
          <w:tab w:val="decimal" w:pos="567"/>
        </w:tabs>
        <w:spacing w:after="120"/>
        <w:ind w:left="2268" w:right="1134" w:hanging="1008"/>
        <w:jc w:val="both"/>
      </w:pPr>
      <w:r w:rsidRPr="00F23EAE">
        <w:tab/>
        <w:t>The first sequence starts from the first time the system is at key-on position and stops either at its normal completion or when the key is set to the key-off position, whichever occurs first.</w:t>
      </w:r>
    </w:p>
    <w:p w:rsidR="00F23EAE" w:rsidRPr="00F23EAE" w:rsidRDefault="00F23EAE" w:rsidP="00F23EAE">
      <w:pPr>
        <w:spacing w:after="120"/>
        <w:ind w:left="2268" w:right="1134" w:hanging="1008"/>
        <w:jc w:val="both"/>
        <w:rPr>
          <w:rFonts w:eastAsia="MS Mincho"/>
        </w:rPr>
      </w:pPr>
      <w:r w:rsidRPr="00F23EAE">
        <w:rPr>
          <w:rFonts w:eastAsia="MS Mincho"/>
        </w:rPr>
        <w:tab/>
        <w:t xml:space="preserve">The second sequence is repeated until </w:t>
      </w:r>
      <w:proofErr w:type="gramStart"/>
      <w:r w:rsidRPr="00F23EAE">
        <w:rPr>
          <w:rFonts w:eastAsia="MS Mincho"/>
        </w:rPr>
        <w:t>either the</w:t>
      </w:r>
      <w:proofErr w:type="gramEnd"/>
      <w:r w:rsidRPr="00F23EAE">
        <w:rPr>
          <w:rFonts w:eastAsia="MS Mincho"/>
        </w:rPr>
        <w:t xml:space="preserve"> engine is started</w:t>
      </w:r>
      <w:r w:rsidRPr="00F23EAE">
        <w:rPr>
          <w:rFonts w:eastAsia="MS Mincho"/>
          <w:vertAlign w:val="superscript"/>
        </w:rPr>
        <w:t>1</w:t>
      </w:r>
      <w:r w:rsidRPr="00F23EAE">
        <w:rPr>
          <w:rFonts w:eastAsia="MS Mincho"/>
        </w:rPr>
        <w:t>, the vehicle starts moving, or the key is set to the key-off position, whichever occurs first.</w:t>
      </w:r>
    </w:p>
    <w:p w:rsidR="00F23EAE" w:rsidRPr="00F23EAE" w:rsidRDefault="00F23EAE" w:rsidP="00F23EAE">
      <w:pPr>
        <w:ind w:left="2268" w:right="1134" w:hanging="1134"/>
        <w:jc w:val="both"/>
        <w:rPr>
          <w:u w:val="single"/>
        </w:rPr>
      </w:pPr>
      <w:r w:rsidRPr="00F23EAE">
        <w:separator/>
      </w:r>
    </w:p>
    <w:p w:rsidR="00F23EAE" w:rsidRPr="00F23EAE" w:rsidRDefault="00F23EAE" w:rsidP="00F23EAE">
      <w:pPr>
        <w:tabs>
          <w:tab w:val="left" w:pos="1701"/>
        </w:tabs>
        <w:spacing w:after="120"/>
        <w:ind w:left="1134" w:right="1138"/>
        <w:rPr>
          <w:sz w:val="18"/>
          <w:lang w:eastAsia="x-none"/>
        </w:rPr>
      </w:pPr>
      <w:r w:rsidRPr="00F23EAE">
        <w:rPr>
          <w:sz w:val="18"/>
          <w:vertAlign w:val="superscript"/>
          <w:lang w:eastAsia="x-none"/>
        </w:rPr>
        <w:t>1</w:t>
      </w:r>
      <w:r w:rsidRPr="00F23EAE">
        <w:rPr>
          <w:sz w:val="18"/>
          <w:vertAlign w:val="superscript"/>
          <w:lang w:eastAsia="x-none"/>
        </w:rPr>
        <w:tab/>
      </w:r>
      <w:r w:rsidRPr="00F23EAE">
        <w:rPr>
          <w:sz w:val="18"/>
          <w:lang w:eastAsia="x-none"/>
        </w:rPr>
        <w:t>An engine may be considered started during the cranking phase."</w:t>
      </w:r>
    </w:p>
    <w:p w:rsidR="00F23EAE" w:rsidRPr="00F23EAE" w:rsidRDefault="00F23EAE" w:rsidP="00F23EAE">
      <w:pPr>
        <w:spacing w:after="120"/>
        <w:ind w:left="2160" w:right="1138" w:hanging="1026"/>
        <w:jc w:val="both"/>
      </w:pPr>
      <w:proofErr w:type="gramStart"/>
      <w:r w:rsidRPr="00F23EAE">
        <w:rPr>
          <w:i/>
        </w:rPr>
        <w:t>Paragraphs 4.6.5.1.1.</w:t>
      </w:r>
      <w:proofErr w:type="gramEnd"/>
      <w:r w:rsidRPr="00F23EAE">
        <w:rPr>
          <w:i/>
        </w:rPr>
        <w:t xml:space="preserve"> </w:t>
      </w:r>
      <w:proofErr w:type="gramStart"/>
      <w:r w:rsidRPr="00F23EAE">
        <w:rPr>
          <w:i/>
        </w:rPr>
        <w:t>first</w:t>
      </w:r>
      <w:proofErr w:type="gramEnd"/>
      <w:r w:rsidRPr="00F23EAE">
        <w:rPr>
          <w:i/>
        </w:rPr>
        <w:t xml:space="preserve"> sentence and 4.6.5.1.2. </w:t>
      </w:r>
      <w:proofErr w:type="gramStart"/>
      <w:r w:rsidRPr="00F23EAE">
        <w:rPr>
          <w:i/>
        </w:rPr>
        <w:t>first</w:t>
      </w:r>
      <w:proofErr w:type="gramEnd"/>
      <w:r w:rsidRPr="00F23EAE">
        <w:rPr>
          <w:i/>
        </w:rPr>
        <w:t xml:space="preserve"> sentence,</w:t>
      </w:r>
      <w:r w:rsidRPr="00F23EAE">
        <w:t xml:space="preserve"> amend to read:</w:t>
      </w:r>
    </w:p>
    <w:p w:rsidR="00F23EAE" w:rsidRPr="00F23EAE" w:rsidRDefault="00F23EAE" w:rsidP="00F23EAE">
      <w:pPr>
        <w:keepNext/>
        <w:keepLines/>
        <w:spacing w:after="120"/>
        <w:ind w:left="2268" w:right="1134" w:hanging="1134"/>
        <w:jc w:val="both"/>
      </w:pPr>
      <w:r w:rsidRPr="00F23EAE">
        <w:t>"4.6.5.1.1.</w:t>
      </w:r>
      <w:r w:rsidRPr="00F23EAE">
        <w:tab/>
        <w:t>Continuous-MI counter</w:t>
      </w:r>
    </w:p>
    <w:p w:rsidR="00F23EAE" w:rsidRPr="00F23EAE" w:rsidRDefault="00F23EAE" w:rsidP="00F23EAE">
      <w:pPr>
        <w:keepNext/>
        <w:keepLines/>
        <w:spacing w:after="120"/>
        <w:ind w:left="2268" w:right="1134" w:hanging="1134"/>
        <w:jc w:val="both"/>
      </w:pPr>
      <w:r w:rsidRPr="00F23EAE">
        <w:tab/>
        <w:t xml:space="preserve">The </w:t>
      </w:r>
      <w:proofErr w:type="spellStart"/>
      <w:r w:rsidRPr="00F23EAE">
        <w:t>OBD</w:t>
      </w:r>
      <w:proofErr w:type="spellEnd"/>
      <w:r w:rsidRPr="00F23EAE">
        <w:t xml:space="preserve"> system shall contain a continuous-MI counter to record the number of hours during which the internal combustion engine has been operated while a continuous-MI is activated. …</w:t>
      </w:r>
    </w:p>
    <w:p w:rsidR="00F23EAE" w:rsidRPr="00F23EAE" w:rsidRDefault="00F23EAE" w:rsidP="00F23EAE">
      <w:pPr>
        <w:spacing w:after="120"/>
        <w:ind w:left="2268" w:right="1134" w:hanging="1134"/>
        <w:jc w:val="both"/>
      </w:pPr>
      <w:r w:rsidRPr="00F23EAE">
        <w:t>4.6.5.1.2.</w:t>
      </w:r>
      <w:r w:rsidRPr="00F23EAE">
        <w:tab/>
        <w:t>Cumulative continuous-MI counter</w:t>
      </w:r>
    </w:p>
    <w:p w:rsidR="00F23EAE" w:rsidRPr="00F23EAE" w:rsidRDefault="00F23EAE" w:rsidP="00F23EAE">
      <w:pPr>
        <w:spacing w:after="120"/>
        <w:ind w:left="2268" w:right="1134" w:hanging="1134"/>
        <w:jc w:val="both"/>
      </w:pPr>
      <w:r w:rsidRPr="00F23EAE">
        <w:tab/>
        <w:t xml:space="preserve">The </w:t>
      </w:r>
      <w:proofErr w:type="spellStart"/>
      <w:r w:rsidRPr="00F23EAE">
        <w:t>OBD</w:t>
      </w:r>
      <w:proofErr w:type="spellEnd"/>
      <w:r w:rsidRPr="00F23EAE">
        <w:t xml:space="preserve"> system shall contain a cumulative continuous-MI counter to record the cumulative number of hours during which the internal combustion engine has been operated over its life while a continuous-MI is activated. …"</w:t>
      </w:r>
    </w:p>
    <w:p w:rsidR="00F23EAE" w:rsidRPr="00F23EAE" w:rsidRDefault="00F23EAE" w:rsidP="00F23EAE">
      <w:pPr>
        <w:keepNext/>
        <w:tabs>
          <w:tab w:val="left" w:pos="2160"/>
          <w:tab w:val="left" w:pos="2250"/>
        </w:tabs>
        <w:spacing w:after="120"/>
        <w:ind w:left="2160" w:right="1134" w:hanging="1026"/>
        <w:jc w:val="both"/>
      </w:pPr>
      <w:proofErr w:type="gramStart"/>
      <w:r w:rsidRPr="00F23EAE">
        <w:rPr>
          <w:i/>
        </w:rPr>
        <w:t>Paragraph 4.6.5.2.1.</w:t>
      </w:r>
      <w:proofErr w:type="gramEnd"/>
      <w:r w:rsidRPr="00F23EAE">
        <w:rPr>
          <w:i/>
        </w:rPr>
        <w:t xml:space="preserve"> </w:t>
      </w:r>
      <w:proofErr w:type="gramStart"/>
      <w:r w:rsidRPr="00F23EAE">
        <w:rPr>
          <w:i/>
        </w:rPr>
        <w:t>first</w:t>
      </w:r>
      <w:proofErr w:type="gramEnd"/>
      <w:r w:rsidRPr="00F23EAE">
        <w:rPr>
          <w:i/>
        </w:rPr>
        <w:t xml:space="preserve"> sentence,</w:t>
      </w:r>
      <w:r w:rsidRPr="00F23EAE">
        <w:t xml:space="preserve"> amend to read:</w:t>
      </w:r>
    </w:p>
    <w:p w:rsidR="00F23EAE" w:rsidRPr="00F23EAE" w:rsidRDefault="00F23EAE" w:rsidP="00F23EAE">
      <w:pPr>
        <w:keepNext/>
        <w:spacing w:after="120"/>
        <w:ind w:left="2268" w:right="1134" w:hanging="1134"/>
        <w:jc w:val="both"/>
      </w:pPr>
      <w:r w:rsidRPr="00F23EAE">
        <w:t>"4.6.5.2.1.</w:t>
      </w:r>
      <w:r w:rsidRPr="00F23EAE">
        <w:tab/>
        <w:t>Single B1-counter</w:t>
      </w:r>
    </w:p>
    <w:p w:rsidR="00F23EAE" w:rsidRPr="00F23EAE" w:rsidRDefault="00F23EAE" w:rsidP="00F23EAE">
      <w:pPr>
        <w:spacing w:after="120"/>
        <w:ind w:left="2268" w:right="1134" w:hanging="1134"/>
        <w:jc w:val="both"/>
      </w:pPr>
      <w:r w:rsidRPr="00F23EAE">
        <w:tab/>
        <w:t xml:space="preserve">The </w:t>
      </w:r>
      <w:proofErr w:type="spellStart"/>
      <w:r w:rsidRPr="00F23EAE">
        <w:t>OBD</w:t>
      </w:r>
      <w:proofErr w:type="spellEnd"/>
      <w:r w:rsidRPr="00F23EAE">
        <w:t xml:space="preserve"> system shall contain a B1 counter to record the number of hours during which the internal combustion engine has operated while a Class B1 malfunction is present. …"</w:t>
      </w:r>
    </w:p>
    <w:p w:rsidR="00F23EAE" w:rsidRPr="00F23EAE" w:rsidRDefault="00F23EAE" w:rsidP="00C81C30">
      <w:pPr>
        <w:keepNext/>
        <w:keepLines/>
        <w:spacing w:after="120"/>
        <w:ind w:left="2268" w:right="1134" w:hanging="1134"/>
        <w:jc w:val="both"/>
        <w:rPr>
          <w:i/>
        </w:rPr>
      </w:pPr>
      <w:r w:rsidRPr="00F23EAE">
        <w:rPr>
          <w:i/>
        </w:rPr>
        <w:t>Annex 9C</w:t>
      </w:r>
      <w:r w:rsidR="00814F1E">
        <w:rPr>
          <w:i/>
        </w:rPr>
        <w:t>,</w:t>
      </w:r>
    </w:p>
    <w:p w:rsidR="00F23EAE" w:rsidRPr="00F23EAE" w:rsidRDefault="00F23EAE" w:rsidP="00F23EAE">
      <w:pPr>
        <w:spacing w:after="120"/>
        <w:ind w:left="2268" w:right="1134" w:hanging="1134"/>
        <w:jc w:val="both"/>
      </w:pPr>
      <w:r w:rsidRPr="00F23EAE">
        <w:rPr>
          <w:i/>
        </w:rPr>
        <w:t>Paragraph 5.5.,</w:t>
      </w:r>
      <w:r w:rsidRPr="00F23EAE">
        <w:t xml:space="preserve"> amend to read:</w:t>
      </w:r>
    </w:p>
    <w:p w:rsidR="00F23EAE" w:rsidRPr="00F23EAE" w:rsidRDefault="00F23EAE" w:rsidP="00F23EAE">
      <w:pPr>
        <w:spacing w:after="120"/>
        <w:ind w:left="2268" w:right="1134" w:hanging="1134"/>
        <w:jc w:val="both"/>
      </w:pPr>
      <w:r w:rsidRPr="00F23EAE">
        <w:t>"5.5.</w:t>
      </w:r>
      <w:r w:rsidRPr="00F23EAE">
        <w:tab/>
        <w:t>Requirements for incrementing the ignition cycle counter</w:t>
      </w:r>
    </w:p>
    <w:p w:rsidR="00F23EAE" w:rsidRPr="00F23EAE" w:rsidRDefault="00F23EAE" w:rsidP="00F23EAE">
      <w:pPr>
        <w:spacing w:after="120"/>
        <w:ind w:left="2268" w:right="1134" w:hanging="1008"/>
        <w:jc w:val="both"/>
      </w:pPr>
      <w:r w:rsidRPr="00F23EAE">
        <w:tab/>
        <w:t>The ignition cycle counter shall be incremented once and only once per driving cycle."</w:t>
      </w:r>
    </w:p>
    <w:p w:rsidR="00F23EAE" w:rsidRPr="00F23EAE" w:rsidRDefault="00F23EAE" w:rsidP="00F23EAE">
      <w:pPr>
        <w:spacing w:after="120"/>
        <w:ind w:left="2268" w:right="1134" w:hanging="1134"/>
        <w:jc w:val="both"/>
        <w:rPr>
          <w:i/>
        </w:rPr>
      </w:pPr>
      <w:r w:rsidRPr="00F23EAE">
        <w:rPr>
          <w:i/>
        </w:rPr>
        <w:t>Annex 11</w:t>
      </w:r>
      <w:r w:rsidR="00814F1E">
        <w:rPr>
          <w:i/>
        </w:rPr>
        <w:t>,</w:t>
      </w:r>
    </w:p>
    <w:p w:rsidR="00F23EAE" w:rsidRPr="00F23EAE" w:rsidRDefault="00F23EAE" w:rsidP="00F23EAE">
      <w:pPr>
        <w:spacing w:after="120"/>
        <w:ind w:left="2268" w:right="1134" w:hanging="1134"/>
        <w:jc w:val="both"/>
      </w:pPr>
      <w:r w:rsidRPr="00F23EAE">
        <w:rPr>
          <w:i/>
        </w:rPr>
        <w:t>Paragraph 2.1.1., including footnote</w:t>
      </w:r>
      <w:r w:rsidR="00C81C30">
        <w:rPr>
          <w:i/>
        </w:rPr>
        <w:t xml:space="preserve"> 1</w:t>
      </w:r>
      <w:r w:rsidRPr="00F23EAE">
        <w:rPr>
          <w:i/>
        </w:rPr>
        <w:t>,</w:t>
      </w:r>
      <w:r w:rsidRPr="00F23EAE">
        <w:t xml:space="preserve"> amend to read:</w:t>
      </w:r>
    </w:p>
    <w:p w:rsidR="00F23EAE" w:rsidRPr="00F23EAE" w:rsidRDefault="00F23EAE" w:rsidP="00F23EAE">
      <w:pPr>
        <w:spacing w:after="120"/>
        <w:ind w:left="2268" w:right="1134" w:hanging="1134"/>
        <w:jc w:val="both"/>
      </w:pPr>
      <w:r w:rsidRPr="00F23EAE">
        <w:t>"2.1.1.</w:t>
      </w:r>
      <w:r w:rsidRPr="00F23EAE">
        <w:tab/>
        <w:t>If requested by the manufacturer, for vehicles of categories M</w:t>
      </w:r>
      <w:r w:rsidRPr="00F23EAE">
        <w:rPr>
          <w:vertAlign w:val="subscript"/>
        </w:rPr>
        <w:t>2</w:t>
      </w:r>
      <w:r w:rsidRPr="00F23EAE">
        <w:t xml:space="preserve"> and N</w:t>
      </w:r>
      <w:r w:rsidRPr="00F23EAE">
        <w:rPr>
          <w:vertAlign w:val="subscript"/>
        </w:rPr>
        <w:t>1</w:t>
      </w:r>
      <w:r w:rsidRPr="00F23EAE">
        <w:t>, for vehicles of categories M</w:t>
      </w:r>
      <w:r w:rsidRPr="00F23EAE">
        <w:rPr>
          <w:vertAlign w:val="subscript"/>
        </w:rPr>
        <w:t>1</w:t>
      </w:r>
      <w:r w:rsidRPr="00F23EAE">
        <w:t xml:space="preserve"> and N</w:t>
      </w:r>
      <w:r w:rsidRPr="00F23EAE">
        <w:rPr>
          <w:vertAlign w:val="subscript"/>
        </w:rPr>
        <w:t>2</w:t>
      </w:r>
      <w:r w:rsidRPr="00F23EAE">
        <w:t xml:space="preserve"> with a technically permissible maximum laden mass not exceeding 7.5 tonnes, and for vehicles of category M</w:t>
      </w:r>
      <w:r w:rsidRPr="00F23EAE">
        <w:rPr>
          <w:vertAlign w:val="subscript"/>
        </w:rPr>
        <w:t>3</w:t>
      </w:r>
      <w:r w:rsidRPr="00F23EAE">
        <w:t xml:space="preserve"> Class I, Class II and Class</w:t>
      </w:r>
      <w:r w:rsidR="00C81C30">
        <w:t>es</w:t>
      </w:r>
      <w:r w:rsidRPr="00F23EAE">
        <w:t xml:space="preserve"> A and Class B</w:t>
      </w:r>
      <w:r w:rsidRPr="00F23EAE">
        <w:rPr>
          <w:vertAlign w:val="superscript"/>
        </w:rPr>
        <w:t>1</w:t>
      </w:r>
      <w:r w:rsidRPr="00F23EAE">
        <w:t xml:space="preserve"> with a permissible mass not exceeding 7.5 tonnes, compliance with the requirements of Annex 6 to the 07 series of amendments to Regulation No. 83 shall be considered equivalent to the compliance with this annex.</w:t>
      </w:r>
    </w:p>
    <w:p w:rsidR="00F23EAE" w:rsidRPr="00F23EAE" w:rsidRDefault="00F23EAE" w:rsidP="00F23EAE">
      <w:pPr>
        <w:ind w:left="2268" w:right="1134" w:hanging="1134"/>
        <w:jc w:val="both"/>
        <w:rPr>
          <w:u w:val="single"/>
        </w:rPr>
      </w:pPr>
      <w:r w:rsidRPr="00F23EAE">
        <w:separator/>
      </w:r>
    </w:p>
    <w:p w:rsidR="00F23EAE" w:rsidRPr="00F23EAE" w:rsidRDefault="00F23EAE" w:rsidP="00F23EAE">
      <w:pPr>
        <w:tabs>
          <w:tab w:val="left" w:pos="1418"/>
        </w:tabs>
        <w:spacing w:after="120"/>
        <w:ind w:left="1134" w:right="1134"/>
        <w:rPr>
          <w:sz w:val="18"/>
          <w:szCs w:val="18"/>
        </w:rPr>
      </w:pPr>
      <w:r w:rsidRPr="00F23EAE">
        <w:rPr>
          <w:sz w:val="18"/>
          <w:szCs w:val="18"/>
          <w:vertAlign w:val="superscript"/>
        </w:rPr>
        <w:t>1</w:t>
      </w:r>
      <w:r w:rsidRPr="00F23EAE">
        <w:rPr>
          <w:sz w:val="18"/>
          <w:szCs w:val="18"/>
        </w:rPr>
        <w:tab/>
      </w:r>
      <w:r w:rsidRPr="00F23EAE">
        <w:rPr>
          <w:sz w:val="18"/>
          <w:szCs w:val="18"/>
          <w:lang w:val="en-US"/>
        </w:rPr>
        <w:t xml:space="preserve">As defined in the Consolidated Resolution on the Construction of Vehicles (R.E.3.), document </w:t>
      </w:r>
      <w:proofErr w:type="spellStart"/>
      <w:r w:rsidRPr="00F23EAE">
        <w:rPr>
          <w:sz w:val="18"/>
          <w:szCs w:val="18"/>
          <w:lang w:val="en-US"/>
        </w:rPr>
        <w:t>ECE</w:t>
      </w:r>
      <w:proofErr w:type="spellEnd"/>
      <w:r w:rsidRPr="00F23EAE">
        <w:rPr>
          <w:sz w:val="18"/>
          <w:szCs w:val="18"/>
          <w:lang w:val="en-US"/>
        </w:rPr>
        <w:t xml:space="preserve">/TRANS/WP.29/78/Rev.3, para. 2. </w:t>
      </w:r>
      <w:r w:rsidRPr="00F23EAE">
        <w:rPr>
          <w:sz w:val="18"/>
          <w:szCs w:val="18"/>
        </w:rPr>
        <w:t xml:space="preserve">- </w:t>
      </w:r>
      <w:hyperlink r:id="rId20" w:history="1">
        <w:r w:rsidRPr="00F23EAE">
          <w:rPr>
            <w:sz w:val="18"/>
            <w:szCs w:val="18"/>
          </w:rPr>
          <w:t>www.unece.org/trans/main/wp29/wp29wgs/wp29gen/wp29resolutions.html</w:t>
        </w:r>
      </w:hyperlink>
      <w:r w:rsidRPr="00F23EAE">
        <w:t>"</w:t>
      </w:r>
    </w:p>
    <w:p w:rsidR="00F23EAE" w:rsidRPr="00F23EAE" w:rsidRDefault="00F23EAE" w:rsidP="00F23EAE">
      <w:pPr>
        <w:spacing w:after="120"/>
        <w:ind w:left="2268" w:right="1138" w:hanging="1134"/>
        <w:jc w:val="both"/>
        <w:rPr>
          <w:rFonts w:eastAsia="MS Mincho"/>
          <w:noProof/>
        </w:rPr>
      </w:pPr>
      <w:r w:rsidRPr="00F23EAE">
        <w:rPr>
          <w:rFonts w:eastAsia="MS Mincho"/>
          <w:i/>
          <w:noProof/>
        </w:rPr>
        <w:t>Insert new paragraphs 2.1.2. to 2.1.2.2.5.,</w:t>
      </w:r>
      <w:r w:rsidRPr="00F23EAE">
        <w:rPr>
          <w:rFonts w:eastAsia="MS Mincho"/>
          <w:noProof/>
        </w:rPr>
        <w:t xml:space="preserve"> to read:</w:t>
      </w:r>
    </w:p>
    <w:p w:rsidR="00F23EAE" w:rsidRPr="00F23EAE" w:rsidRDefault="00F23EAE" w:rsidP="00F23EAE">
      <w:pPr>
        <w:spacing w:after="120"/>
        <w:ind w:left="2268" w:right="1134" w:hanging="1134"/>
        <w:jc w:val="both"/>
      </w:pPr>
      <w:r w:rsidRPr="00F23EAE">
        <w:t>"2.1.2.</w:t>
      </w:r>
      <w:r w:rsidRPr="00F23EAE">
        <w:tab/>
      </w:r>
      <w:proofErr w:type="gramStart"/>
      <w:r w:rsidRPr="00F23EAE">
        <w:t>If</w:t>
      </w:r>
      <w:proofErr w:type="gramEnd"/>
      <w:r w:rsidRPr="00F23EAE">
        <w:t xml:space="preserve"> the alternative approval is used:</w:t>
      </w:r>
    </w:p>
    <w:p w:rsidR="00F23EAE" w:rsidRPr="00F23EAE" w:rsidRDefault="00F23EAE" w:rsidP="00F23EAE">
      <w:pPr>
        <w:spacing w:after="120"/>
        <w:ind w:left="2268" w:right="1134" w:hanging="1134"/>
        <w:jc w:val="both"/>
      </w:pPr>
      <w:r w:rsidRPr="00F23EAE">
        <w:t>2.1.2.1.</w:t>
      </w:r>
      <w:r w:rsidRPr="00F23EAE">
        <w:tab/>
        <w:t xml:space="preserve">The information related to the correct operation of </w:t>
      </w:r>
      <w:proofErr w:type="spellStart"/>
      <w:r w:rsidRPr="00F23EAE">
        <w:t>NO</w:t>
      </w:r>
      <w:r w:rsidRPr="00F23EAE">
        <w:rPr>
          <w:vertAlign w:val="subscript"/>
        </w:rPr>
        <w:t>x</w:t>
      </w:r>
      <w:proofErr w:type="spellEnd"/>
      <w:r w:rsidRPr="00F23EAE">
        <w:t xml:space="preserve"> control measures in paragraphs 3.2.12.2.8.1. </w:t>
      </w:r>
      <w:proofErr w:type="gramStart"/>
      <w:r w:rsidRPr="00F23EAE">
        <w:t>to</w:t>
      </w:r>
      <w:proofErr w:type="gramEnd"/>
      <w:r w:rsidRPr="00F23EAE">
        <w:t xml:space="preserve"> 3.2.12.2.8.5. </w:t>
      </w:r>
      <w:proofErr w:type="gramStart"/>
      <w:r w:rsidRPr="00F23EAE">
        <w:t>of</w:t>
      </w:r>
      <w:proofErr w:type="gramEnd"/>
      <w:r w:rsidRPr="00F23EAE">
        <w:t xml:space="preserve"> Part 2 of Annex 1 to this Regulation is replaced by the information of paragraph 3.2.12.2.8. </w:t>
      </w:r>
      <w:proofErr w:type="gramStart"/>
      <w:r w:rsidRPr="00F23EAE">
        <w:t>of</w:t>
      </w:r>
      <w:proofErr w:type="gramEnd"/>
      <w:r w:rsidRPr="00F23EAE">
        <w:t xml:space="preserve"> </w:t>
      </w:r>
      <w:r w:rsidR="00C81C30" w:rsidRPr="00F23EAE">
        <w:t>Annex</w:t>
      </w:r>
      <w:r w:rsidR="00C81C30">
        <w:t> </w:t>
      </w:r>
      <w:r w:rsidRPr="00F23EAE">
        <w:t>1 to the 07 series of amendments to Regulation No. 83.</w:t>
      </w:r>
    </w:p>
    <w:p w:rsidR="00F23EAE" w:rsidRPr="00F23EAE" w:rsidRDefault="00F23EAE" w:rsidP="00F23EAE">
      <w:pPr>
        <w:spacing w:after="120"/>
        <w:ind w:left="2268" w:right="1134" w:hanging="1134"/>
        <w:jc w:val="both"/>
      </w:pPr>
      <w:r w:rsidRPr="00F23EAE">
        <w:t>2.1.2.2.</w:t>
      </w:r>
      <w:r w:rsidRPr="00F23EAE">
        <w:tab/>
        <w:t>The following exceptions shall apply regarding the application of the requirements set out in Appendix 6 to the 07 series of amendments to Regulation No. 83 and those of this Annex:</w:t>
      </w:r>
    </w:p>
    <w:p w:rsidR="00F23EAE" w:rsidRPr="00F23EAE" w:rsidRDefault="00F23EAE" w:rsidP="00F23EAE">
      <w:pPr>
        <w:spacing w:after="120"/>
        <w:ind w:left="2268" w:right="1134" w:hanging="1134"/>
        <w:jc w:val="both"/>
      </w:pPr>
      <w:r w:rsidRPr="00F23EAE">
        <w:t>2.1.2.2.1.</w:t>
      </w:r>
      <w:r w:rsidRPr="00F23EAE">
        <w:tab/>
        <w:t xml:space="preserve">The provisions on reagent quality monitoring set out in paragraphs 7.1. </w:t>
      </w:r>
      <w:proofErr w:type="gramStart"/>
      <w:r w:rsidRPr="00F23EAE">
        <w:t>to</w:t>
      </w:r>
      <w:proofErr w:type="gramEnd"/>
      <w:r w:rsidRPr="00F23EAE">
        <w:t xml:space="preserve"> 7.1.2. </w:t>
      </w:r>
      <w:proofErr w:type="gramStart"/>
      <w:r w:rsidRPr="00F23EAE">
        <w:t>of</w:t>
      </w:r>
      <w:proofErr w:type="gramEnd"/>
      <w:r w:rsidRPr="00F23EAE">
        <w:t xml:space="preserve"> this Annex shall apply, instead of paragraphs 4.1. </w:t>
      </w:r>
      <w:proofErr w:type="gramStart"/>
      <w:r w:rsidRPr="00F23EAE">
        <w:t>and</w:t>
      </w:r>
      <w:proofErr w:type="gramEnd"/>
      <w:r w:rsidRPr="00F23EAE">
        <w:t xml:space="preserve"> 4.2. </w:t>
      </w:r>
      <w:proofErr w:type="gramStart"/>
      <w:r w:rsidRPr="00F23EAE">
        <w:t>of</w:t>
      </w:r>
      <w:proofErr w:type="gramEnd"/>
      <w:r w:rsidRPr="00F23EAE">
        <w:t xml:space="preserve"> Appendix 6 to the 07 series of amendments to Regulation No. 83.</w:t>
      </w:r>
    </w:p>
    <w:p w:rsidR="00F23EAE" w:rsidRPr="00F23EAE" w:rsidRDefault="00F23EAE" w:rsidP="00F23EAE">
      <w:pPr>
        <w:spacing w:after="120"/>
        <w:ind w:left="2268" w:right="1134" w:hanging="1134"/>
        <w:jc w:val="both"/>
      </w:pPr>
      <w:r w:rsidRPr="00F23EAE">
        <w:t>2.1.2.2.2.</w:t>
      </w:r>
      <w:r w:rsidRPr="00F23EAE">
        <w:tab/>
        <w:t xml:space="preserve">The provisions on dosing activity monitoring set out in paragraph 8.4. </w:t>
      </w:r>
      <w:proofErr w:type="gramStart"/>
      <w:r w:rsidRPr="00F23EAE">
        <w:t>of</w:t>
      </w:r>
      <w:proofErr w:type="gramEnd"/>
      <w:r w:rsidRPr="00F23EAE">
        <w:t xml:space="preserve"> this Annex shall apply, instead of paragraph 5. </w:t>
      </w:r>
      <w:proofErr w:type="gramStart"/>
      <w:r w:rsidRPr="00F23EAE">
        <w:t>of</w:t>
      </w:r>
      <w:proofErr w:type="gramEnd"/>
      <w:r w:rsidRPr="00F23EAE">
        <w:t xml:space="preserve"> Appendix 6 to the 07 series of amendments to Regulation No. 83.</w:t>
      </w:r>
    </w:p>
    <w:p w:rsidR="00F23EAE" w:rsidRPr="00F23EAE" w:rsidRDefault="00F23EAE" w:rsidP="00F23EAE">
      <w:pPr>
        <w:spacing w:after="120"/>
        <w:ind w:left="2268" w:right="1134" w:hanging="1134"/>
        <w:jc w:val="both"/>
      </w:pPr>
      <w:r w:rsidRPr="00F23EAE">
        <w:t>2.1.2.2.3.</w:t>
      </w:r>
      <w:r w:rsidRPr="00F23EAE">
        <w:tab/>
        <w:t xml:space="preserve">The driver warning system referred to in paragraph </w:t>
      </w:r>
      <w:proofErr w:type="gramStart"/>
      <w:r w:rsidRPr="00F23EAE">
        <w:t>4.,</w:t>
      </w:r>
      <w:proofErr w:type="gramEnd"/>
      <w:r w:rsidRPr="00F23EAE">
        <w:t xml:space="preserve"> 7. </w:t>
      </w:r>
      <w:proofErr w:type="gramStart"/>
      <w:r w:rsidRPr="00F23EAE">
        <w:t>and</w:t>
      </w:r>
      <w:proofErr w:type="gramEnd"/>
      <w:r w:rsidRPr="00F23EAE">
        <w:t xml:space="preserve"> 8. </w:t>
      </w:r>
      <w:proofErr w:type="gramStart"/>
      <w:r w:rsidRPr="00F23EAE">
        <w:t>of</w:t>
      </w:r>
      <w:proofErr w:type="gramEnd"/>
      <w:r w:rsidRPr="00F23EAE">
        <w:t xml:space="preserve"> this Annex shall be understood as the driver warning system in paragraph 3. </w:t>
      </w:r>
      <w:proofErr w:type="gramStart"/>
      <w:r w:rsidRPr="00F23EAE">
        <w:t>of</w:t>
      </w:r>
      <w:proofErr w:type="gramEnd"/>
      <w:r w:rsidRPr="00F23EAE">
        <w:t xml:space="preserve"> </w:t>
      </w:r>
      <w:r w:rsidR="00C81C30" w:rsidRPr="00F23EAE">
        <w:t>Appendix</w:t>
      </w:r>
      <w:r w:rsidR="00C81C30">
        <w:t> </w:t>
      </w:r>
      <w:r w:rsidRPr="00F23EAE">
        <w:t>6 to the 07 series of amendments to Regulation No. 83.</w:t>
      </w:r>
    </w:p>
    <w:p w:rsidR="00F23EAE" w:rsidRPr="00F23EAE" w:rsidRDefault="00F23EAE" w:rsidP="00F23EAE">
      <w:pPr>
        <w:spacing w:after="120"/>
        <w:ind w:left="2268" w:right="1134" w:hanging="1134"/>
        <w:jc w:val="both"/>
      </w:pPr>
      <w:r w:rsidRPr="00F23EAE">
        <w:t>2.1.2.2.4.</w:t>
      </w:r>
      <w:r w:rsidRPr="00F23EAE">
        <w:tab/>
        <w:t>Paragraph 6 of Appendix 6 to the 07 series of amendments to Regulation No. 83 shall not apply.</w:t>
      </w:r>
    </w:p>
    <w:p w:rsidR="00F23EAE" w:rsidRPr="00F23EAE" w:rsidRDefault="00F23EAE" w:rsidP="00F23EAE">
      <w:pPr>
        <w:spacing w:after="120"/>
        <w:ind w:left="2268" w:right="1134" w:hanging="1134"/>
        <w:jc w:val="both"/>
        <w:rPr>
          <w:b/>
        </w:rPr>
      </w:pPr>
      <w:r w:rsidRPr="00F23EAE">
        <w:t>2.1.2.2.5.</w:t>
      </w:r>
      <w:r w:rsidRPr="00F23EAE">
        <w:tab/>
        <w:t xml:space="preserve">The provisions set out in paragraph 5.2. </w:t>
      </w:r>
      <w:proofErr w:type="gramStart"/>
      <w:r w:rsidRPr="00F23EAE">
        <w:t>of</w:t>
      </w:r>
      <w:proofErr w:type="gramEnd"/>
      <w:r w:rsidRPr="00F23EAE">
        <w:t xml:space="preserve"> this </w:t>
      </w:r>
      <w:r w:rsidR="00C81C30">
        <w:t>a</w:t>
      </w:r>
      <w:r w:rsidR="00C81C30" w:rsidRPr="00F23EAE">
        <w:t xml:space="preserve">nnex </w:t>
      </w:r>
      <w:r w:rsidRPr="00F23EAE">
        <w:t>shall apply in the case of vehicles for use by the rescue services or to vehicles designed and constructed for use by the armed services, civil defence, fire services and forces responsible for maintaining public order."</w:t>
      </w:r>
    </w:p>
    <w:p w:rsidR="00F23EAE" w:rsidRPr="00F23EAE" w:rsidRDefault="00F23EAE" w:rsidP="00C81C30">
      <w:pPr>
        <w:keepNext/>
        <w:keepLines/>
        <w:spacing w:after="120"/>
        <w:ind w:left="2160" w:right="1140" w:hanging="1026"/>
        <w:jc w:val="both"/>
        <w:rPr>
          <w:rFonts w:eastAsia="MS Mincho"/>
          <w:noProof/>
        </w:rPr>
      </w:pPr>
      <w:r w:rsidRPr="00F23EAE">
        <w:rPr>
          <w:rFonts w:eastAsia="MS Mincho"/>
          <w:i/>
          <w:noProof/>
        </w:rPr>
        <w:t>Paragraphs 7.1.1. to 7.1.1.2.,</w:t>
      </w:r>
      <w:r w:rsidRPr="00F23EAE">
        <w:rPr>
          <w:rFonts w:eastAsia="MS Mincho"/>
          <w:noProof/>
        </w:rPr>
        <w:t xml:space="preserve"> amend to read:</w:t>
      </w:r>
    </w:p>
    <w:p w:rsidR="00F23EAE" w:rsidRPr="00F23EAE" w:rsidRDefault="00F23EAE" w:rsidP="00F23EAE">
      <w:pPr>
        <w:spacing w:after="120"/>
        <w:ind w:left="2268" w:right="1138" w:hanging="1134"/>
        <w:jc w:val="both"/>
        <w:rPr>
          <w:rFonts w:eastAsia="MS Mincho"/>
        </w:rPr>
      </w:pPr>
      <w:r w:rsidRPr="00F23EAE">
        <w:rPr>
          <w:rFonts w:eastAsia="MS Mincho"/>
          <w:noProof/>
        </w:rPr>
        <w:t>"7.1.1.</w:t>
      </w:r>
      <w:r w:rsidRPr="00F23EAE">
        <w:rPr>
          <w:rFonts w:eastAsia="MS Mincho"/>
          <w:noProof/>
        </w:rPr>
        <w:tab/>
      </w:r>
      <w:r w:rsidRPr="00F23EAE">
        <w:rPr>
          <w:rFonts w:eastAsia="MS Mincho"/>
        </w:rPr>
        <w:t xml:space="preserve">The manufacturer shall specify a value </w:t>
      </w:r>
      <w:proofErr w:type="spellStart"/>
      <w:r w:rsidRPr="00F23EAE">
        <w:rPr>
          <w:rFonts w:eastAsia="MS Mincho"/>
        </w:rPr>
        <w:t>CD</w:t>
      </w:r>
      <w:r w:rsidRPr="00F23EAE">
        <w:rPr>
          <w:rFonts w:eastAsia="MS Mincho"/>
          <w:vertAlign w:val="subscript"/>
        </w:rPr>
        <w:t>min</w:t>
      </w:r>
      <w:proofErr w:type="spellEnd"/>
      <w:r w:rsidRPr="00F23EAE">
        <w:rPr>
          <w:rFonts w:eastAsia="MS Mincho"/>
        </w:rPr>
        <w:t xml:space="preserve">, which is greater than the highest reagent concentration that results in tailpipe emissions exceeding the limit values specified in paragraph 5.3. </w:t>
      </w:r>
      <w:proofErr w:type="gramStart"/>
      <w:r w:rsidRPr="00F23EAE">
        <w:rPr>
          <w:rFonts w:eastAsia="MS Mincho"/>
        </w:rPr>
        <w:t>of</w:t>
      </w:r>
      <w:proofErr w:type="gramEnd"/>
      <w:r w:rsidRPr="00F23EAE">
        <w:rPr>
          <w:rFonts w:eastAsia="MS Mincho"/>
        </w:rPr>
        <w:t xml:space="preserve"> this Regulation.</w:t>
      </w:r>
    </w:p>
    <w:p w:rsidR="00F23EAE" w:rsidRPr="00F23EAE" w:rsidRDefault="00F23EAE" w:rsidP="00F23EAE">
      <w:pPr>
        <w:spacing w:after="120"/>
        <w:ind w:left="2268" w:right="1138" w:hanging="1134"/>
        <w:jc w:val="both"/>
        <w:rPr>
          <w:rFonts w:eastAsia="MS Mincho"/>
        </w:rPr>
      </w:pPr>
      <w:r w:rsidRPr="00F23EAE">
        <w:rPr>
          <w:rFonts w:eastAsia="MS Mincho"/>
        </w:rPr>
        <w:t>7.1.1.1.</w:t>
      </w:r>
      <w:r w:rsidRPr="00F23EAE">
        <w:rPr>
          <w:rFonts w:eastAsia="MS Mincho"/>
        </w:rPr>
        <w:tab/>
        <w:t xml:space="preserve">During the phase-in period specified in paragraph 4.10.7. </w:t>
      </w:r>
      <w:proofErr w:type="gramStart"/>
      <w:r w:rsidRPr="00F23EAE">
        <w:rPr>
          <w:rFonts w:eastAsia="MS Mincho"/>
        </w:rPr>
        <w:t>of</w:t>
      </w:r>
      <w:proofErr w:type="gramEnd"/>
      <w:r w:rsidRPr="00F23EAE">
        <w:rPr>
          <w:rFonts w:eastAsia="MS Mincho"/>
        </w:rPr>
        <w:t xml:space="preserve"> this Regulation and upon request of the manufacturer for the purpose of paragraph 7.1.1. </w:t>
      </w:r>
      <w:proofErr w:type="gramStart"/>
      <w:r w:rsidRPr="00F23EAE">
        <w:rPr>
          <w:rFonts w:eastAsia="MS Mincho"/>
        </w:rPr>
        <w:t>the</w:t>
      </w:r>
      <w:proofErr w:type="gramEnd"/>
      <w:r w:rsidRPr="00F23EAE">
        <w:rPr>
          <w:rFonts w:eastAsia="MS Mincho"/>
        </w:rPr>
        <w:t xml:space="preserve"> reference to the </w:t>
      </w:r>
      <w:proofErr w:type="spellStart"/>
      <w:r w:rsidRPr="00F23EAE">
        <w:rPr>
          <w:rFonts w:eastAsia="MS Mincho"/>
        </w:rPr>
        <w:t>NO</w:t>
      </w:r>
      <w:r w:rsidRPr="00F23EAE">
        <w:rPr>
          <w:rFonts w:eastAsia="MS Mincho"/>
          <w:vertAlign w:val="subscript"/>
        </w:rPr>
        <w:t>x</w:t>
      </w:r>
      <w:proofErr w:type="spellEnd"/>
      <w:r w:rsidRPr="00F23EAE">
        <w:rPr>
          <w:rFonts w:eastAsia="MS Mincho"/>
        </w:rPr>
        <w:t xml:space="preserve"> emission limit specified in paragraph 5.3. </w:t>
      </w:r>
      <w:proofErr w:type="gramStart"/>
      <w:r w:rsidRPr="00F23EAE">
        <w:rPr>
          <w:rFonts w:eastAsia="MS Mincho"/>
        </w:rPr>
        <w:t>to</w:t>
      </w:r>
      <w:proofErr w:type="gramEnd"/>
      <w:r w:rsidRPr="00F23EAE">
        <w:rPr>
          <w:rFonts w:eastAsia="MS Mincho"/>
        </w:rPr>
        <w:t xml:space="preserve"> this Regulation shall be replaced by the value of 900 mg/kWh.</w:t>
      </w:r>
    </w:p>
    <w:p w:rsidR="00F23EAE" w:rsidRPr="00F23EAE" w:rsidRDefault="00F23EAE" w:rsidP="00F23EAE">
      <w:pPr>
        <w:spacing w:after="120"/>
        <w:ind w:left="2268" w:right="1138" w:hanging="1134"/>
        <w:jc w:val="both"/>
        <w:rPr>
          <w:rFonts w:eastAsia="MS Mincho"/>
        </w:rPr>
      </w:pPr>
      <w:r w:rsidRPr="00F23EAE">
        <w:rPr>
          <w:rFonts w:eastAsia="MS Mincho"/>
        </w:rPr>
        <w:t>7.1.1.2.</w:t>
      </w:r>
      <w:r w:rsidRPr="00F23EAE">
        <w:rPr>
          <w:rFonts w:eastAsia="MS Mincho"/>
        </w:rPr>
        <w:tab/>
        <w:t xml:space="preserve">The value of </w:t>
      </w:r>
      <w:proofErr w:type="spellStart"/>
      <w:r w:rsidRPr="00F23EAE">
        <w:rPr>
          <w:rFonts w:eastAsia="MS Mincho"/>
        </w:rPr>
        <w:t>CD</w:t>
      </w:r>
      <w:r w:rsidRPr="00F23EAE">
        <w:rPr>
          <w:rFonts w:eastAsia="MS Mincho"/>
          <w:vertAlign w:val="subscript"/>
        </w:rPr>
        <w:t>min</w:t>
      </w:r>
      <w:proofErr w:type="spellEnd"/>
      <w:r w:rsidRPr="00F23EAE">
        <w:rPr>
          <w:rFonts w:eastAsia="MS Mincho"/>
        </w:rPr>
        <w:t xml:space="preserve"> shall be demonstrated during type approval by the procedure defined in Appendix 6 to this annex and recorded in the extended documentation package as specified in paragraph 5.1.4. </w:t>
      </w:r>
      <w:proofErr w:type="gramStart"/>
      <w:r w:rsidRPr="00F23EAE">
        <w:rPr>
          <w:rFonts w:eastAsia="MS Mincho"/>
        </w:rPr>
        <w:t>to</w:t>
      </w:r>
      <w:proofErr w:type="gramEnd"/>
      <w:r w:rsidRPr="00F23EAE">
        <w:rPr>
          <w:rFonts w:eastAsia="MS Mincho"/>
        </w:rPr>
        <w:t xml:space="preserve"> this Regulation."</w:t>
      </w:r>
    </w:p>
    <w:p w:rsidR="00F23EAE" w:rsidRPr="00F23EAE" w:rsidRDefault="00F23EAE" w:rsidP="00F23EAE">
      <w:pPr>
        <w:spacing w:after="120"/>
        <w:ind w:left="2268" w:right="1138" w:hanging="1134"/>
        <w:jc w:val="both"/>
        <w:rPr>
          <w:rFonts w:eastAsia="MS Mincho"/>
          <w:i/>
          <w:noProof/>
        </w:rPr>
      </w:pPr>
      <w:r w:rsidRPr="00F23EAE">
        <w:rPr>
          <w:rFonts w:eastAsia="MS Mincho"/>
          <w:i/>
          <w:noProof/>
        </w:rPr>
        <w:t xml:space="preserve">Paragraph 8., title, </w:t>
      </w:r>
      <w:r w:rsidRPr="00F23EAE">
        <w:rPr>
          <w:rFonts w:eastAsia="MS Mincho"/>
          <w:noProof/>
        </w:rPr>
        <w:t>amend to read:</w:t>
      </w:r>
    </w:p>
    <w:p w:rsidR="00F23EAE" w:rsidRPr="00F23EAE" w:rsidRDefault="00F23EAE" w:rsidP="00F23EAE">
      <w:pPr>
        <w:spacing w:after="120"/>
        <w:ind w:left="2268" w:right="1134" w:hanging="1134"/>
        <w:jc w:val="both"/>
        <w:rPr>
          <w:rFonts w:eastAsia="MS Mincho"/>
        </w:rPr>
      </w:pPr>
      <w:r w:rsidRPr="00F23EAE">
        <w:rPr>
          <w:rFonts w:eastAsia="MS Mincho"/>
        </w:rPr>
        <w:t>"8.</w:t>
      </w:r>
      <w:r w:rsidRPr="00F23EAE">
        <w:rPr>
          <w:rFonts w:eastAsia="MS Mincho"/>
        </w:rPr>
        <w:tab/>
      </w:r>
      <w:r w:rsidRPr="00F23EAE">
        <w:rPr>
          <w:rFonts w:eastAsia="MS Mincho"/>
        </w:rPr>
        <w:tab/>
        <w:t>Reagent consumption and dosing activity monitoring"</w:t>
      </w:r>
    </w:p>
    <w:p w:rsidR="00F23EAE" w:rsidRPr="00F23EAE" w:rsidRDefault="00F23EAE" w:rsidP="00F23EAE">
      <w:pPr>
        <w:spacing w:after="120"/>
        <w:ind w:left="2268" w:right="1138" w:hanging="1134"/>
        <w:jc w:val="both"/>
        <w:rPr>
          <w:rFonts w:eastAsia="MS Mincho"/>
          <w:i/>
          <w:noProof/>
        </w:rPr>
      </w:pPr>
      <w:r w:rsidRPr="00F23EAE">
        <w:rPr>
          <w:rFonts w:eastAsia="MS Mincho"/>
          <w:i/>
          <w:noProof/>
        </w:rPr>
        <w:t xml:space="preserve">Paragraph 8.1., </w:t>
      </w:r>
      <w:r w:rsidRPr="00F23EAE">
        <w:rPr>
          <w:rFonts w:eastAsia="MS Mincho"/>
          <w:noProof/>
        </w:rPr>
        <w:t>amend to read:</w:t>
      </w:r>
    </w:p>
    <w:p w:rsidR="00F23EAE" w:rsidRPr="00F23EAE" w:rsidRDefault="00F23EAE" w:rsidP="00F23EAE">
      <w:pPr>
        <w:spacing w:after="120"/>
        <w:ind w:left="2268" w:right="1134" w:hanging="1134"/>
        <w:jc w:val="both"/>
        <w:rPr>
          <w:rFonts w:eastAsia="MS Mincho"/>
        </w:rPr>
      </w:pPr>
      <w:r w:rsidRPr="00F23EAE">
        <w:rPr>
          <w:rFonts w:eastAsia="MS Mincho"/>
        </w:rPr>
        <w:t>"8.1.</w:t>
      </w:r>
      <w:r w:rsidRPr="00F23EAE">
        <w:rPr>
          <w:rFonts w:eastAsia="MS Mincho"/>
        </w:rPr>
        <w:tab/>
        <w:t>The vehicle shall include means of determining reagent consumption, interruption of the reagent dosing activity and providing off-board access to consumption information."</w:t>
      </w:r>
    </w:p>
    <w:p w:rsidR="00F23EAE" w:rsidRPr="00F23EAE" w:rsidRDefault="00F23EAE" w:rsidP="00F23EAE">
      <w:pPr>
        <w:spacing w:after="120"/>
        <w:ind w:left="2268" w:right="1138" w:hanging="1134"/>
        <w:jc w:val="both"/>
        <w:rPr>
          <w:rFonts w:eastAsia="MS Mincho"/>
          <w:i/>
          <w:noProof/>
        </w:rPr>
      </w:pPr>
      <w:r w:rsidRPr="00F23EAE">
        <w:rPr>
          <w:rFonts w:eastAsia="MS Mincho"/>
          <w:i/>
          <w:noProof/>
        </w:rPr>
        <w:t xml:space="preserve">Paragraph 8.3.1., </w:t>
      </w:r>
      <w:r w:rsidRPr="00F23EAE">
        <w:rPr>
          <w:rFonts w:eastAsia="MS Mincho"/>
          <w:noProof/>
        </w:rPr>
        <w:t>amend to read:</w:t>
      </w:r>
    </w:p>
    <w:p w:rsidR="00F23EAE" w:rsidRPr="00F23EAE" w:rsidRDefault="00F23EAE" w:rsidP="00F23EAE">
      <w:pPr>
        <w:spacing w:after="120"/>
        <w:ind w:left="2268" w:right="1134" w:hanging="1134"/>
        <w:jc w:val="both"/>
        <w:rPr>
          <w:rFonts w:eastAsia="MS Mincho"/>
        </w:rPr>
      </w:pPr>
      <w:r w:rsidRPr="00F23EAE">
        <w:rPr>
          <w:rFonts w:eastAsia="MS Mincho"/>
        </w:rPr>
        <w:t>"8.3.1.</w:t>
      </w:r>
      <w:r w:rsidRPr="00F23EAE">
        <w:rPr>
          <w:rFonts w:eastAsia="MS Mincho"/>
        </w:rPr>
        <w:tab/>
        <w:t>The maximum detection period for insufficient reagent consumption is five</w:t>
      </w:r>
      <w:r w:rsidRPr="00F23EAE">
        <w:rPr>
          <w:rFonts w:eastAsia="MS Mincho"/>
          <w:b/>
        </w:rPr>
        <w:t xml:space="preserve"> </w:t>
      </w:r>
      <w:r w:rsidRPr="00F23EAE">
        <w:rPr>
          <w:rFonts w:eastAsia="MS Mincho"/>
        </w:rPr>
        <w:t>hours or the period equivalent to a demanded reagent consumption of at least 2 litres, whichever is longer."</w:t>
      </w:r>
    </w:p>
    <w:p w:rsidR="00F23EAE" w:rsidRPr="00F23EAE" w:rsidRDefault="00F23EAE" w:rsidP="00F23EAE">
      <w:pPr>
        <w:spacing w:after="120"/>
        <w:ind w:left="2268" w:right="1134" w:hanging="1134"/>
        <w:jc w:val="both"/>
        <w:rPr>
          <w:rFonts w:eastAsia="MS Mincho"/>
          <w:noProof/>
        </w:rPr>
      </w:pPr>
      <w:r w:rsidRPr="00F23EAE">
        <w:rPr>
          <w:rFonts w:eastAsia="MS Mincho"/>
          <w:i/>
          <w:noProof/>
        </w:rPr>
        <w:t>Insert new paragraph 8.3.1.1.,</w:t>
      </w:r>
      <w:r w:rsidRPr="00F23EAE">
        <w:rPr>
          <w:rFonts w:eastAsia="MS Mincho"/>
          <w:noProof/>
        </w:rPr>
        <w:t xml:space="preserve"> to read:</w:t>
      </w:r>
    </w:p>
    <w:p w:rsidR="00F23EAE" w:rsidRPr="00F23EAE" w:rsidRDefault="00F23EAE" w:rsidP="00F23EAE">
      <w:pPr>
        <w:spacing w:after="120"/>
        <w:ind w:left="2268" w:right="1134" w:hanging="1134"/>
        <w:jc w:val="both"/>
        <w:rPr>
          <w:rFonts w:eastAsia="MS Mincho"/>
        </w:rPr>
      </w:pPr>
      <w:r w:rsidRPr="00F23EAE">
        <w:rPr>
          <w:rFonts w:eastAsia="MS Mincho"/>
        </w:rPr>
        <w:t>"8.3.1.1.</w:t>
      </w:r>
      <w:r w:rsidRPr="00F23EAE">
        <w:rPr>
          <w:rFonts w:eastAsia="MS Mincho"/>
        </w:rPr>
        <w:tab/>
        <w:t xml:space="preserve">When the reagent consumption is monitored by using at least one of the following parameters: </w:t>
      </w:r>
    </w:p>
    <w:p w:rsidR="00F23EAE" w:rsidRPr="00F23EAE" w:rsidRDefault="00F23EAE" w:rsidP="00F23EAE">
      <w:pPr>
        <w:spacing w:after="120"/>
        <w:ind w:left="2694" w:right="1134" w:hanging="426"/>
        <w:jc w:val="both"/>
        <w:rPr>
          <w:rFonts w:eastAsia="MS Mincho"/>
        </w:rPr>
      </w:pPr>
      <w:r w:rsidRPr="00F23EAE">
        <w:rPr>
          <w:rFonts w:eastAsia="MS Mincho"/>
        </w:rPr>
        <w:t>(a)</w:t>
      </w:r>
      <w:r w:rsidRPr="00F23EAE">
        <w:rPr>
          <w:rFonts w:eastAsia="MS Mincho"/>
        </w:rPr>
        <w:tab/>
        <w:t>The level of reagent in the on-vehicle storage tank, or</w:t>
      </w:r>
    </w:p>
    <w:p w:rsidR="00F23EAE" w:rsidRPr="00F23EAE" w:rsidRDefault="00F23EAE" w:rsidP="00F23EAE">
      <w:pPr>
        <w:spacing w:after="120"/>
        <w:ind w:left="2694" w:right="1134" w:hanging="426"/>
        <w:jc w:val="both"/>
        <w:rPr>
          <w:rFonts w:eastAsia="MS Mincho"/>
        </w:rPr>
      </w:pPr>
      <w:r w:rsidRPr="00F23EAE">
        <w:rPr>
          <w:rFonts w:eastAsia="MS Mincho"/>
        </w:rPr>
        <w:t>(b)</w:t>
      </w:r>
      <w:r w:rsidRPr="00F23EAE">
        <w:rPr>
          <w:rFonts w:eastAsia="MS Mincho"/>
        </w:rPr>
        <w:tab/>
        <w:t>The flow of reagent or quantity of reagent injected at a position as close as technically possible to the point of injection into an exhaust after-treatment system,</w:t>
      </w:r>
    </w:p>
    <w:p w:rsidR="00F23EAE" w:rsidRPr="00F23EAE" w:rsidRDefault="00F23EAE" w:rsidP="00F23EAE">
      <w:pPr>
        <w:spacing w:after="120"/>
        <w:ind w:left="2268" w:right="1134"/>
        <w:jc w:val="both"/>
        <w:rPr>
          <w:rFonts w:eastAsia="MS Mincho"/>
          <w:b/>
        </w:rPr>
      </w:pPr>
      <w:r w:rsidRPr="00F23EAE">
        <w:rPr>
          <w:rFonts w:eastAsia="MS Mincho"/>
        </w:rPr>
        <w:t>The maximum detection period for insufficient reagent consumption is extended to 48 hours or to the period equivalent to a demanded reagent consumption of at least 15 litres, whichever is longer."</w:t>
      </w:r>
    </w:p>
    <w:p w:rsidR="00F23EAE" w:rsidRPr="00F23EAE" w:rsidRDefault="00F23EAE" w:rsidP="00F23EAE">
      <w:pPr>
        <w:spacing w:after="120"/>
        <w:ind w:left="2268" w:right="1138" w:hanging="1134"/>
        <w:jc w:val="both"/>
        <w:rPr>
          <w:rFonts w:eastAsia="MS Mincho"/>
          <w:noProof/>
        </w:rPr>
      </w:pPr>
      <w:r w:rsidRPr="00F23EAE">
        <w:rPr>
          <w:rFonts w:eastAsia="MS Mincho"/>
          <w:i/>
          <w:noProof/>
        </w:rPr>
        <w:t xml:space="preserve">Paragraph 8.3.2. </w:t>
      </w:r>
      <w:r w:rsidRPr="00F23EAE">
        <w:rPr>
          <w:rFonts w:eastAsia="MS Mincho"/>
          <w:noProof/>
        </w:rPr>
        <w:t>shall be deleted.</w:t>
      </w:r>
    </w:p>
    <w:p w:rsidR="00F23EAE" w:rsidRPr="00F23EAE" w:rsidRDefault="00F23EAE" w:rsidP="00F23EAE">
      <w:pPr>
        <w:tabs>
          <w:tab w:val="left" w:pos="2160"/>
        </w:tabs>
        <w:spacing w:after="120"/>
        <w:ind w:left="2160" w:right="1138" w:hanging="1026"/>
        <w:jc w:val="both"/>
        <w:rPr>
          <w:rFonts w:eastAsia="MS Mincho"/>
          <w:noProof/>
        </w:rPr>
      </w:pPr>
      <w:r w:rsidRPr="00F23EAE">
        <w:rPr>
          <w:rFonts w:eastAsia="MS Mincho"/>
          <w:i/>
          <w:noProof/>
        </w:rPr>
        <w:t xml:space="preserve">Paragraph 8.4.1., </w:t>
      </w:r>
      <w:r w:rsidRPr="00F23EAE">
        <w:rPr>
          <w:rFonts w:eastAsia="MS Mincho"/>
          <w:noProof/>
        </w:rPr>
        <w:t>amend to read:</w:t>
      </w:r>
    </w:p>
    <w:p w:rsidR="00F23EAE" w:rsidRPr="00F23EAE" w:rsidRDefault="00F23EAE" w:rsidP="00F23EAE">
      <w:pPr>
        <w:spacing w:after="120"/>
        <w:ind w:left="2268" w:right="1134" w:hanging="1134"/>
        <w:jc w:val="both"/>
        <w:rPr>
          <w:rFonts w:eastAsia="MS Mincho"/>
        </w:rPr>
      </w:pPr>
      <w:r w:rsidRPr="00F23EAE">
        <w:rPr>
          <w:rFonts w:eastAsia="MS Mincho"/>
          <w:noProof/>
        </w:rPr>
        <w:t>"8.4.1.</w:t>
      </w:r>
      <w:r w:rsidRPr="00F23EAE">
        <w:rPr>
          <w:rFonts w:eastAsia="MS Mincho"/>
          <w:noProof/>
        </w:rPr>
        <w:tab/>
        <w:t>The driver warning system described in paragraph 4. shall be activated if a deviation of more than fifty per cent between the average reagent consumption and the average demanded reagent consumption by the engine system over a period to be defined by the manufacturer, which shall not be longer than the maximum period defined in paragraph 8.3.1., or, when applicable, paragraph 8.3.1.1., is detected. When the warning system includes a message display system, it shall display a message indicating the reason for the warning (for example: "urea dosing malfunction", "AdBlue dosing malfunction", or "reagent dosing malfunction")."</w:t>
      </w:r>
    </w:p>
    <w:p w:rsidR="00F23EAE" w:rsidRPr="00F23EAE" w:rsidRDefault="00F23EAE" w:rsidP="00F23EAE">
      <w:pPr>
        <w:tabs>
          <w:tab w:val="left" w:pos="2160"/>
        </w:tabs>
        <w:spacing w:after="120"/>
        <w:ind w:left="2160" w:right="1138" w:hanging="1026"/>
        <w:jc w:val="both"/>
        <w:rPr>
          <w:rFonts w:eastAsia="MS Mincho"/>
          <w:noProof/>
        </w:rPr>
      </w:pPr>
      <w:r w:rsidRPr="00F23EAE">
        <w:rPr>
          <w:rFonts w:eastAsia="MS Mincho"/>
          <w:i/>
          <w:noProof/>
        </w:rPr>
        <w:t xml:space="preserve">Paragraph 8.4.1.1. </w:t>
      </w:r>
      <w:r w:rsidRPr="00F23EAE">
        <w:rPr>
          <w:rFonts w:eastAsia="MS Mincho"/>
          <w:noProof/>
        </w:rPr>
        <w:t>shall be deleted.</w:t>
      </w:r>
    </w:p>
    <w:p w:rsidR="00A0725A" w:rsidRDefault="00F23EAE" w:rsidP="00F23EAE">
      <w:pPr>
        <w:tabs>
          <w:tab w:val="left" w:pos="2160"/>
        </w:tabs>
        <w:spacing w:after="120"/>
        <w:ind w:left="2160" w:right="1134" w:hanging="1026"/>
        <w:jc w:val="both"/>
        <w:rPr>
          <w:rFonts w:eastAsia="MS Mincho"/>
          <w:i/>
        </w:rPr>
      </w:pPr>
      <w:r w:rsidRPr="00F23EAE">
        <w:rPr>
          <w:rFonts w:eastAsia="MS Mincho"/>
          <w:i/>
        </w:rPr>
        <w:t xml:space="preserve">Appendix 2, </w:t>
      </w:r>
    </w:p>
    <w:p w:rsidR="00F23EAE" w:rsidRPr="00F23EAE" w:rsidRDefault="00A0725A" w:rsidP="00F23EAE">
      <w:pPr>
        <w:tabs>
          <w:tab w:val="left" w:pos="2160"/>
        </w:tabs>
        <w:spacing w:after="120"/>
        <w:ind w:left="2160" w:right="1134" w:hanging="1026"/>
        <w:jc w:val="both"/>
        <w:rPr>
          <w:rFonts w:eastAsia="MS Mincho"/>
        </w:rPr>
      </w:pPr>
      <w:r>
        <w:rPr>
          <w:rFonts w:eastAsia="MS Mincho"/>
          <w:i/>
        </w:rPr>
        <w:t>P</w:t>
      </w:r>
      <w:r w:rsidRPr="00F23EAE">
        <w:rPr>
          <w:rFonts w:eastAsia="MS Mincho"/>
          <w:i/>
        </w:rPr>
        <w:t xml:space="preserve">aragraph </w:t>
      </w:r>
      <w:r w:rsidR="00F23EAE" w:rsidRPr="00F23EAE">
        <w:rPr>
          <w:rFonts w:eastAsia="MS Mincho"/>
          <w:i/>
        </w:rPr>
        <w:t>A.2.4.1.1.</w:t>
      </w:r>
      <w:proofErr w:type="gramStart"/>
      <w:r w:rsidR="00F23EAE" w:rsidRPr="00F23EAE">
        <w:rPr>
          <w:rFonts w:eastAsia="MS Mincho"/>
          <w:i/>
        </w:rPr>
        <w:t>,first</w:t>
      </w:r>
      <w:proofErr w:type="gramEnd"/>
      <w:r w:rsidR="00F23EAE" w:rsidRPr="00F23EAE">
        <w:rPr>
          <w:rFonts w:eastAsia="MS Mincho"/>
          <w:i/>
        </w:rPr>
        <w:t xml:space="preserve"> sentence</w:t>
      </w:r>
      <w:r w:rsidR="00F23EAE" w:rsidRPr="00F23EAE">
        <w:rPr>
          <w:rFonts w:eastAsia="MS Mincho"/>
        </w:rPr>
        <w:t xml:space="preserve"> amend to read:</w:t>
      </w:r>
    </w:p>
    <w:p w:rsidR="00F23EAE" w:rsidRPr="00F23EAE" w:rsidRDefault="00F23EAE" w:rsidP="00F23EAE">
      <w:pPr>
        <w:spacing w:after="120"/>
        <w:ind w:left="2268" w:right="1134" w:hanging="1134"/>
        <w:jc w:val="both"/>
        <w:rPr>
          <w:rFonts w:eastAsia="MS Mincho"/>
        </w:rPr>
      </w:pPr>
      <w:r w:rsidRPr="00F23EAE">
        <w:rPr>
          <w:rFonts w:eastAsia="MS Mincho"/>
        </w:rPr>
        <w:t>"A.2.4.1.1.</w:t>
      </w:r>
      <w:r w:rsidRPr="00F23EAE">
        <w:rPr>
          <w:rFonts w:eastAsia="MS Mincho"/>
        </w:rPr>
        <w:tab/>
        <w:t>To comply with the requirements of this annex, the system shall contain separate counters to record the number of hours during which the engine has been operated while the system has detected any of the following: .…"</w:t>
      </w:r>
    </w:p>
    <w:p w:rsidR="00F23EAE" w:rsidRPr="00F23EAE" w:rsidRDefault="00F23EAE" w:rsidP="00F23EAE">
      <w:pPr>
        <w:tabs>
          <w:tab w:val="left" w:pos="2160"/>
        </w:tabs>
        <w:spacing w:after="120"/>
        <w:ind w:left="2268" w:right="1138" w:hanging="1134"/>
        <w:jc w:val="both"/>
        <w:rPr>
          <w:rFonts w:eastAsia="MS Mincho"/>
          <w:i/>
          <w:noProof/>
        </w:rPr>
      </w:pPr>
      <w:r w:rsidRPr="00F23EAE">
        <w:rPr>
          <w:rFonts w:eastAsia="MS Mincho"/>
          <w:i/>
          <w:noProof/>
        </w:rPr>
        <w:t>Annex 15</w:t>
      </w:r>
      <w:r w:rsidR="00A0725A">
        <w:rPr>
          <w:rFonts w:eastAsia="MS Mincho"/>
          <w:i/>
          <w:noProof/>
        </w:rPr>
        <w:t>,</w:t>
      </w:r>
    </w:p>
    <w:p w:rsidR="00F23EAE" w:rsidRPr="00F23EAE" w:rsidRDefault="00F23EAE" w:rsidP="00F23EAE">
      <w:pPr>
        <w:tabs>
          <w:tab w:val="left" w:pos="2160"/>
        </w:tabs>
        <w:spacing w:after="120"/>
        <w:ind w:left="2268" w:right="1138" w:hanging="1134"/>
        <w:jc w:val="both"/>
        <w:rPr>
          <w:rFonts w:eastAsia="MS Mincho"/>
          <w:noProof/>
        </w:rPr>
      </w:pPr>
      <w:r w:rsidRPr="00F23EAE">
        <w:rPr>
          <w:rFonts w:eastAsia="MS Mincho"/>
          <w:i/>
          <w:noProof/>
        </w:rPr>
        <w:t>Paragraph 4.2.2.,</w:t>
      </w:r>
      <w:r w:rsidRPr="00F23EAE">
        <w:rPr>
          <w:rFonts w:eastAsia="MS Mincho"/>
          <w:noProof/>
        </w:rPr>
        <w:t xml:space="preserve"> amend to read:</w:t>
      </w:r>
    </w:p>
    <w:p w:rsidR="00F23EAE" w:rsidRPr="00F23EAE" w:rsidRDefault="00F23EAE" w:rsidP="00F23EAE">
      <w:pPr>
        <w:spacing w:after="120"/>
        <w:ind w:left="2268" w:right="1134" w:hanging="1134"/>
        <w:jc w:val="both"/>
        <w:rPr>
          <w:rFonts w:eastAsia="MS Mincho"/>
        </w:rPr>
      </w:pPr>
      <w:r w:rsidRPr="00F23EAE">
        <w:rPr>
          <w:rFonts w:eastAsia="MS Mincho"/>
        </w:rPr>
        <w:t>"4.2.2.</w:t>
      </w:r>
      <w:r w:rsidRPr="00F23EAE">
        <w:rPr>
          <w:rFonts w:eastAsia="MS Mincho"/>
        </w:rPr>
        <w:tab/>
        <w:t>The operability restriction applicable to dual-fuel vehicles when they operate in service mode is the one activated by the "</w:t>
      </w:r>
      <w:r w:rsidRPr="00F23EAE">
        <w:rPr>
          <w:rFonts w:eastAsia="MS Mincho"/>
          <w:i/>
        </w:rPr>
        <w:t>severe inducement system</w:t>
      </w:r>
      <w:r w:rsidRPr="00F23EAE">
        <w:rPr>
          <w:rFonts w:eastAsia="MS Mincho"/>
        </w:rPr>
        <w:t>" specified in Annex 11 or, in the special case described in paragraph 4.2.2.3., the power limitation described in that section."</w:t>
      </w:r>
    </w:p>
    <w:p w:rsidR="00F23EAE" w:rsidRPr="00F23EAE" w:rsidRDefault="00F23EAE" w:rsidP="00F23EAE">
      <w:pPr>
        <w:tabs>
          <w:tab w:val="left" w:pos="1440"/>
          <w:tab w:val="left" w:pos="2160"/>
        </w:tabs>
        <w:spacing w:after="120"/>
        <w:ind w:left="1134" w:right="1134"/>
        <w:jc w:val="both"/>
      </w:pPr>
      <w:r w:rsidRPr="00F23EAE">
        <w:rPr>
          <w:i/>
        </w:rPr>
        <w:t xml:space="preserve">Insert new paragraphs 4.2.2.2. </w:t>
      </w:r>
      <w:proofErr w:type="gramStart"/>
      <w:r w:rsidRPr="00F23EAE">
        <w:rPr>
          <w:i/>
        </w:rPr>
        <w:t>to</w:t>
      </w:r>
      <w:proofErr w:type="gramEnd"/>
      <w:r w:rsidRPr="00F23EAE">
        <w:rPr>
          <w:i/>
        </w:rPr>
        <w:t xml:space="preserve"> 4.2.2.3.3.,</w:t>
      </w:r>
      <w:r w:rsidRPr="00F23EAE">
        <w:t xml:space="preserve"> to read:</w:t>
      </w:r>
    </w:p>
    <w:p w:rsidR="00F23EAE" w:rsidRPr="00F23EAE" w:rsidRDefault="00F23EAE" w:rsidP="00F23EAE">
      <w:pPr>
        <w:spacing w:after="120"/>
        <w:ind w:left="2268" w:right="1134" w:hanging="1134"/>
        <w:jc w:val="both"/>
        <w:rPr>
          <w:rFonts w:eastAsia="MS Mincho"/>
        </w:rPr>
      </w:pPr>
      <w:r w:rsidRPr="00F23EAE">
        <w:rPr>
          <w:rFonts w:eastAsia="MS Mincho"/>
        </w:rPr>
        <w:t>"4.2.2.2.</w:t>
      </w:r>
      <w:r w:rsidRPr="00F23EAE">
        <w:rPr>
          <w:rFonts w:eastAsia="MS Mincho"/>
        </w:rPr>
        <w:tab/>
        <w:t>De-activation of the operability restriction</w:t>
      </w:r>
    </w:p>
    <w:p w:rsidR="00F23EAE" w:rsidRPr="00F23EAE" w:rsidRDefault="00F23EAE" w:rsidP="00F23EAE">
      <w:pPr>
        <w:spacing w:after="120"/>
        <w:ind w:left="2268" w:right="1134" w:hanging="1134"/>
        <w:jc w:val="both"/>
        <w:rPr>
          <w:rFonts w:eastAsia="MS Mincho"/>
        </w:rPr>
      </w:pPr>
      <w:r w:rsidRPr="00F23EAE">
        <w:rPr>
          <w:rFonts w:eastAsia="MS Mincho"/>
        </w:rPr>
        <w:tab/>
        <w:t xml:space="preserve">In case of an empty gas tank, the operability restriction in dual-fuel mode due to a lack of gaseous </w:t>
      </w:r>
      <w:proofErr w:type="gramStart"/>
      <w:r w:rsidRPr="00F23EAE">
        <w:rPr>
          <w:rFonts w:eastAsia="MS Mincho"/>
        </w:rPr>
        <w:t>fuel,</w:t>
      </w:r>
      <w:proofErr w:type="gramEnd"/>
      <w:r w:rsidRPr="00F23EAE">
        <w:rPr>
          <w:rFonts w:eastAsia="MS Mincho"/>
        </w:rPr>
        <w:t xml:space="preserve"> shall be de-activated as soon as the gas tank is refilled above the critical level.</w:t>
      </w:r>
    </w:p>
    <w:p w:rsidR="00F23EAE" w:rsidRPr="00F23EAE" w:rsidRDefault="00F23EAE" w:rsidP="00F23EAE">
      <w:pPr>
        <w:spacing w:after="120"/>
        <w:ind w:left="2268" w:right="1134" w:hanging="1134"/>
        <w:jc w:val="both"/>
        <w:rPr>
          <w:rFonts w:eastAsia="MS Mincho"/>
        </w:rPr>
      </w:pPr>
      <w:r w:rsidRPr="00F23EAE">
        <w:rPr>
          <w:rFonts w:eastAsia="MS Mincho"/>
        </w:rPr>
        <w:t>4.2.2.3.</w:t>
      </w:r>
      <w:r w:rsidRPr="00F23EAE">
        <w:rPr>
          <w:rFonts w:eastAsia="MS Mincho"/>
        </w:rPr>
        <w:tab/>
        <w:t xml:space="preserve">Repair and maintenance of LNG Type </w:t>
      </w:r>
      <w:proofErr w:type="gramStart"/>
      <w:r w:rsidRPr="00F23EAE">
        <w:rPr>
          <w:rFonts w:eastAsia="MS Mincho"/>
        </w:rPr>
        <w:t>A</w:t>
      </w:r>
      <w:proofErr w:type="gramEnd"/>
      <w:r w:rsidRPr="00F23EAE">
        <w:rPr>
          <w:rFonts w:eastAsia="MS Mincho"/>
        </w:rPr>
        <w:t xml:space="preserve"> dual-fuel engines and vehicles.</w:t>
      </w:r>
    </w:p>
    <w:p w:rsidR="00F23EAE" w:rsidRPr="00F23EAE" w:rsidRDefault="00F23EAE" w:rsidP="00F23EAE">
      <w:pPr>
        <w:spacing w:after="120"/>
        <w:ind w:left="2268" w:right="1134" w:hanging="1134"/>
        <w:jc w:val="both"/>
        <w:rPr>
          <w:rFonts w:eastAsia="MS Mincho"/>
        </w:rPr>
      </w:pPr>
      <w:r w:rsidRPr="00F23EAE">
        <w:rPr>
          <w:rFonts w:eastAsia="MS Mincho"/>
        </w:rPr>
        <w:tab/>
        <w:t>In the case of LNG Type A dual-fuel engines and vehicles, the manufacturer may, instead of limiting the vehicle speed at 20 km/h, opt for limiting the power of the engine to 20 per cent of the declared maximum power in dual-fuel mode, and this at any engine speed, when the service mode is activated during a repair or maintenance operation.</w:t>
      </w:r>
    </w:p>
    <w:p w:rsidR="00F23EAE" w:rsidRPr="00F23EAE" w:rsidRDefault="00F23EAE" w:rsidP="00F23EAE">
      <w:pPr>
        <w:spacing w:after="120"/>
        <w:ind w:left="2268" w:right="1134" w:hanging="1134"/>
        <w:jc w:val="both"/>
        <w:rPr>
          <w:rFonts w:eastAsia="MS Mincho"/>
        </w:rPr>
      </w:pPr>
      <w:r w:rsidRPr="00F23EAE">
        <w:rPr>
          <w:rFonts w:eastAsia="MS Mincho"/>
        </w:rPr>
        <w:t>4.2.2.3.1.</w:t>
      </w:r>
      <w:r w:rsidRPr="00F23EAE">
        <w:rPr>
          <w:rFonts w:eastAsia="MS Mincho"/>
        </w:rPr>
        <w:tab/>
        <w:t>The power limitation option may only be activated if the system concludes that the gas tank is empty not later than 5 minutes after engine cranking, the engine being at idle.</w:t>
      </w:r>
    </w:p>
    <w:p w:rsidR="00F23EAE" w:rsidRPr="00F23EAE" w:rsidRDefault="00F23EAE" w:rsidP="00F23EAE">
      <w:pPr>
        <w:spacing w:after="120"/>
        <w:ind w:left="2268" w:right="1134" w:hanging="1134"/>
        <w:jc w:val="both"/>
        <w:rPr>
          <w:rFonts w:eastAsia="MS Mincho"/>
        </w:rPr>
      </w:pPr>
      <w:r w:rsidRPr="00F23EAE">
        <w:rPr>
          <w:rFonts w:eastAsia="MS Mincho"/>
        </w:rPr>
        <w:t>4.2.2.3.2.</w:t>
      </w:r>
      <w:r w:rsidRPr="00F23EAE">
        <w:rPr>
          <w:rFonts w:eastAsia="MS Mincho"/>
        </w:rPr>
        <w:tab/>
        <w:t>The power limitation option shall not be activated when the system concludes that the gas tank is empty from a previous driving cycle and the gas tank has not been refilled.</w:t>
      </w:r>
    </w:p>
    <w:p w:rsidR="00F23EAE" w:rsidRPr="00F23EAE" w:rsidRDefault="00F23EAE" w:rsidP="00F23EAE">
      <w:pPr>
        <w:ind w:left="2268" w:right="1134" w:hanging="1134"/>
        <w:jc w:val="both"/>
      </w:pPr>
      <w:r w:rsidRPr="00F23EAE">
        <w:t>4.2.2.3.3.</w:t>
      </w:r>
      <w:r w:rsidRPr="00F23EAE">
        <w:tab/>
        <w:t>The manufacturer shall demonstrate at type-approval that the power limitation option can only be activated during a repair or maintenance operation."</w:t>
      </w:r>
    </w:p>
    <w:p w:rsidR="00F23EAE" w:rsidRPr="00F23EAE" w:rsidRDefault="00F23EAE" w:rsidP="00F23EAE">
      <w:pPr>
        <w:spacing w:before="240"/>
        <w:ind w:left="1134" w:right="1134"/>
        <w:jc w:val="center"/>
        <w:rPr>
          <w:u w:val="single"/>
        </w:rPr>
      </w:pPr>
      <w:r w:rsidRPr="00F23EAE">
        <w:rPr>
          <w:u w:val="single"/>
        </w:rPr>
        <w:tab/>
      </w:r>
      <w:r w:rsidRPr="00F23EAE">
        <w:rPr>
          <w:u w:val="single"/>
        </w:rPr>
        <w:tab/>
      </w:r>
      <w:r w:rsidRPr="00F23EAE">
        <w:rPr>
          <w:u w:val="single"/>
        </w:rPr>
        <w:tab/>
      </w:r>
    </w:p>
    <w:p w:rsidR="00776D12" w:rsidRDefault="00776D12" w:rsidP="00C711C7">
      <w:pPr>
        <w:jc w:val="center"/>
      </w:pPr>
    </w:p>
    <w:sectPr w:rsidR="00776D12" w:rsidSect="008311A3">
      <w:headerReference w:type="even" r:id="rId21"/>
      <w:headerReference w:type="default" r:id="rId22"/>
      <w:footerReference w:type="even" r:id="rId23"/>
      <w:footerReference w:type="default" r:id="rId2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8B7" w:rsidRDefault="008D38B7"/>
  </w:endnote>
  <w:endnote w:type="continuationSeparator" w:id="0">
    <w:p w:rsidR="008D38B7" w:rsidRDefault="008D38B7"/>
  </w:endnote>
  <w:endnote w:type="continuationNotice" w:id="1">
    <w:p w:rsidR="008D38B7" w:rsidRDefault="008D3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AE" w:rsidRDefault="00F23EAE" w:rsidP="00A63ECF">
    <w:pPr>
      <w:pStyle w:val="Footer"/>
      <w:tabs>
        <w:tab w:val="right" w:pos="9638"/>
      </w:tabs>
    </w:pPr>
    <w:r w:rsidRPr="00923752">
      <w:rPr>
        <w:b/>
        <w:sz w:val="18"/>
      </w:rPr>
      <w:fldChar w:fldCharType="begin"/>
    </w:r>
    <w:r w:rsidRPr="00923752">
      <w:rPr>
        <w:b/>
        <w:sz w:val="18"/>
      </w:rPr>
      <w:instrText xml:space="preserve"> PAGE  \* MERGEFORMAT </w:instrText>
    </w:r>
    <w:r w:rsidRPr="00923752">
      <w:rPr>
        <w:b/>
        <w:sz w:val="18"/>
      </w:rPr>
      <w:fldChar w:fldCharType="separate"/>
    </w:r>
    <w:r w:rsidR="00040CB5">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AE" w:rsidRDefault="00F23EAE" w:rsidP="00A63ECF">
    <w:pPr>
      <w:pStyle w:val="Footer"/>
      <w:tabs>
        <w:tab w:val="right" w:pos="9638"/>
      </w:tabs>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040CB5">
      <w:rPr>
        <w:b/>
        <w:noProof/>
        <w:sz w:val="18"/>
      </w:rPr>
      <w:t>3</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AE" w:rsidRPr="005C04B2" w:rsidRDefault="00F23EAE" w:rsidP="005C04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AE" w:rsidRPr="00D645B2" w:rsidRDefault="00F23EAE" w:rsidP="00D645B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AE" w:rsidRPr="00FC55A5" w:rsidRDefault="00F23EAE" w:rsidP="00C159BE">
    <w:pPr>
      <w:pStyle w:val="Footer"/>
      <w:jc w:val="right"/>
      <w:rPr>
        <w:b/>
      </w:rPr>
    </w:pPr>
    <w:r w:rsidRPr="00FC55A5">
      <w:rPr>
        <w:b/>
      </w:rPr>
      <w:fldChar w:fldCharType="begin"/>
    </w:r>
    <w:r w:rsidRPr="00FC55A5">
      <w:rPr>
        <w:b/>
      </w:rPr>
      <w:instrText>PAGE   \* MERGEFORMAT</w:instrText>
    </w:r>
    <w:r w:rsidRPr="00FC55A5">
      <w:rPr>
        <w:b/>
      </w:rPr>
      <w:fldChar w:fldCharType="separate"/>
    </w:r>
    <w:r w:rsidR="00040CB5" w:rsidRPr="00040CB5">
      <w:rPr>
        <w:b/>
        <w:noProof/>
        <w:lang w:val="fr-FR"/>
      </w:rPr>
      <w:t>5</w:t>
    </w:r>
    <w:r w:rsidRPr="00FC55A5">
      <w:rPr>
        <w: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40CB5">
      <w:rPr>
        <w:b/>
        <w:noProof/>
        <w:sz w:val="18"/>
        <w:szCs w:val="18"/>
      </w:rPr>
      <w:t>10</w:t>
    </w:r>
    <w:r w:rsidRPr="00D623A7">
      <w:rPr>
        <w:b/>
        <w:noProof/>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40CB5">
      <w:rPr>
        <w:b/>
        <w:noProof/>
        <w:sz w:val="18"/>
        <w:szCs w:val="18"/>
      </w:rPr>
      <w:t>9</w:t>
    </w:r>
    <w:r w:rsidRPr="00776D12">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8B7" w:rsidRPr="000B175B" w:rsidRDefault="008D38B7" w:rsidP="000B175B">
      <w:pPr>
        <w:tabs>
          <w:tab w:val="right" w:pos="2155"/>
        </w:tabs>
        <w:spacing w:after="80"/>
        <w:ind w:left="680"/>
        <w:rPr>
          <w:u w:val="single"/>
        </w:rPr>
      </w:pPr>
      <w:r>
        <w:rPr>
          <w:u w:val="single"/>
        </w:rPr>
        <w:tab/>
      </w:r>
    </w:p>
  </w:footnote>
  <w:footnote w:type="continuationSeparator" w:id="0">
    <w:p w:rsidR="008D38B7" w:rsidRPr="00FC68B7" w:rsidRDefault="008D38B7" w:rsidP="00FC68B7">
      <w:pPr>
        <w:tabs>
          <w:tab w:val="left" w:pos="2155"/>
        </w:tabs>
        <w:spacing w:after="80"/>
        <w:ind w:left="680"/>
        <w:rPr>
          <w:u w:val="single"/>
        </w:rPr>
      </w:pPr>
      <w:r>
        <w:rPr>
          <w:u w:val="single"/>
        </w:rPr>
        <w:tab/>
      </w:r>
    </w:p>
  </w:footnote>
  <w:footnote w:type="continuationNotice" w:id="1">
    <w:p w:rsidR="008D38B7" w:rsidRDefault="008D38B7"/>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08" w:rsidRDefault="00A12308">
    <w:pPr>
      <w:pStyle w:val="Header"/>
      <w:rPr>
        <w:szCs w:val="18"/>
      </w:rPr>
    </w:pPr>
    <w:r w:rsidRPr="00A12308">
      <w:rPr>
        <w:szCs w:val="18"/>
      </w:rPr>
      <w:t>E/</w:t>
    </w:r>
    <w:proofErr w:type="spellStart"/>
    <w:r w:rsidRPr="00A12308">
      <w:rPr>
        <w:szCs w:val="18"/>
      </w:rPr>
      <w:t>ECE</w:t>
    </w:r>
    <w:proofErr w:type="spellEnd"/>
    <w:r w:rsidRPr="00A12308">
      <w:rPr>
        <w:szCs w:val="18"/>
      </w:rPr>
      <w:t>/324/Rev.1/Add.48/Rev.6/Amend.3</w:t>
    </w:r>
  </w:p>
  <w:p w:rsidR="00F23EAE" w:rsidRPr="00A12308" w:rsidRDefault="00A12308">
    <w:pPr>
      <w:pStyle w:val="Header"/>
      <w:rPr>
        <w:szCs w:val="18"/>
        <w:lang w:val="en-US"/>
      </w:rPr>
    </w:pPr>
    <w:r w:rsidRPr="00A12308">
      <w:rPr>
        <w:szCs w:val="18"/>
      </w:rPr>
      <w:t>E/</w:t>
    </w:r>
    <w:proofErr w:type="spellStart"/>
    <w:r w:rsidRPr="00A12308">
      <w:rPr>
        <w:szCs w:val="18"/>
      </w:rPr>
      <w:t>ECE</w:t>
    </w:r>
    <w:proofErr w:type="spellEnd"/>
    <w:r w:rsidRPr="00A12308">
      <w:rPr>
        <w:szCs w:val="18"/>
      </w:rPr>
      <w:t>/TRANS/505/Rev.1/Add.48/Rev.6/Amend.3</w:t>
    </w:r>
  </w:p>
  <w:p w:rsidR="00F23EAE" w:rsidRDefault="00F23EAE" w:rsidP="00FD52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08" w:rsidRDefault="00A12308" w:rsidP="00A12308">
    <w:pPr>
      <w:pStyle w:val="Header"/>
      <w:jc w:val="right"/>
      <w:rPr>
        <w:szCs w:val="18"/>
      </w:rPr>
    </w:pPr>
    <w:r w:rsidRPr="00A12308">
      <w:rPr>
        <w:szCs w:val="18"/>
      </w:rPr>
      <w:t>E/</w:t>
    </w:r>
    <w:proofErr w:type="spellStart"/>
    <w:r w:rsidRPr="00A12308">
      <w:rPr>
        <w:szCs w:val="18"/>
      </w:rPr>
      <w:t>ECE</w:t>
    </w:r>
    <w:proofErr w:type="spellEnd"/>
    <w:r w:rsidRPr="00A12308">
      <w:rPr>
        <w:szCs w:val="18"/>
      </w:rPr>
      <w:t>/324/Rev.1/Add.48/Rev.6/Amend.3</w:t>
    </w:r>
  </w:p>
  <w:p w:rsidR="00F23EAE" w:rsidRDefault="00A12308" w:rsidP="00A12308">
    <w:pPr>
      <w:pStyle w:val="Header"/>
      <w:jc w:val="right"/>
    </w:pPr>
    <w:r w:rsidRPr="00A12308">
      <w:rPr>
        <w:szCs w:val="18"/>
      </w:rPr>
      <w:t>E/</w:t>
    </w:r>
    <w:proofErr w:type="spellStart"/>
    <w:r w:rsidRPr="00A12308">
      <w:rPr>
        <w:szCs w:val="18"/>
      </w:rPr>
      <w:t>ECE</w:t>
    </w:r>
    <w:proofErr w:type="spellEnd"/>
    <w:r w:rsidRPr="00A12308">
      <w:rPr>
        <w:szCs w:val="18"/>
      </w:rPr>
      <w:t>/TRANS/505/Rev.1/Add.48/Rev.6/Amend.3</w:t>
    </w:r>
  </w:p>
  <w:p w:rsidR="00F23EAE" w:rsidRDefault="00F23EAE" w:rsidP="004A15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4B2" w:rsidRDefault="005C04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AE" w:rsidRPr="00612E03" w:rsidRDefault="00040CB5" w:rsidP="00C159BE">
    <w:r>
      <w:rPr>
        <w:noProof/>
        <w:lang w:eastAsia="en-GB"/>
      </w:rPr>
      <w:pict>
        <v:shapetype id="_x0000_t202" coordsize="21600,21600" o:spt="202" path="m,l,21600r21600,l21600,xe">
          <v:stroke joinstyle="miter"/>
          <v:path gradientshapeok="t" o:connecttype="rect"/>
        </v:shapetype>
        <v:shape id="_x0000_s2050" type="#_x0000_t202" style="position:absolute;margin-left:765pt;margin-top:0;width:26pt;height:481.9pt;z-index:251659776;mso-position-horizontal-relative:page;mso-position-vertical-relative:margin" stroked="f">
          <v:textbox style="layout-flow:vertical;mso-next-textbox:#_x0000_s2050" inset="0,0,0,0">
            <w:txbxContent>
              <w:p w:rsidR="00A12308" w:rsidRDefault="00A12308" w:rsidP="00A12308">
                <w:pPr>
                  <w:pStyle w:val="Header"/>
                  <w:rPr>
                    <w:szCs w:val="18"/>
                  </w:rPr>
                </w:pPr>
                <w:r w:rsidRPr="00A12308">
                  <w:rPr>
                    <w:szCs w:val="18"/>
                  </w:rPr>
                  <w:t>E/</w:t>
                </w:r>
                <w:proofErr w:type="spellStart"/>
                <w:r w:rsidRPr="00A12308">
                  <w:rPr>
                    <w:szCs w:val="18"/>
                  </w:rPr>
                  <w:t>ECE</w:t>
                </w:r>
                <w:proofErr w:type="spellEnd"/>
                <w:r w:rsidRPr="00A12308">
                  <w:rPr>
                    <w:szCs w:val="18"/>
                  </w:rPr>
                  <w:t>/324/Rev.1/Add.48/Rev.6/Amend.3</w:t>
                </w:r>
              </w:p>
              <w:p w:rsidR="00F23EAE" w:rsidRPr="00A63ECF" w:rsidRDefault="00A12308" w:rsidP="00A12308">
                <w:pPr>
                  <w:pStyle w:val="Header"/>
                </w:pPr>
                <w:r w:rsidRPr="00A12308">
                  <w:rPr>
                    <w:szCs w:val="18"/>
                  </w:rPr>
                  <w:t>E/</w:t>
                </w:r>
                <w:proofErr w:type="spellStart"/>
                <w:r w:rsidRPr="00A12308">
                  <w:rPr>
                    <w:szCs w:val="18"/>
                  </w:rPr>
                  <w:t>ECE</w:t>
                </w:r>
                <w:proofErr w:type="spellEnd"/>
                <w:r w:rsidRPr="00A12308">
                  <w:rPr>
                    <w:szCs w:val="18"/>
                  </w:rPr>
                  <w:t>/TRANS/505/Rev.1/Add.48/Rev.6/Amend.3</w:t>
                </w:r>
              </w:p>
            </w:txbxContent>
          </v:textbox>
          <w10:wrap anchorx="page" anchory="margin"/>
        </v:shape>
      </w:pict>
    </w:r>
    <w:r>
      <w:rPr>
        <w:noProof/>
        <w:lang w:eastAsia="en-GB"/>
      </w:rPr>
      <w:pict>
        <v:shape id="_x0000_s2051" type="#_x0000_t202" style="position:absolute;margin-left:-34pt;margin-top:0;width:17.55pt;height:481.9pt;z-index:251660800;mso-position-horizontal-relative:margin;mso-position-vertical-relative:margin" stroked="f">
          <v:textbox style="layout-flow:vertical;mso-next-textbox:#_x0000_s2051" inset="0,0,0,0">
            <w:txbxContent>
              <w:p w:rsidR="00F23EAE" w:rsidRPr="00D45CC9" w:rsidRDefault="00F23EAE" w:rsidP="00A63ECF">
                <w:pPr>
                  <w:pStyle w:val="Footer"/>
                  <w:tabs>
                    <w:tab w:val="right" w:pos="9638"/>
                  </w:tabs>
                  <w:rPr>
                    <w:sz w:val="18"/>
                  </w:rPr>
                </w:pPr>
                <w:r w:rsidRPr="00D45CC9">
                  <w:rPr>
                    <w:b/>
                    <w:sz w:val="18"/>
                  </w:rPr>
                  <w:fldChar w:fldCharType="begin"/>
                </w:r>
                <w:r w:rsidRPr="00D45CC9">
                  <w:rPr>
                    <w:b/>
                    <w:sz w:val="18"/>
                  </w:rPr>
                  <w:instrText xml:space="preserve"> PAGE  \* MERGEFORMAT </w:instrText>
                </w:r>
                <w:r w:rsidRPr="00D45CC9">
                  <w:rPr>
                    <w:b/>
                    <w:sz w:val="18"/>
                  </w:rPr>
                  <w:fldChar w:fldCharType="separate"/>
                </w:r>
                <w:r w:rsidR="00040CB5">
                  <w:rPr>
                    <w:b/>
                    <w:noProof/>
                    <w:sz w:val="18"/>
                  </w:rPr>
                  <w:t>4</w:t>
                </w:r>
                <w:r w:rsidRPr="00D45CC9">
                  <w:rPr>
                    <w:b/>
                    <w:sz w:val="18"/>
                  </w:rPr>
                  <w:fldChar w:fldCharType="end"/>
                </w:r>
              </w:p>
              <w:p w:rsidR="00F23EAE" w:rsidRDefault="00F23EAE"/>
            </w:txbxContent>
          </v:textbox>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08" w:rsidRDefault="00A12308" w:rsidP="00A12308">
    <w:pPr>
      <w:pStyle w:val="Header"/>
      <w:jc w:val="right"/>
      <w:rPr>
        <w:szCs w:val="18"/>
      </w:rPr>
    </w:pPr>
    <w:r w:rsidRPr="00A12308">
      <w:rPr>
        <w:szCs w:val="18"/>
      </w:rPr>
      <w:t>E/</w:t>
    </w:r>
    <w:proofErr w:type="spellStart"/>
    <w:r w:rsidRPr="00A12308">
      <w:rPr>
        <w:szCs w:val="18"/>
      </w:rPr>
      <w:t>ECE</w:t>
    </w:r>
    <w:proofErr w:type="spellEnd"/>
    <w:r w:rsidRPr="00A12308">
      <w:rPr>
        <w:szCs w:val="18"/>
      </w:rPr>
      <w:t>/324/Rev.1/Add.48/Rev.6/Amend.3</w:t>
    </w:r>
  </w:p>
  <w:p w:rsidR="00F23EAE" w:rsidRDefault="00A12308" w:rsidP="00A12308">
    <w:pPr>
      <w:pStyle w:val="Header"/>
      <w:jc w:val="right"/>
      <w:rPr>
        <w:lang w:val="en-US"/>
      </w:rPr>
    </w:pPr>
    <w:r w:rsidRPr="00A12308">
      <w:rPr>
        <w:szCs w:val="18"/>
      </w:rPr>
      <w:t>E/</w:t>
    </w:r>
    <w:proofErr w:type="spellStart"/>
    <w:r w:rsidRPr="00A12308">
      <w:rPr>
        <w:szCs w:val="18"/>
      </w:rPr>
      <w:t>ECE</w:t>
    </w:r>
    <w:proofErr w:type="spellEnd"/>
    <w:r w:rsidRPr="00A12308">
      <w:rPr>
        <w:szCs w:val="18"/>
      </w:rPr>
      <w:t>/TRANS/505/Rev.1/Add.48/Rev.6/Amend.3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Default="00B701B3" w:rsidP="008D38B7">
    <w:pPr>
      <w:pStyle w:val="Header"/>
    </w:pPr>
    <w:r w:rsidRPr="00D623A7">
      <w:t>E/</w:t>
    </w:r>
    <w:proofErr w:type="spellStart"/>
    <w:r w:rsidRPr="00D623A7">
      <w:t>ECE</w:t>
    </w:r>
    <w:proofErr w:type="spellEnd"/>
    <w:r w:rsidRPr="00D623A7">
      <w:t>/324</w:t>
    </w:r>
    <w:r w:rsidR="00F23EAE">
      <w:t>/Rev.1/</w:t>
    </w:r>
    <w:r w:rsidR="00F23EAE" w:rsidRPr="0063785D">
      <w:t>Add.4</w:t>
    </w:r>
    <w:r w:rsidR="00F23EAE">
      <w:t>8</w:t>
    </w:r>
    <w:r w:rsidR="00F23EAE" w:rsidRPr="0063785D">
      <w:t>/Rev.</w:t>
    </w:r>
    <w:r w:rsidR="00F23EAE">
      <w:t>6</w:t>
    </w:r>
    <w:r w:rsidR="00F23EAE" w:rsidRPr="0063785D">
      <w:t>/Amend.3</w:t>
    </w:r>
    <w:r>
      <w:br/>
    </w:r>
    <w:r w:rsidRPr="00D623A7">
      <w:t>E/</w:t>
    </w:r>
    <w:proofErr w:type="spellStart"/>
    <w:r w:rsidRPr="00D623A7">
      <w:t>ECE</w:t>
    </w:r>
    <w:proofErr w:type="spellEnd"/>
    <w:r w:rsidRPr="00D623A7">
      <w:t>/TRANS/505</w:t>
    </w:r>
    <w:r w:rsidR="00F23EAE">
      <w:t>/Rev.1/</w:t>
    </w:r>
    <w:r w:rsidR="00F23EAE" w:rsidRPr="0063785D">
      <w:t>Add.4</w:t>
    </w:r>
    <w:r w:rsidR="00F23EAE">
      <w:t>8</w:t>
    </w:r>
    <w:r w:rsidR="00F23EAE" w:rsidRPr="0063785D">
      <w:t>/Rev.</w:t>
    </w:r>
    <w:r w:rsidR="00F23EAE">
      <w:t>6</w:t>
    </w:r>
    <w:r w:rsidR="00F23EAE" w:rsidRPr="0063785D">
      <w:t>/Amend.3</w:t>
    </w:r>
  </w:p>
  <w:p w:rsidR="00F23EAE" w:rsidRPr="00F23EAE" w:rsidRDefault="00F23EAE" w:rsidP="00F23EA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F23EAE" w:rsidP="00776D12">
    <w:pPr>
      <w:pStyle w:val="Header"/>
      <w:jc w:val="right"/>
    </w:pPr>
    <w:r w:rsidRPr="00D623A7">
      <w:t>E/</w:t>
    </w:r>
    <w:proofErr w:type="spellStart"/>
    <w:r w:rsidRPr="00D623A7">
      <w:t>ECE</w:t>
    </w:r>
    <w:proofErr w:type="spellEnd"/>
    <w:r w:rsidRPr="00D623A7">
      <w:t>/324</w:t>
    </w:r>
    <w:r>
      <w:t>/Rev.1/</w:t>
    </w:r>
    <w:r w:rsidRPr="0063785D">
      <w:t>Add.4</w:t>
    </w:r>
    <w:r>
      <w:t>8</w:t>
    </w:r>
    <w:r w:rsidRPr="0063785D">
      <w:t>/Rev.</w:t>
    </w:r>
    <w:r>
      <w:t>6</w:t>
    </w:r>
    <w:r w:rsidRPr="0063785D">
      <w:t>/Amend.3</w:t>
    </w:r>
    <w:r>
      <w:br/>
    </w:r>
    <w:r w:rsidRPr="00D623A7">
      <w:t>E/</w:t>
    </w:r>
    <w:proofErr w:type="spellStart"/>
    <w:r w:rsidRPr="00D623A7">
      <w:t>ECE</w:t>
    </w:r>
    <w:proofErr w:type="spellEnd"/>
    <w:r w:rsidRPr="00D623A7">
      <w:t>/TRANS/505</w:t>
    </w:r>
    <w:r>
      <w:t>/Rev.1/</w:t>
    </w:r>
    <w:r w:rsidRPr="0063785D">
      <w:t>Add.4</w:t>
    </w:r>
    <w:r>
      <w:t>8</w:t>
    </w:r>
    <w:r w:rsidRPr="0063785D">
      <w:t>/Rev.</w:t>
    </w:r>
    <w:r>
      <w:t>6</w:t>
    </w:r>
    <w:r w:rsidRPr="0063785D">
      <w:t>/Amend.3</w:t>
    </w:r>
  </w:p>
  <w:p w:rsidR="00BF4A36" w:rsidRPr="00BF4A36" w:rsidRDefault="00BF4A36" w:rsidP="00BF4A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8B7"/>
    <w:rsid w:val="00006632"/>
    <w:rsid w:val="00040CB5"/>
    <w:rsid w:val="00050F6B"/>
    <w:rsid w:val="00072C8C"/>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50AE4"/>
    <w:rsid w:val="00271A7F"/>
    <w:rsid w:val="002A1E3A"/>
    <w:rsid w:val="003107FA"/>
    <w:rsid w:val="00312E48"/>
    <w:rsid w:val="003229D8"/>
    <w:rsid w:val="0033745A"/>
    <w:rsid w:val="0039277A"/>
    <w:rsid w:val="003972E0"/>
    <w:rsid w:val="003C2CC4"/>
    <w:rsid w:val="003C3936"/>
    <w:rsid w:val="003D4B23"/>
    <w:rsid w:val="003F1ED3"/>
    <w:rsid w:val="004325CB"/>
    <w:rsid w:val="00445C26"/>
    <w:rsid w:val="00446DE4"/>
    <w:rsid w:val="004A41CA"/>
    <w:rsid w:val="004E3FEB"/>
    <w:rsid w:val="00503228"/>
    <w:rsid w:val="00505384"/>
    <w:rsid w:val="005420F2"/>
    <w:rsid w:val="0054561B"/>
    <w:rsid w:val="005B3DB3"/>
    <w:rsid w:val="005C04B2"/>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B6BA5"/>
    <w:rsid w:val="007C3390"/>
    <w:rsid w:val="007C4F4B"/>
    <w:rsid w:val="007F0B83"/>
    <w:rsid w:val="007F6611"/>
    <w:rsid w:val="00814F1E"/>
    <w:rsid w:val="008175E9"/>
    <w:rsid w:val="008242D7"/>
    <w:rsid w:val="00827E05"/>
    <w:rsid w:val="008311A3"/>
    <w:rsid w:val="00841EB5"/>
    <w:rsid w:val="00871FD5"/>
    <w:rsid w:val="008979B1"/>
    <w:rsid w:val="008A6B25"/>
    <w:rsid w:val="008A6C4F"/>
    <w:rsid w:val="008C3804"/>
    <w:rsid w:val="008D38B7"/>
    <w:rsid w:val="008E0E46"/>
    <w:rsid w:val="00907AD2"/>
    <w:rsid w:val="00945855"/>
    <w:rsid w:val="00963CBA"/>
    <w:rsid w:val="00974A8D"/>
    <w:rsid w:val="00991261"/>
    <w:rsid w:val="009F3A17"/>
    <w:rsid w:val="00A0725A"/>
    <w:rsid w:val="00A12308"/>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1C30"/>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5212E"/>
    <w:rsid w:val="00E7260F"/>
    <w:rsid w:val="00E87921"/>
    <w:rsid w:val="00E96630"/>
    <w:rsid w:val="00EA0ED6"/>
    <w:rsid w:val="00EA264E"/>
    <w:rsid w:val="00ED7A2A"/>
    <w:rsid w:val="00EF1D7F"/>
    <w:rsid w:val="00F04F40"/>
    <w:rsid w:val="00F23EAE"/>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note text"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erChar">
    <w:name w:val="Header Char"/>
    <w:aliases w:val="6_G Char"/>
    <w:link w:val="Header"/>
    <w:rsid w:val="00F23EAE"/>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unece.org/trans/main/wp29/wp29wgs/wp29gen/wp29resolution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unece.org/trans/main/wp29/wp29wgs/wp29gen/wp29resolution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20</TotalTime>
  <Pages>10</Pages>
  <Words>3199</Words>
  <Characters>18236</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dc:creator>
  <cp:lastModifiedBy>Rev.24</cp:lastModifiedBy>
  <cp:revision>7</cp:revision>
  <cp:lastPrinted>2016-02-04T14:39:00Z</cp:lastPrinted>
  <dcterms:created xsi:type="dcterms:W3CDTF">2015-08-19T09:02:00Z</dcterms:created>
  <dcterms:modified xsi:type="dcterms:W3CDTF">2016-02-04T14:39:00Z</dcterms:modified>
</cp:coreProperties>
</file>