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62D" w:rsidRPr="00434F2D" w:rsidRDefault="0094262D" w:rsidP="0094262D">
      <w:pPr>
        <w:spacing w:line="60" w:lineRule="exact"/>
        <w:rPr>
          <w:color w:val="010000"/>
          <w:sz w:val="6"/>
        </w:rPr>
        <w:sectPr w:rsidR="0094262D" w:rsidRPr="00434F2D" w:rsidSect="0094262D">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A864BC" w:rsidRPr="00A864BC" w:rsidRDefault="00A864BC" w:rsidP="00A864BC">
      <w:pPr>
        <w:pStyle w:val="SingleTxt"/>
        <w:spacing w:after="0" w:line="120" w:lineRule="exact"/>
        <w:rPr>
          <w:b/>
          <w:sz w:val="10"/>
        </w:rPr>
      </w:pPr>
    </w:p>
    <w:p w:rsidR="00A864BC" w:rsidRPr="00A864BC" w:rsidRDefault="00A864BC" w:rsidP="00A864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64BC">
        <w:tab/>
      </w:r>
      <w:r w:rsidRPr="00A864BC">
        <w:tab/>
        <w:t>Соглашение</w:t>
      </w:r>
    </w:p>
    <w:p w:rsidR="00A864BC" w:rsidRPr="00A864BC" w:rsidRDefault="00A864BC" w:rsidP="00A864BC">
      <w:pPr>
        <w:pStyle w:val="SingleTxt"/>
        <w:spacing w:after="0" w:line="120" w:lineRule="exact"/>
        <w:rPr>
          <w:b/>
          <w:sz w:val="10"/>
        </w:rPr>
      </w:pPr>
    </w:p>
    <w:p w:rsidR="00A864BC" w:rsidRPr="00A864BC" w:rsidRDefault="00A864BC" w:rsidP="00A864BC">
      <w:pPr>
        <w:pStyle w:val="SingleTxt"/>
        <w:spacing w:after="0" w:line="120" w:lineRule="exact"/>
        <w:rPr>
          <w:b/>
          <w:sz w:val="10"/>
        </w:rPr>
      </w:pPr>
    </w:p>
    <w:p w:rsidR="00A864BC" w:rsidRPr="00A864BC" w:rsidRDefault="00A864BC" w:rsidP="00A864BC">
      <w:pPr>
        <w:pStyle w:val="SingleTxt"/>
        <w:spacing w:after="0" w:line="120" w:lineRule="exact"/>
        <w:rPr>
          <w:b/>
          <w:sz w:val="10"/>
        </w:rPr>
      </w:pPr>
    </w:p>
    <w:p w:rsidR="00A864BC" w:rsidRPr="00A864BC" w:rsidRDefault="00A864BC" w:rsidP="00A864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64BC">
        <w:tab/>
      </w:r>
      <w:r w:rsidRPr="00A864BC">
        <w:tab/>
        <w:t>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w:t>
      </w:r>
      <w:r>
        <w:rPr>
          <w:lang w:val="en-US"/>
        </w:rPr>
        <w:t> </w:t>
      </w:r>
      <w:r w:rsidRPr="00A864BC">
        <w:t>предписаний</w:t>
      </w:r>
      <w:r w:rsidRPr="00A864BC">
        <w:rPr>
          <w:b w:val="0"/>
          <w:sz w:val="20"/>
        </w:rPr>
        <w:footnoteReference w:customMarkFollows="1" w:id="1"/>
        <w:t>*</w:t>
      </w:r>
    </w:p>
    <w:p w:rsidR="00A864BC" w:rsidRPr="00A864BC" w:rsidRDefault="00A864BC" w:rsidP="00A864BC">
      <w:pPr>
        <w:pStyle w:val="SingleTxt"/>
        <w:spacing w:after="0" w:line="120" w:lineRule="exact"/>
        <w:rPr>
          <w:sz w:val="10"/>
        </w:rPr>
      </w:pPr>
    </w:p>
    <w:p w:rsidR="00A864BC" w:rsidRPr="00A864BC" w:rsidRDefault="00A864BC" w:rsidP="00A864BC">
      <w:pPr>
        <w:pStyle w:val="SingleTxt"/>
        <w:spacing w:after="0" w:line="120" w:lineRule="exact"/>
        <w:rPr>
          <w:sz w:val="10"/>
        </w:rPr>
      </w:pPr>
    </w:p>
    <w:p w:rsidR="00A864BC" w:rsidRPr="00A864BC" w:rsidRDefault="00A864BC" w:rsidP="00A864BC">
      <w:pPr>
        <w:pStyle w:val="SingleTxt"/>
      </w:pPr>
      <w:r w:rsidRPr="00A864BC">
        <w:t>(Пересмотр 2, включающий поправки, вступившие в силу 16 октября 1995 года)</w:t>
      </w:r>
    </w:p>
    <w:p w:rsidR="00A864BC" w:rsidRPr="00B362C8" w:rsidRDefault="00A864BC" w:rsidP="00A864BC">
      <w:pPr>
        <w:pStyle w:val="SingleTxt"/>
        <w:jc w:val="center"/>
        <w:rPr>
          <w:u w:val="single"/>
        </w:rPr>
      </w:pPr>
      <w:r w:rsidRPr="00B362C8">
        <w:rPr>
          <w:u w:val="single"/>
        </w:rPr>
        <w:tab/>
      </w:r>
      <w:r w:rsidRPr="00B362C8">
        <w:rPr>
          <w:u w:val="single"/>
        </w:rPr>
        <w:tab/>
      </w:r>
      <w:r w:rsidRPr="00B362C8">
        <w:rPr>
          <w:u w:val="single"/>
        </w:rPr>
        <w:tab/>
      </w:r>
    </w:p>
    <w:p w:rsidR="00A864BC" w:rsidRPr="00A864BC" w:rsidRDefault="00A864BC" w:rsidP="00A864BC">
      <w:pPr>
        <w:pStyle w:val="SingleTxt"/>
        <w:spacing w:after="0" w:line="120" w:lineRule="exact"/>
        <w:rPr>
          <w:b/>
          <w:sz w:val="10"/>
        </w:rPr>
      </w:pPr>
    </w:p>
    <w:p w:rsidR="00A864BC" w:rsidRPr="00A864BC" w:rsidRDefault="00A864BC" w:rsidP="00A864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64BC">
        <w:tab/>
      </w:r>
      <w:r w:rsidRPr="00A864BC">
        <w:tab/>
        <w:t>Добавление 47: Правила № 48</w:t>
      </w:r>
    </w:p>
    <w:p w:rsidR="00A864BC" w:rsidRPr="00A864BC" w:rsidRDefault="00A864BC" w:rsidP="00A864BC">
      <w:pPr>
        <w:pStyle w:val="SingleTxt"/>
        <w:spacing w:after="0" w:line="120" w:lineRule="exact"/>
        <w:rPr>
          <w:b/>
          <w:sz w:val="10"/>
        </w:rPr>
      </w:pPr>
    </w:p>
    <w:p w:rsidR="00A864BC" w:rsidRPr="00A864BC" w:rsidRDefault="00A864BC" w:rsidP="00A864BC">
      <w:pPr>
        <w:pStyle w:val="SingleTxt"/>
        <w:spacing w:after="0" w:line="120" w:lineRule="exact"/>
        <w:rPr>
          <w:b/>
          <w:sz w:val="10"/>
        </w:rPr>
      </w:pPr>
    </w:p>
    <w:p w:rsidR="00A864BC" w:rsidRPr="00A864BC" w:rsidRDefault="00A864BC" w:rsidP="00A864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864BC">
        <w:tab/>
      </w:r>
      <w:r w:rsidRPr="00A864BC">
        <w:tab/>
        <w:t>Пересмотр 7 – Поправка 3</w:t>
      </w:r>
    </w:p>
    <w:p w:rsidR="00A864BC" w:rsidRPr="00A864BC" w:rsidRDefault="00A864BC" w:rsidP="00A864BC">
      <w:pPr>
        <w:pStyle w:val="SingleTxt"/>
        <w:spacing w:after="0" w:line="120" w:lineRule="exact"/>
        <w:rPr>
          <w:bCs/>
          <w:sz w:val="10"/>
        </w:rPr>
      </w:pPr>
    </w:p>
    <w:p w:rsidR="00A864BC" w:rsidRPr="00A864BC" w:rsidRDefault="00A864BC" w:rsidP="00A864BC">
      <w:pPr>
        <w:pStyle w:val="SingleTxt"/>
        <w:spacing w:after="0" w:line="120" w:lineRule="exact"/>
        <w:rPr>
          <w:bCs/>
          <w:sz w:val="10"/>
        </w:rPr>
      </w:pPr>
    </w:p>
    <w:p w:rsidR="00A864BC" w:rsidRPr="00A864BC" w:rsidRDefault="00A864BC" w:rsidP="00A864BC">
      <w:pPr>
        <w:pStyle w:val="SingleTxt"/>
        <w:jc w:val="left"/>
        <w:rPr>
          <w:bCs/>
          <w:sz w:val="19"/>
          <w:szCs w:val="19"/>
        </w:rPr>
      </w:pPr>
      <w:r w:rsidRPr="00A864BC">
        <w:rPr>
          <w:bCs/>
          <w:sz w:val="19"/>
          <w:szCs w:val="19"/>
        </w:rPr>
        <w:t>Дополнение 12 к поправкам серии 04 − Дата вступления в силу: 10 июня 2014 года</w:t>
      </w:r>
    </w:p>
    <w:p w:rsidR="00A864BC" w:rsidRPr="00A864BC" w:rsidRDefault="00A864BC" w:rsidP="00A864BC">
      <w:pPr>
        <w:pStyle w:val="SingleTxt"/>
        <w:spacing w:after="0" w:line="120" w:lineRule="exact"/>
        <w:rPr>
          <w:b/>
          <w:sz w:val="10"/>
        </w:rPr>
      </w:pPr>
    </w:p>
    <w:p w:rsidR="00A864BC" w:rsidRPr="00A864BC" w:rsidRDefault="00A864BC" w:rsidP="00A864BC">
      <w:pPr>
        <w:pStyle w:val="SingleTxt"/>
        <w:spacing w:after="0" w:line="120" w:lineRule="exact"/>
        <w:rPr>
          <w:b/>
          <w:sz w:val="10"/>
        </w:rPr>
      </w:pPr>
    </w:p>
    <w:p w:rsidR="00A864BC" w:rsidRPr="00A864BC" w:rsidRDefault="00A864BC" w:rsidP="00A864B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A864BC">
        <w:tab/>
      </w:r>
      <w:r w:rsidRPr="00A864BC">
        <w:tab/>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p w:rsidR="00A864BC" w:rsidRPr="00B362C8" w:rsidRDefault="00A864BC" w:rsidP="00A864BC">
      <w:pPr>
        <w:pStyle w:val="SingleTxt"/>
        <w:jc w:val="center"/>
        <w:rPr>
          <w:u w:val="single"/>
        </w:rPr>
      </w:pPr>
      <w:r w:rsidRPr="00B362C8">
        <w:rPr>
          <w:u w:val="single"/>
        </w:rPr>
        <w:tab/>
      </w:r>
      <w:r w:rsidRPr="00B362C8">
        <w:rPr>
          <w:u w:val="single"/>
        </w:rPr>
        <w:tab/>
      </w:r>
      <w:r w:rsidRPr="00B362C8">
        <w:rPr>
          <w:u w:val="single"/>
        </w:rPr>
        <w:tab/>
      </w:r>
    </w:p>
    <w:p w:rsidR="00A864BC" w:rsidRPr="00A864BC" w:rsidRDefault="00A864BC" w:rsidP="00A864BC">
      <w:pPr>
        <w:pStyle w:val="SingleTxt"/>
        <w:spacing w:line="240" w:lineRule="atLeast"/>
        <w:jc w:val="center"/>
      </w:pPr>
      <w:bookmarkStart w:id="1" w:name="_MON_1000209745"/>
      <w:bookmarkEnd w:id="1"/>
      <w:r w:rsidRPr="00A864BC">
        <w:rPr>
          <w:noProof/>
          <w:lang w:val="en-US" w:eastAsia="en-US"/>
        </w:rPr>
        <w:drawing>
          <wp:inline distT="0" distB="0" distL="0" distR="0" wp14:anchorId="28156D84" wp14:editId="59171E18">
            <wp:extent cx="694707" cy="6555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400" cy="653371"/>
                    </a:xfrm>
                    <a:prstGeom prst="rect">
                      <a:avLst/>
                    </a:prstGeom>
                    <a:noFill/>
                    <a:ln>
                      <a:noFill/>
                    </a:ln>
                  </pic:spPr>
                </pic:pic>
              </a:graphicData>
            </a:graphic>
          </wp:inline>
        </w:drawing>
      </w:r>
    </w:p>
    <w:p w:rsidR="00A864BC" w:rsidRPr="00A864BC" w:rsidRDefault="00A864BC" w:rsidP="00A864BC">
      <w:pPr>
        <w:pStyle w:val="SingleTxt"/>
        <w:spacing w:line="240" w:lineRule="atLeast"/>
        <w:jc w:val="center"/>
        <w:rPr>
          <w:b/>
        </w:rPr>
      </w:pPr>
      <w:r w:rsidRPr="00A864BC">
        <w:rPr>
          <w:b/>
        </w:rPr>
        <w:t>ОРГАНИЗАЦИЯ ОБЪЕДИНЕННЫХ НАЦИЙ</w:t>
      </w:r>
    </w:p>
    <w:p w:rsidR="00A864BC" w:rsidRPr="00A864BC" w:rsidRDefault="00A864BC" w:rsidP="00A864BC">
      <w:pPr>
        <w:pStyle w:val="SingleTxt"/>
      </w:pPr>
      <w:r w:rsidRPr="00A864BC">
        <w:rPr>
          <w:i/>
        </w:rPr>
        <w:br w:type="page"/>
      </w:r>
      <w:r w:rsidRPr="00A864BC">
        <w:rPr>
          <w:i/>
        </w:rPr>
        <w:lastRenderedPageBreak/>
        <w:t>Пункты 5.23 и 5.23.1</w:t>
      </w:r>
      <w:r w:rsidRPr="00A864BC">
        <w:t xml:space="preserve"> изменить следующим образом: </w:t>
      </w:r>
    </w:p>
    <w:p w:rsidR="00A864BC" w:rsidRPr="00A864BC" w:rsidRDefault="00A864BC" w:rsidP="00813946">
      <w:pPr>
        <w:pStyle w:val="SingleTxt"/>
        <w:tabs>
          <w:tab w:val="clear" w:pos="1742"/>
          <w:tab w:val="clear" w:pos="2218"/>
        </w:tabs>
        <w:ind w:left="2693" w:hanging="1426"/>
      </w:pPr>
      <w:r w:rsidRPr="00A864BC">
        <w:t>«5.23</w:t>
      </w:r>
      <w:r w:rsidRPr="00A864BC">
        <w:tab/>
        <w:t>Огни, официально утвержденные с источником(ами) света на основании Правил №</w:t>
      </w:r>
      <w:r w:rsidR="00813946">
        <w:t> </w:t>
      </w:r>
      <w:r w:rsidRPr="00A864BC">
        <w:t>37, за исключением тех случаев, когда такие источники света используются в качестве несменного(ых) источника(ов) света согласно определению, приведенному в пункте</w:t>
      </w:r>
      <w:r w:rsidRPr="00A864BC">
        <w:rPr>
          <w:lang w:val="en-US"/>
        </w:rPr>
        <w:t> </w:t>
      </w:r>
      <w:r w:rsidRPr="00A864BC">
        <w:t xml:space="preserve">2.7.1.1.2 настоящих Правил, устанавливают на транспортном средстве таким образом, чтобы можно было правильно заменить источник света без профессиональной помощи и использования специальных инструментов, помимо предоставленных изготовителем вместе с транспортным средством. Изготовитель транспортного средства представляет вместе с транспортным средством подробное описание процедуры замены. </w:t>
      </w:r>
    </w:p>
    <w:p w:rsidR="00A864BC" w:rsidRPr="00A864BC" w:rsidRDefault="00A864BC" w:rsidP="00A864BC">
      <w:pPr>
        <w:pStyle w:val="SingleTxt"/>
        <w:tabs>
          <w:tab w:val="clear" w:pos="1742"/>
          <w:tab w:val="clear" w:pos="2218"/>
        </w:tabs>
        <w:ind w:left="2693" w:hanging="1426"/>
      </w:pPr>
      <w:r w:rsidRPr="00A864BC">
        <w:t>5.23.1</w:t>
      </w:r>
      <w:r w:rsidRPr="00A864BC">
        <w:tab/>
        <w:t>В том случае, если модуль источника света имеет патрон для официально утвержденного сменного источника света в соответствии с Правилами № 37, этот источник света должен быть сменным, как предписано в пункте 5.23 выше».</w:t>
      </w:r>
    </w:p>
    <w:p w:rsidR="00A864BC" w:rsidRPr="00A864BC" w:rsidRDefault="00A864BC" w:rsidP="00A864BC">
      <w:pPr>
        <w:pStyle w:val="SingleTxt"/>
      </w:pPr>
      <w:r w:rsidRPr="00A864BC">
        <w:rPr>
          <w:i/>
        </w:rPr>
        <w:t>Пункт 6.1.2</w:t>
      </w:r>
      <w:r w:rsidRPr="00A864BC">
        <w:t xml:space="preserve"> изменить следующим образом:</w:t>
      </w:r>
    </w:p>
    <w:p w:rsidR="00A864BC" w:rsidRPr="00A864BC" w:rsidRDefault="00A864BC" w:rsidP="00A864BC">
      <w:pPr>
        <w:pStyle w:val="SingleTxt"/>
        <w:tabs>
          <w:tab w:val="clear" w:pos="1742"/>
          <w:tab w:val="clear" w:pos="2218"/>
        </w:tabs>
        <w:ind w:left="2693" w:hanging="1426"/>
      </w:pPr>
      <w:r>
        <w:t>«</w:t>
      </w:r>
      <w:r w:rsidRPr="00A864BC">
        <w:t>6.1.2</w:t>
      </w:r>
      <w:r w:rsidRPr="00A864BC">
        <w:tab/>
        <w:t>Число</w:t>
      </w:r>
    </w:p>
    <w:p w:rsidR="00A864BC" w:rsidRPr="00A864BC" w:rsidRDefault="00A864BC" w:rsidP="00A864BC">
      <w:pPr>
        <w:pStyle w:val="SingleTxt"/>
        <w:tabs>
          <w:tab w:val="clear" w:pos="1742"/>
          <w:tab w:val="clear" w:pos="2218"/>
        </w:tabs>
        <w:ind w:left="2693" w:hanging="1426"/>
      </w:pPr>
      <w:r w:rsidRPr="00A864BC">
        <w:tab/>
        <w:t>Две или четыре фары типа, официально утвержденного на основании Правил № 98 или 112, за исключением фары класса А.</w:t>
      </w:r>
    </w:p>
    <w:p w:rsidR="00A864BC" w:rsidRPr="00A864BC" w:rsidRDefault="00A864BC" w:rsidP="00A864BC">
      <w:pPr>
        <w:pStyle w:val="SingleTxt"/>
        <w:tabs>
          <w:tab w:val="clear" w:pos="1742"/>
          <w:tab w:val="clear" w:pos="2218"/>
        </w:tabs>
        <w:ind w:left="2693" w:hanging="1426"/>
      </w:pPr>
      <w:r w:rsidRPr="00A864BC">
        <w:tab/>
        <w:t>Для транспортных средств категории N</w:t>
      </w:r>
      <w:r w:rsidRPr="00A864BC">
        <w:rPr>
          <w:vertAlign w:val="subscript"/>
        </w:rPr>
        <w:t>3</w:t>
      </w:r>
      <w:r w:rsidRPr="00A864BC">
        <w:t>: могут быть установлены две дополнительные фары дальнего света.</w:t>
      </w:r>
    </w:p>
    <w:p w:rsidR="00A864BC" w:rsidRPr="00A864BC" w:rsidRDefault="00A864BC" w:rsidP="00A864BC">
      <w:pPr>
        <w:pStyle w:val="SingleTxt"/>
        <w:tabs>
          <w:tab w:val="clear" w:pos="1742"/>
          <w:tab w:val="clear" w:pos="2218"/>
        </w:tabs>
        <w:ind w:left="2693" w:hanging="1426"/>
      </w:pPr>
      <w:r w:rsidRPr="00A864BC">
        <w:tab/>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w:t>
      </w:r>
      <w:r w:rsidRPr="00A864BC">
        <w:rPr>
          <w:lang w:val="en-US"/>
        </w:rPr>
        <w:t> </w:t>
      </w:r>
      <w:r w:rsidRPr="00A864BC">
        <w:t>пункт 5.12 выше) при дневном свете</w:t>
      </w:r>
      <w:r>
        <w:t>»</w:t>
      </w:r>
      <w:r w:rsidRPr="00A864BC">
        <w:t>.</w:t>
      </w:r>
    </w:p>
    <w:p w:rsidR="00A864BC" w:rsidRPr="00A864BC" w:rsidRDefault="00A864BC" w:rsidP="00A864BC">
      <w:pPr>
        <w:pStyle w:val="SingleTxt"/>
      </w:pPr>
      <w:r w:rsidRPr="00A864BC">
        <w:rPr>
          <w:i/>
        </w:rPr>
        <w:t>Пункт 6.2.2</w:t>
      </w:r>
      <w:r w:rsidRPr="00A864BC">
        <w:t xml:space="preserve"> изменить следующим образом:</w:t>
      </w:r>
    </w:p>
    <w:p w:rsidR="00A864BC" w:rsidRPr="00A864BC" w:rsidRDefault="00A864BC" w:rsidP="00A864BC">
      <w:pPr>
        <w:pStyle w:val="SingleTxt"/>
        <w:tabs>
          <w:tab w:val="clear" w:pos="1742"/>
          <w:tab w:val="clear" w:pos="2218"/>
        </w:tabs>
        <w:ind w:left="2693" w:hanging="1426"/>
      </w:pPr>
      <w:r>
        <w:t>«</w:t>
      </w:r>
      <w:r w:rsidRPr="00A864BC">
        <w:t>6.2.2</w:t>
      </w:r>
      <w:r w:rsidRPr="00A864BC">
        <w:tab/>
        <w:t>Число</w:t>
      </w:r>
    </w:p>
    <w:p w:rsidR="00A864BC" w:rsidRPr="00A864BC" w:rsidRDefault="00A864BC" w:rsidP="00A864BC">
      <w:pPr>
        <w:pStyle w:val="SingleTxt"/>
        <w:tabs>
          <w:tab w:val="clear" w:pos="1742"/>
          <w:tab w:val="clear" w:pos="2218"/>
        </w:tabs>
        <w:ind w:left="2693" w:hanging="1426"/>
      </w:pPr>
      <w:r w:rsidRPr="00A864BC">
        <w:tab/>
        <w:t>Две фары типа, официально утвержденного на основании Правил</w:t>
      </w:r>
      <w:r>
        <w:t> </w:t>
      </w:r>
      <w:r w:rsidRPr="00A864BC">
        <w:t>№</w:t>
      </w:r>
      <w:r>
        <w:t> </w:t>
      </w:r>
      <w:r w:rsidRPr="00A864BC">
        <w:t>98 или 112, за исключением фары класса А</w:t>
      </w:r>
      <w:r>
        <w:t>»</w:t>
      </w:r>
      <w:r w:rsidRPr="00A864BC">
        <w:t>.</w:t>
      </w:r>
    </w:p>
    <w:p w:rsidR="00A864BC" w:rsidRPr="00A864BC" w:rsidRDefault="00A864BC" w:rsidP="00A864BC">
      <w:pPr>
        <w:pStyle w:val="SingleTxt"/>
      </w:pPr>
      <w:r w:rsidRPr="00A864BC">
        <w:rPr>
          <w:i/>
        </w:rPr>
        <w:t>Пункт 6.6.7.2</w:t>
      </w:r>
      <w:r w:rsidRPr="00A864BC">
        <w:t xml:space="preserve"> изменить следующим образом:</w:t>
      </w:r>
    </w:p>
    <w:p w:rsidR="00A864BC" w:rsidRPr="00A864BC" w:rsidRDefault="00A864BC" w:rsidP="00A864BC">
      <w:pPr>
        <w:pStyle w:val="SingleTxt"/>
        <w:tabs>
          <w:tab w:val="clear" w:pos="1742"/>
          <w:tab w:val="clear" w:pos="2218"/>
        </w:tabs>
        <w:ind w:left="2693" w:hanging="1426"/>
      </w:pPr>
      <w:r>
        <w:t>«</w:t>
      </w:r>
      <w:r w:rsidRPr="00A864BC">
        <w:t>6.6.7.2</w:t>
      </w:r>
      <w:r w:rsidRPr="00A864BC">
        <w:tab/>
        <w:t>Сигнал предупреждения об опасности может включаться автоматически при столкновении транспортного средства либо после отключения сигнала аварийной остановки, как это указано в пункте</w:t>
      </w:r>
      <w:r w:rsidRPr="00A864BC">
        <w:rPr>
          <w:lang w:val="en-US"/>
        </w:rPr>
        <w:t> </w:t>
      </w:r>
      <w:r w:rsidRPr="00A864BC">
        <w:t>6.23 ниже. В таких случаях он может отключаться ручным способом</w:t>
      </w:r>
      <w:r>
        <w:t>»</w:t>
      </w:r>
      <w:r w:rsidRPr="00A864BC">
        <w:t>.</w:t>
      </w:r>
    </w:p>
    <w:p w:rsidR="00A864BC" w:rsidRPr="00A864BC" w:rsidRDefault="00A864BC" w:rsidP="00A864BC">
      <w:pPr>
        <w:pStyle w:val="SingleTxt"/>
      </w:pPr>
      <w:r w:rsidRPr="00A864BC">
        <w:rPr>
          <w:i/>
        </w:rPr>
        <w:t>Пункт 6.9.4.2</w:t>
      </w:r>
      <w:r w:rsidRPr="00A864BC">
        <w:t xml:space="preserve"> изменить следующим образом:</w:t>
      </w:r>
    </w:p>
    <w:p w:rsidR="00A864BC" w:rsidRPr="00A864BC" w:rsidRDefault="00A864BC" w:rsidP="00A864BC">
      <w:pPr>
        <w:pStyle w:val="SingleTxt"/>
        <w:tabs>
          <w:tab w:val="clear" w:pos="1742"/>
          <w:tab w:val="clear" w:pos="2218"/>
        </w:tabs>
        <w:ind w:left="2693" w:hanging="1426"/>
      </w:pPr>
      <w:r>
        <w:t>«</w:t>
      </w:r>
      <w:r w:rsidRPr="00A864BC">
        <w:t>6.9.4.2</w:t>
      </w:r>
      <w:r w:rsidRPr="00A864BC">
        <w:tab/>
        <w:t>По высоте: на расстоянии не менее 250</w:t>
      </w:r>
      <w:r>
        <w:t> </w:t>
      </w:r>
      <w:r w:rsidRPr="00A864BC">
        <w:t>мм и не более 1</w:t>
      </w:r>
      <w:r>
        <w:t> </w:t>
      </w:r>
      <w:r w:rsidRPr="00A864BC">
        <w:t>500</w:t>
      </w:r>
      <w:r>
        <w:t> </w:t>
      </w:r>
      <w:r w:rsidRPr="00A864BC">
        <w:t>мм над уровнем грунта (2</w:t>
      </w:r>
      <w:r>
        <w:t> </w:t>
      </w:r>
      <w:r w:rsidRPr="00A864BC">
        <w:t>100</w:t>
      </w:r>
      <w:r>
        <w:t> </w:t>
      </w:r>
      <w:r w:rsidRPr="00A864BC">
        <w:t>мм для транспортных средств категорий О</w:t>
      </w:r>
      <w:r w:rsidRPr="00A864BC">
        <w:rPr>
          <w:vertAlign w:val="subscript"/>
        </w:rPr>
        <w:t>1</w:t>
      </w:r>
      <w:r w:rsidRPr="00A864BC">
        <w:t xml:space="preserve"> и О</w:t>
      </w:r>
      <w:r w:rsidRPr="00A864BC">
        <w:rPr>
          <w:vertAlign w:val="subscript"/>
        </w:rPr>
        <w:t>2</w:t>
      </w:r>
      <w:r w:rsidRPr="00A864BC">
        <w:t xml:space="preserve"> либо других категорий, если соблюдение значения 1</w:t>
      </w:r>
      <w:r>
        <w:t> </w:t>
      </w:r>
      <w:r w:rsidRPr="00A864BC">
        <w:t>500</w:t>
      </w:r>
      <w:r>
        <w:t> </w:t>
      </w:r>
      <w:r w:rsidRPr="00A864BC">
        <w:t>мм невозможно из-за формы кузова)</w:t>
      </w:r>
      <w:r>
        <w:t>»</w:t>
      </w:r>
      <w:r w:rsidRPr="00A864BC">
        <w:t>.</w:t>
      </w:r>
    </w:p>
    <w:p w:rsidR="00A864BC" w:rsidRPr="00A864BC" w:rsidRDefault="00A864BC" w:rsidP="00A864BC">
      <w:pPr>
        <w:pStyle w:val="SingleTxt"/>
      </w:pPr>
      <w:r w:rsidRPr="00A864BC">
        <w:rPr>
          <w:i/>
        </w:rPr>
        <w:t>Пункт 6.21.1.2.5</w:t>
      </w:r>
      <w:r w:rsidRPr="00A864BC">
        <w:t xml:space="preserve"> изменить следующим образом:</w:t>
      </w:r>
    </w:p>
    <w:p w:rsidR="00A864BC" w:rsidRPr="00A864BC" w:rsidRDefault="00A864BC" w:rsidP="00813946">
      <w:pPr>
        <w:pStyle w:val="SingleTxt"/>
        <w:tabs>
          <w:tab w:val="clear" w:pos="1742"/>
          <w:tab w:val="clear" w:pos="2218"/>
        </w:tabs>
        <w:ind w:left="2693" w:hanging="1426"/>
      </w:pPr>
      <w:r>
        <w:t>«</w:t>
      </w:r>
      <w:r w:rsidRPr="00A864BC">
        <w:t>6.21.1.2.5</w:t>
      </w:r>
      <w:r w:rsidRPr="00A864BC">
        <w:tab/>
        <w:t xml:space="preserve">В тех случаях, когда изготовитель </w:t>
      </w:r>
      <w:r w:rsidR="00813946">
        <w:t>–</w:t>
      </w:r>
      <w:r w:rsidRPr="00A864BC">
        <w:t xml:space="preserve"> после проверки технической службой </w:t>
      </w:r>
      <w:r w:rsidR="00813946">
        <w:t>–</w:t>
      </w:r>
      <w:r w:rsidRPr="00A864BC">
        <w:t xml:space="preserve"> может доказать к удовлетворению компетентного органа, ответственного за официальное утверждение типа, что со</w:t>
      </w:r>
      <w:r w:rsidRPr="00A864BC">
        <w:lastRenderedPageBreak/>
        <w:t>блюсти требования, содержащиеся в пунктах 6.21.2</w:t>
      </w:r>
      <w:r w:rsidR="00813946">
        <w:t>–</w:t>
      </w:r>
      <w:r w:rsidRPr="00A864BC">
        <w:t>6.21.7.5 ниже, невозможно в силу эксплуатационных требований, которые могут предполагать необходимость использования особой формы, структуры или конструкции транспортного средства, то допускается частичное соблюдение некоторых из этих требований. Это зависит от той части требований, которые по возможности соблюдаются, и от использования маркировки с улучшенными светоотражающими характеристиками, которая частично удовлетворяет наиболее жестким требованиям, касающимся конструкции транспортного средства. В частности, если позволяет конструкция, можно устанавливать дополнительные накладки или пластины, содержащие материал, соответствующий требованиям Правил №</w:t>
      </w:r>
      <w:r w:rsidR="00E7791C">
        <w:t> </w:t>
      </w:r>
      <w:r w:rsidRPr="00A864BC">
        <w:t>104, чтобы сигнализация была четкой и единообразной и отвечала цели обеспечения видимости.</w:t>
      </w:r>
    </w:p>
    <w:p w:rsidR="00A864BC" w:rsidRPr="00A864BC" w:rsidRDefault="00A864BC" w:rsidP="00E7791C">
      <w:pPr>
        <w:pStyle w:val="SingleTxt"/>
        <w:tabs>
          <w:tab w:val="clear" w:pos="1742"/>
          <w:tab w:val="clear" w:pos="2218"/>
        </w:tabs>
        <w:ind w:left="2693" w:hanging="1426"/>
      </w:pPr>
      <w:r w:rsidRPr="00A864BC">
        <w:tab/>
        <w:t>Если частичное соблюдение требований считают приемлемым, то для замены части требуемой маркировки с улучшенными светоотражающими характеристиками могут использоваться светоотражающие устройства, например светоотражатели класса</w:t>
      </w:r>
      <w:r w:rsidR="00E7791C">
        <w:t> </w:t>
      </w:r>
      <w:r w:rsidRPr="00A864BC">
        <w:t>IVА, предусмотренные Правилами №</w:t>
      </w:r>
      <w:r w:rsidR="00E7791C">
        <w:t> </w:t>
      </w:r>
      <w:r w:rsidRPr="00A864BC">
        <w:t>3, или накладки, содержащие светоотражающие материалы, удовлетворяющие фотометрическим требованиям класса С Правил №</w:t>
      </w:r>
      <w:r w:rsidR="00E7791C">
        <w:t> </w:t>
      </w:r>
      <w:r w:rsidRPr="00A864BC">
        <w:t>104. В этом случае по одному из таких светоотражающих устройств надлежит устанавливать как минимум на каждые 1</w:t>
      </w:r>
      <w:r w:rsidR="00E7791C">
        <w:t> </w:t>
      </w:r>
      <w:r w:rsidRPr="00A864BC">
        <w:t>500</w:t>
      </w:r>
      <w:r w:rsidR="00E7791C">
        <w:t> </w:t>
      </w:r>
      <w:r w:rsidRPr="00A864BC">
        <w:t>мм.</w:t>
      </w:r>
    </w:p>
    <w:p w:rsidR="00A864BC" w:rsidRPr="00A864BC" w:rsidRDefault="00A864BC" w:rsidP="00E7791C">
      <w:pPr>
        <w:pStyle w:val="SingleTxt"/>
        <w:tabs>
          <w:tab w:val="clear" w:pos="1742"/>
          <w:tab w:val="clear" w:pos="2218"/>
        </w:tabs>
        <w:ind w:left="2693" w:hanging="1426"/>
      </w:pPr>
      <w:r w:rsidRPr="00A864BC">
        <w:tab/>
        <w:t>Необходимую информацию указывают в карточке сообщения</w:t>
      </w:r>
      <w:r>
        <w:t>»</w:t>
      </w:r>
      <w:r w:rsidRPr="00A864BC">
        <w:t>.</w:t>
      </w:r>
    </w:p>
    <w:p w:rsidR="0094262D" w:rsidRPr="00A864BC" w:rsidRDefault="00A864BC" w:rsidP="00A864BC">
      <w:pPr>
        <w:pStyle w:val="SingleTxt"/>
        <w:spacing w:after="0" w:line="240" w:lineRule="auto"/>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84F9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94262D" w:rsidRPr="00A864BC" w:rsidSect="0094262D">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44" w:rsidRDefault="006C3444" w:rsidP="008A1A7A">
      <w:pPr>
        <w:spacing w:line="240" w:lineRule="auto"/>
      </w:pPr>
      <w:r>
        <w:separator/>
      </w:r>
    </w:p>
  </w:endnote>
  <w:endnote w:type="continuationSeparator" w:id="0">
    <w:p w:rsidR="006C3444" w:rsidRDefault="006C3444"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94262D" w:rsidTr="0094262D">
      <w:trPr>
        <w:jc w:val="center"/>
      </w:trPr>
      <w:tc>
        <w:tcPr>
          <w:tcW w:w="5126" w:type="dxa"/>
          <w:shd w:val="clear" w:color="auto" w:fill="auto"/>
          <w:vAlign w:val="bottom"/>
        </w:tcPr>
        <w:p w:rsidR="0094262D" w:rsidRPr="0094262D" w:rsidRDefault="0094262D" w:rsidP="0094262D">
          <w:pPr>
            <w:pStyle w:val="Footer"/>
            <w:rPr>
              <w:color w:val="000000"/>
            </w:rPr>
          </w:pPr>
          <w:r>
            <w:fldChar w:fldCharType="begin"/>
          </w:r>
          <w:r>
            <w:instrText xml:space="preserve"> PAGE  \* Arabic  \* MERGEFORMAT </w:instrText>
          </w:r>
          <w:r>
            <w:fldChar w:fldCharType="separate"/>
          </w:r>
          <w:r w:rsidR="00B362C8">
            <w:rPr>
              <w:noProof/>
            </w:rPr>
            <w:t>2</w:t>
          </w:r>
          <w:r>
            <w:fldChar w:fldCharType="end"/>
          </w:r>
          <w:r>
            <w:t>/</w:t>
          </w:r>
          <w:r w:rsidR="00B362C8">
            <w:fldChar w:fldCharType="begin"/>
          </w:r>
          <w:r w:rsidR="00B362C8">
            <w:instrText xml:space="preserve"> NUMPAGES  \* Arabic  \* MERGEFORMAT </w:instrText>
          </w:r>
          <w:r w:rsidR="00B362C8">
            <w:fldChar w:fldCharType="separate"/>
          </w:r>
          <w:r w:rsidR="00B362C8">
            <w:rPr>
              <w:noProof/>
            </w:rPr>
            <w:t>3</w:t>
          </w:r>
          <w:r w:rsidR="00B362C8">
            <w:rPr>
              <w:noProof/>
            </w:rPr>
            <w:fldChar w:fldCharType="end"/>
          </w:r>
        </w:p>
      </w:tc>
      <w:tc>
        <w:tcPr>
          <w:tcW w:w="5127" w:type="dxa"/>
          <w:shd w:val="clear" w:color="auto" w:fill="auto"/>
          <w:vAlign w:val="bottom"/>
        </w:tcPr>
        <w:p w:rsidR="0094262D" w:rsidRPr="0094262D" w:rsidRDefault="0094262D" w:rsidP="0094262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B15AB">
            <w:rPr>
              <w:b w:val="0"/>
              <w:color w:val="000000"/>
              <w:sz w:val="14"/>
            </w:rPr>
            <w:t>GE.14-55976</w:t>
          </w:r>
          <w:r>
            <w:rPr>
              <w:b w:val="0"/>
              <w:color w:val="000000"/>
              <w:sz w:val="14"/>
            </w:rPr>
            <w:fldChar w:fldCharType="end"/>
          </w:r>
        </w:p>
      </w:tc>
    </w:tr>
  </w:tbl>
  <w:p w:rsidR="0094262D" w:rsidRPr="0094262D" w:rsidRDefault="0094262D" w:rsidP="00942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5126"/>
      <w:gridCol w:w="5127"/>
    </w:tblGrid>
    <w:tr w:rsidR="0094262D" w:rsidTr="0094262D">
      <w:trPr>
        <w:jc w:val="center"/>
      </w:trPr>
      <w:tc>
        <w:tcPr>
          <w:tcW w:w="5126" w:type="dxa"/>
          <w:shd w:val="clear" w:color="auto" w:fill="auto"/>
          <w:vAlign w:val="bottom"/>
        </w:tcPr>
        <w:p w:rsidR="0094262D" w:rsidRPr="0094262D" w:rsidRDefault="0094262D" w:rsidP="0094262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4B15AB">
            <w:rPr>
              <w:b w:val="0"/>
              <w:color w:val="000000"/>
              <w:sz w:val="14"/>
            </w:rPr>
            <w:t>GE.14-55976</w:t>
          </w:r>
          <w:r>
            <w:rPr>
              <w:b w:val="0"/>
              <w:color w:val="000000"/>
              <w:sz w:val="14"/>
            </w:rPr>
            <w:fldChar w:fldCharType="end"/>
          </w:r>
        </w:p>
      </w:tc>
      <w:tc>
        <w:tcPr>
          <w:tcW w:w="5127" w:type="dxa"/>
          <w:shd w:val="clear" w:color="auto" w:fill="auto"/>
          <w:vAlign w:val="bottom"/>
        </w:tcPr>
        <w:p w:rsidR="0094262D" w:rsidRPr="0094262D" w:rsidRDefault="0094262D" w:rsidP="0094262D">
          <w:pPr>
            <w:pStyle w:val="Footer"/>
            <w:jc w:val="right"/>
          </w:pPr>
          <w:r>
            <w:fldChar w:fldCharType="begin"/>
          </w:r>
          <w:r>
            <w:instrText xml:space="preserve"> PAGE  \* Arabic  \* MERGEFORMAT </w:instrText>
          </w:r>
          <w:r>
            <w:fldChar w:fldCharType="separate"/>
          </w:r>
          <w:r w:rsidR="00B362C8">
            <w:rPr>
              <w:noProof/>
            </w:rPr>
            <w:t>3</w:t>
          </w:r>
          <w:r>
            <w:fldChar w:fldCharType="end"/>
          </w:r>
          <w:r>
            <w:t>/</w:t>
          </w:r>
          <w:r w:rsidR="00B362C8">
            <w:fldChar w:fldCharType="begin"/>
          </w:r>
          <w:r w:rsidR="00B362C8">
            <w:instrText xml:space="preserve"> NUMPAGES  \* Arabic  \* MERGEFORMAT </w:instrText>
          </w:r>
          <w:r w:rsidR="00B362C8">
            <w:fldChar w:fldCharType="separate"/>
          </w:r>
          <w:r w:rsidR="00B362C8">
            <w:rPr>
              <w:noProof/>
            </w:rPr>
            <w:t>3</w:t>
          </w:r>
          <w:r w:rsidR="00B362C8">
            <w:rPr>
              <w:noProof/>
            </w:rPr>
            <w:fldChar w:fldCharType="end"/>
          </w:r>
        </w:p>
      </w:tc>
    </w:tr>
  </w:tbl>
  <w:p w:rsidR="0094262D" w:rsidRPr="0094262D" w:rsidRDefault="0094262D" w:rsidP="00942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73"/>
      <w:gridCol w:w="5127"/>
    </w:tblGrid>
    <w:tr w:rsidR="0094262D" w:rsidTr="0094262D">
      <w:tc>
        <w:tcPr>
          <w:tcW w:w="3873" w:type="dxa"/>
        </w:tcPr>
        <w:p w:rsidR="0094262D" w:rsidRDefault="0094262D" w:rsidP="0094262D">
          <w:pPr>
            <w:pStyle w:val="ReleaseDate"/>
            <w:rPr>
              <w:color w:val="010000"/>
            </w:rPr>
          </w:pPr>
          <w:r>
            <w:rPr>
              <w:noProof/>
              <w:lang w:val="en-US" w:eastAsia="en-US"/>
            </w:rPr>
            <w:drawing>
              <wp:anchor distT="0" distB="0" distL="114300" distR="114300" simplePos="0" relativeHeight="251658240" behindDoc="0" locked="0" layoutInCell="1" allowOverlap="1" wp14:anchorId="4C57E4D1" wp14:editId="62F1F3B3">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ECE/324/Rev.1/Add.47/Rev.7/Amend.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ECE/324/Rev.1/Add.47/Rev.7/Amend.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GE.14-55976 (R)</w:t>
          </w:r>
          <w:r>
            <w:rPr>
              <w:color w:val="010000"/>
            </w:rPr>
            <w:t xml:space="preserve">    160216    160216</w:t>
          </w:r>
        </w:p>
        <w:p w:rsidR="0094262D" w:rsidRPr="0094262D" w:rsidRDefault="0094262D" w:rsidP="0094262D">
          <w:pPr>
            <w:spacing w:before="80" w:line="210" w:lineRule="exact"/>
            <w:rPr>
              <w:rFonts w:ascii="Barcode 3 of 9 by request" w:hAnsi="Barcode 3 of 9 by request"/>
              <w:w w:val="100"/>
              <w:sz w:val="24"/>
            </w:rPr>
          </w:pPr>
          <w:r>
            <w:rPr>
              <w:rFonts w:ascii="Barcode 3 of 9 by request" w:hAnsi="Barcode 3 of 9 by request"/>
              <w:w w:val="100"/>
              <w:sz w:val="24"/>
            </w:rPr>
            <w:t>*1455976*</w:t>
          </w:r>
        </w:p>
      </w:tc>
      <w:tc>
        <w:tcPr>
          <w:tcW w:w="5127" w:type="dxa"/>
        </w:tcPr>
        <w:p w:rsidR="0094262D" w:rsidRDefault="0094262D" w:rsidP="0094262D">
          <w:pPr>
            <w:pStyle w:val="Footer"/>
            <w:spacing w:line="240" w:lineRule="atLeast"/>
            <w:jc w:val="right"/>
            <w:rPr>
              <w:b w:val="0"/>
              <w:sz w:val="20"/>
            </w:rPr>
          </w:pPr>
          <w:r>
            <w:rPr>
              <w:b w:val="0"/>
              <w:noProof/>
              <w:sz w:val="20"/>
              <w:lang w:val="en-US" w:eastAsia="en-US"/>
            </w:rPr>
            <w:drawing>
              <wp:inline distT="0" distB="0" distL="0" distR="0" wp14:anchorId="771F08B2" wp14:editId="7C9D795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94262D" w:rsidRPr="0094262D" w:rsidRDefault="0094262D" w:rsidP="0094262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44" w:rsidRPr="00A864BC" w:rsidRDefault="00A864BC" w:rsidP="00A864BC">
      <w:pPr>
        <w:pStyle w:val="Footer"/>
        <w:spacing w:after="80"/>
        <w:ind w:left="792"/>
        <w:rPr>
          <w:sz w:val="16"/>
        </w:rPr>
      </w:pPr>
      <w:r w:rsidRPr="00A864BC">
        <w:rPr>
          <w:sz w:val="16"/>
        </w:rPr>
        <w:t>__________________</w:t>
      </w:r>
    </w:p>
  </w:footnote>
  <w:footnote w:type="continuationSeparator" w:id="0">
    <w:p w:rsidR="006C3444" w:rsidRPr="00A864BC" w:rsidRDefault="00A864BC" w:rsidP="00A864BC">
      <w:pPr>
        <w:pStyle w:val="Footer"/>
        <w:spacing w:after="80"/>
        <w:ind w:left="792"/>
        <w:rPr>
          <w:sz w:val="16"/>
        </w:rPr>
      </w:pPr>
      <w:r w:rsidRPr="00A864BC">
        <w:rPr>
          <w:sz w:val="16"/>
        </w:rPr>
        <w:t>__________________</w:t>
      </w:r>
    </w:p>
  </w:footnote>
  <w:footnote w:id="1">
    <w:p w:rsidR="00A864BC" w:rsidRPr="00BE78EF" w:rsidRDefault="00A864BC" w:rsidP="00A864BC">
      <w:pPr>
        <w:pStyle w:val="FootnoteText"/>
        <w:tabs>
          <w:tab w:val="right" w:pos="1195"/>
          <w:tab w:val="left" w:pos="1267"/>
          <w:tab w:val="left" w:pos="1742"/>
          <w:tab w:val="left" w:pos="2218"/>
          <w:tab w:val="left" w:pos="2693"/>
        </w:tabs>
        <w:spacing w:line="240" w:lineRule="auto"/>
        <w:ind w:left="1267" w:right="1260" w:hanging="432"/>
        <w:rPr>
          <w:szCs w:val="18"/>
        </w:rPr>
      </w:pPr>
      <w:r>
        <w:tab/>
      </w:r>
      <w:r w:rsidRPr="00A864BC">
        <w:rPr>
          <w:rStyle w:val="FootnoteReference"/>
          <w:szCs w:val="18"/>
          <w:vertAlign w:val="baseline"/>
        </w:rPr>
        <w:t>*</w:t>
      </w:r>
      <w:r w:rsidRPr="00A864BC">
        <w:tab/>
      </w:r>
      <w:r w:rsidRPr="00BE78EF">
        <w:rPr>
          <w:szCs w:val="18"/>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w:t>
      </w:r>
      <w:r w:rsidRPr="00BE78EF">
        <w:rPr>
          <w:szCs w:val="18"/>
          <w:lang w:val="en-US"/>
        </w:rPr>
        <w:t> </w:t>
      </w:r>
      <w:r w:rsidRPr="00BE78EF">
        <w:rPr>
          <w:szCs w:val="18"/>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4262D" w:rsidRPr="00434F2D" w:rsidTr="0094262D">
      <w:trPr>
        <w:trHeight w:hRule="exact" w:val="864"/>
        <w:jc w:val="center"/>
      </w:trPr>
      <w:tc>
        <w:tcPr>
          <w:tcW w:w="4882" w:type="dxa"/>
          <w:shd w:val="clear" w:color="auto" w:fill="auto"/>
          <w:vAlign w:val="bottom"/>
        </w:tcPr>
        <w:p w:rsidR="0094262D" w:rsidRPr="00434F2D" w:rsidRDefault="0094262D" w:rsidP="0094262D">
          <w:pPr>
            <w:pStyle w:val="Header"/>
            <w:spacing w:after="80"/>
            <w:rPr>
              <w:b/>
              <w:lang w:val="en-US"/>
            </w:rPr>
          </w:pPr>
          <w:r>
            <w:rPr>
              <w:b/>
            </w:rPr>
            <w:fldChar w:fldCharType="begin"/>
          </w:r>
          <w:r w:rsidRPr="00434F2D">
            <w:rPr>
              <w:b/>
              <w:lang w:val="en-US"/>
            </w:rPr>
            <w:instrText xml:space="preserve"> DOCVARIABLE "sss1" \* MERGEFORMAT </w:instrText>
          </w:r>
          <w:r>
            <w:rPr>
              <w:b/>
            </w:rPr>
            <w:fldChar w:fldCharType="separate"/>
          </w:r>
          <w:r w:rsidR="004B15AB">
            <w:rPr>
              <w:b/>
              <w:lang w:val="en-US"/>
            </w:rPr>
            <w:t>E/ECE/324/Rev.1/Add.47/Rev.7/Amend.3</w:t>
          </w:r>
          <w:r>
            <w:rPr>
              <w:b/>
            </w:rPr>
            <w:fldChar w:fldCharType="end"/>
          </w:r>
          <w:r w:rsidRPr="00434F2D">
            <w:rPr>
              <w:b/>
              <w:lang w:val="en-US"/>
            </w:rPr>
            <w:br/>
          </w:r>
          <w:r>
            <w:rPr>
              <w:b/>
            </w:rPr>
            <w:fldChar w:fldCharType="begin"/>
          </w:r>
          <w:r w:rsidRPr="00434F2D">
            <w:rPr>
              <w:b/>
              <w:lang w:val="en-US"/>
            </w:rPr>
            <w:instrText xml:space="preserve"> DOCVARIABLE "sss2" \* MERGEFORMAT </w:instrText>
          </w:r>
          <w:r>
            <w:rPr>
              <w:b/>
            </w:rPr>
            <w:fldChar w:fldCharType="separate"/>
          </w:r>
          <w:r w:rsidR="004B15AB">
            <w:rPr>
              <w:b/>
              <w:lang w:val="en-US"/>
            </w:rPr>
            <w:t>E/ECE/TRANS/505/Rev.1/Add.47/Rev.7/Amend.3</w:t>
          </w:r>
          <w:r>
            <w:rPr>
              <w:b/>
            </w:rPr>
            <w:fldChar w:fldCharType="end"/>
          </w:r>
        </w:p>
      </w:tc>
      <w:tc>
        <w:tcPr>
          <w:tcW w:w="5127" w:type="dxa"/>
          <w:shd w:val="clear" w:color="auto" w:fill="auto"/>
          <w:vAlign w:val="bottom"/>
        </w:tcPr>
        <w:p w:rsidR="0094262D" w:rsidRPr="00434F2D" w:rsidRDefault="0094262D" w:rsidP="0094262D">
          <w:pPr>
            <w:pStyle w:val="Header"/>
            <w:rPr>
              <w:lang w:val="en-US"/>
            </w:rPr>
          </w:pPr>
        </w:p>
      </w:tc>
    </w:tr>
  </w:tbl>
  <w:p w:rsidR="0094262D" w:rsidRPr="00434F2D" w:rsidRDefault="0094262D" w:rsidP="0094262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4262D" w:rsidRPr="00434F2D" w:rsidTr="0094262D">
      <w:trPr>
        <w:trHeight w:hRule="exact" w:val="864"/>
        <w:jc w:val="center"/>
      </w:trPr>
      <w:tc>
        <w:tcPr>
          <w:tcW w:w="4882" w:type="dxa"/>
          <w:shd w:val="clear" w:color="auto" w:fill="auto"/>
          <w:vAlign w:val="bottom"/>
        </w:tcPr>
        <w:p w:rsidR="0094262D" w:rsidRDefault="0094262D" w:rsidP="0094262D">
          <w:pPr>
            <w:pStyle w:val="Header"/>
          </w:pPr>
        </w:p>
      </w:tc>
      <w:tc>
        <w:tcPr>
          <w:tcW w:w="5127" w:type="dxa"/>
          <w:shd w:val="clear" w:color="auto" w:fill="auto"/>
          <w:vAlign w:val="bottom"/>
        </w:tcPr>
        <w:p w:rsidR="0094262D" w:rsidRPr="00434F2D" w:rsidRDefault="0094262D" w:rsidP="0094262D">
          <w:pPr>
            <w:pStyle w:val="Header"/>
            <w:spacing w:after="80"/>
            <w:jc w:val="right"/>
            <w:rPr>
              <w:b/>
              <w:lang w:val="en-US"/>
            </w:rPr>
          </w:pPr>
          <w:r>
            <w:rPr>
              <w:b/>
            </w:rPr>
            <w:fldChar w:fldCharType="begin"/>
          </w:r>
          <w:r w:rsidRPr="00434F2D">
            <w:rPr>
              <w:b/>
              <w:lang w:val="en-US"/>
            </w:rPr>
            <w:instrText xml:space="preserve"> DOCVARIABLE "sss1" \* MERGEFORMAT </w:instrText>
          </w:r>
          <w:r>
            <w:rPr>
              <w:b/>
            </w:rPr>
            <w:fldChar w:fldCharType="separate"/>
          </w:r>
          <w:r w:rsidR="004B15AB">
            <w:rPr>
              <w:b/>
              <w:lang w:val="en-US"/>
            </w:rPr>
            <w:t>E/ECE/324/Rev.1/Add.47/Rev.7/Amend.3</w:t>
          </w:r>
          <w:r>
            <w:rPr>
              <w:b/>
            </w:rPr>
            <w:fldChar w:fldCharType="end"/>
          </w:r>
          <w:r w:rsidRPr="00434F2D">
            <w:rPr>
              <w:b/>
              <w:lang w:val="en-US"/>
            </w:rPr>
            <w:br/>
          </w:r>
          <w:r>
            <w:rPr>
              <w:b/>
            </w:rPr>
            <w:fldChar w:fldCharType="begin"/>
          </w:r>
          <w:r w:rsidRPr="00434F2D">
            <w:rPr>
              <w:b/>
              <w:lang w:val="en-US"/>
            </w:rPr>
            <w:instrText xml:space="preserve"> DOCVARIABLE "sss2" \* MERGEFORMAT </w:instrText>
          </w:r>
          <w:r>
            <w:rPr>
              <w:b/>
            </w:rPr>
            <w:fldChar w:fldCharType="separate"/>
          </w:r>
          <w:r w:rsidR="004B15AB">
            <w:rPr>
              <w:b/>
              <w:lang w:val="en-US"/>
            </w:rPr>
            <w:t>E/ECE/TRANS/505/Rev.1/Add.47/Rev.7/Amend.3</w:t>
          </w:r>
          <w:r>
            <w:rPr>
              <w:b/>
            </w:rPr>
            <w:fldChar w:fldCharType="end"/>
          </w:r>
        </w:p>
      </w:tc>
    </w:tr>
  </w:tbl>
  <w:p w:rsidR="0094262D" w:rsidRPr="00434F2D" w:rsidRDefault="0094262D" w:rsidP="0094262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23" w:type="dxa"/>
      <w:tblLayout w:type="fixed"/>
      <w:tblCellMar>
        <w:left w:w="0" w:type="dxa"/>
        <w:right w:w="0" w:type="dxa"/>
      </w:tblCellMar>
      <w:tblLook w:val="0000" w:firstRow="0" w:lastRow="0" w:firstColumn="0" w:lastColumn="0" w:noHBand="0" w:noVBand="0"/>
    </w:tblPr>
    <w:tblGrid>
      <w:gridCol w:w="900"/>
      <w:gridCol w:w="270"/>
      <w:gridCol w:w="97"/>
      <w:gridCol w:w="5227"/>
      <w:gridCol w:w="245"/>
      <w:gridCol w:w="3284"/>
    </w:tblGrid>
    <w:tr w:rsidR="0094262D" w:rsidRPr="00434F2D" w:rsidTr="00BA73D5">
      <w:trPr>
        <w:trHeight w:hRule="exact" w:val="864"/>
      </w:trPr>
      <w:tc>
        <w:tcPr>
          <w:tcW w:w="900" w:type="dxa"/>
          <w:tcBorders>
            <w:bottom w:val="single" w:sz="4" w:space="0" w:color="auto"/>
          </w:tcBorders>
          <w:shd w:val="clear" w:color="auto" w:fill="auto"/>
          <w:vAlign w:val="bottom"/>
        </w:tcPr>
        <w:p w:rsidR="0094262D" w:rsidRPr="0094262D" w:rsidRDefault="0094262D" w:rsidP="0094262D">
          <w:pPr>
            <w:pStyle w:val="HCh"/>
            <w:spacing w:after="80"/>
            <w:rPr>
              <w:b w:val="0"/>
              <w:spacing w:val="2"/>
              <w:w w:val="96"/>
            </w:rPr>
          </w:pPr>
        </w:p>
      </w:tc>
      <w:tc>
        <w:tcPr>
          <w:tcW w:w="270" w:type="dxa"/>
          <w:tcBorders>
            <w:bottom w:val="single" w:sz="4" w:space="0" w:color="auto"/>
          </w:tcBorders>
          <w:shd w:val="clear" w:color="auto" w:fill="auto"/>
          <w:vAlign w:val="bottom"/>
        </w:tcPr>
        <w:p w:rsidR="0094262D" w:rsidRDefault="0094262D" w:rsidP="0094262D">
          <w:pPr>
            <w:pStyle w:val="Header"/>
            <w:spacing w:after="120"/>
          </w:pPr>
        </w:p>
      </w:tc>
      <w:tc>
        <w:tcPr>
          <w:tcW w:w="8853" w:type="dxa"/>
          <w:gridSpan w:val="4"/>
          <w:tcBorders>
            <w:bottom w:val="single" w:sz="4" w:space="0" w:color="auto"/>
          </w:tcBorders>
          <w:shd w:val="clear" w:color="auto" w:fill="auto"/>
          <w:vAlign w:val="bottom"/>
        </w:tcPr>
        <w:p w:rsidR="0094262D" w:rsidRPr="00434F2D" w:rsidRDefault="0094262D" w:rsidP="0094262D">
          <w:pPr>
            <w:pStyle w:val="Header"/>
            <w:spacing w:after="20"/>
            <w:jc w:val="right"/>
            <w:rPr>
              <w:sz w:val="20"/>
              <w:lang w:val="en-US"/>
            </w:rPr>
          </w:pPr>
          <w:r w:rsidRPr="00434F2D">
            <w:rPr>
              <w:sz w:val="40"/>
              <w:lang w:val="en-US"/>
            </w:rPr>
            <w:t>E</w:t>
          </w:r>
          <w:r w:rsidRPr="00434F2D">
            <w:rPr>
              <w:sz w:val="20"/>
              <w:lang w:val="en-US"/>
            </w:rPr>
            <w:t>/ECE/324/Rev.1/Add.47/Rev.7/Amend.3–</w:t>
          </w:r>
          <w:r w:rsidRPr="00434F2D">
            <w:rPr>
              <w:sz w:val="40"/>
              <w:lang w:val="en-US"/>
            </w:rPr>
            <w:t>E</w:t>
          </w:r>
          <w:r w:rsidRPr="00434F2D">
            <w:rPr>
              <w:sz w:val="20"/>
              <w:lang w:val="en-US"/>
            </w:rPr>
            <w:t>/ECE/TRANS/505/Rev.1/Add.47/Rev.7/Amend.3</w:t>
          </w:r>
        </w:p>
      </w:tc>
    </w:tr>
    <w:tr w:rsidR="0094262D" w:rsidRPr="0094262D" w:rsidTr="00BA73D5">
      <w:trPr>
        <w:trHeight w:hRule="exact" w:val="2880"/>
      </w:trPr>
      <w:tc>
        <w:tcPr>
          <w:tcW w:w="1267" w:type="dxa"/>
          <w:gridSpan w:val="3"/>
          <w:tcBorders>
            <w:top w:val="single" w:sz="4" w:space="0" w:color="auto"/>
            <w:bottom w:val="single" w:sz="12" w:space="0" w:color="auto"/>
          </w:tcBorders>
          <w:shd w:val="clear" w:color="auto" w:fill="auto"/>
        </w:tcPr>
        <w:p w:rsidR="0094262D" w:rsidRPr="0094262D" w:rsidRDefault="0094262D" w:rsidP="0094262D">
          <w:pPr>
            <w:pStyle w:val="Header"/>
            <w:spacing w:before="120"/>
            <w:jc w:val="center"/>
          </w:pPr>
          <w:r w:rsidRPr="00434F2D">
            <w:rPr>
              <w:lang w:val="en-US"/>
            </w:rPr>
            <w:t xml:space="preserve"> </w:t>
          </w:r>
        </w:p>
      </w:tc>
      <w:tc>
        <w:tcPr>
          <w:tcW w:w="5227" w:type="dxa"/>
          <w:tcBorders>
            <w:top w:val="single" w:sz="4" w:space="0" w:color="auto"/>
            <w:bottom w:val="single" w:sz="12" w:space="0" w:color="auto"/>
          </w:tcBorders>
          <w:shd w:val="clear" w:color="auto" w:fill="auto"/>
        </w:tcPr>
        <w:p w:rsidR="0094262D" w:rsidRPr="0094262D" w:rsidRDefault="0094262D" w:rsidP="0094262D">
          <w:pPr>
            <w:pStyle w:val="XLarge"/>
            <w:spacing w:before="109" w:line="330" w:lineRule="exact"/>
            <w:rPr>
              <w:sz w:val="34"/>
            </w:rPr>
          </w:pPr>
        </w:p>
      </w:tc>
      <w:tc>
        <w:tcPr>
          <w:tcW w:w="245" w:type="dxa"/>
          <w:tcBorders>
            <w:top w:val="single" w:sz="4" w:space="0" w:color="auto"/>
            <w:bottom w:val="single" w:sz="12" w:space="0" w:color="auto"/>
          </w:tcBorders>
          <w:shd w:val="clear" w:color="auto" w:fill="auto"/>
        </w:tcPr>
        <w:p w:rsidR="0094262D" w:rsidRPr="0094262D" w:rsidRDefault="0094262D" w:rsidP="0094262D">
          <w:pPr>
            <w:pStyle w:val="Header"/>
            <w:spacing w:before="109"/>
          </w:pPr>
        </w:p>
      </w:tc>
      <w:tc>
        <w:tcPr>
          <w:tcW w:w="3284" w:type="dxa"/>
          <w:tcBorders>
            <w:top w:val="single" w:sz="4" w:space="0" w:color="auto"/>
            <w:bottom w:val="single" w:sz="12" w:space="0" w:color="auto"/>
          </w:tcBorders>
          <w:shd w:val="clear" w:color="auto" w:fill="auto"/>
        </w:tcPr>
        <w:p w:rsidR="00BA73D5" w:rsidRDefault="00BA73D5" w:rsidP="0094262D">
          <w:pPr>
            <w:pStyle w:val="Publication"/>
            <w:spacing w:before="120"/>
            <w:rPr>
              <w:color w:val="000000"/>
              <w:lang w:val="en-US"/>
            </w:rPr>
          </w:pPr>
        </w:p>
        <w:p w:rsidR="00BA73D5" w:rsidRDefault="00BA73D5" w:rsidP="0094262D">
          <w:pPr>
            <w:pStyle w:val="Publication"/>
            <w:spacing w:before="120"/>
            <w:rPr>
              <w:color w:val="000000"/>
              <w:lang w:val="en-US"/>
            </w:rPr>
          </w:pPr>
        </w:p>
        <w:p w:rsidR="0094262D" w:rsidRDefault="00A864BC" w:rsidP="0094262D">
          <w:pPr>
            <w:pStyle w:val="Publication"/>
            <w:spacing w:before="120"/>
            <w:rPr>
              <w:color w:val="000000"/>
            </w:rPr>
          </w:pPr>
          <w:r>
            <w:rPr>
              <w:color w:val="000000"/>
              <w:lang w:val="en-US"/>
            </w:rPr>
            <w:t>10</w:t>
          </w:r>
          <w:r w:rsidR="0094262D">
            <w:rPr>
              <w:color w:val="000000"/>
            </w:rPr>
            <w:t xml:space="preserve"> February 2016</w:t>
          </w:r>
        </w:p>
        <w:p w:rsidR="0094262D" w:rsidRDefault="0094262D" w:rsidP="0094262D">
          <w:pPr>
            <w:rPr>
              <w:color w:val="000000"/>
            </w:rPr>
          </w:pPr>
        </w:p>
        <w:p w:rsidR="0094262D" w:rsidRDefault="0094262D" w:rsidP="0094262D">
          <w:pPr>
            <w:pStyle w:val="Original"/>
            <w:rPr>
              <w:color w:val="000000"/>
            </w:rPr>
          </w:pPr>
        </w:p>
        <w:p w:rsidR="0094262D" w:rsidRPr="0094262D" w:rsidRDefault="0094262D" w:rsidP="0094262D"/>
      </w:tc>
    </w:tr>
  </w:tbl>
  <w:p w:rsidR="0094262D" w:rsidRPr="0094262D" w:rsidRDefault="0094262D" w:rsidP="0094262D">
    <w:pPr>
      <w:pStyle w:val="Header"/>
      <w:spacing w:line="20" w:lineRule="exac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15:restartNumberingAfterBreak="0">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15:restartNumberingAfterBreak="0">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15:restartNumberingAfterBreak="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455976*"/>
    <w:docVar w:name="CreationDt" w:val="2/16/2016 1:50: PM"/>
    <w:docVar w:name="DocCategory" w:val="Doc"/>
    <w:docVar w:name="DocType" w:val="Final"/>
    <w:docVar w:name="DutyStation" w:val="Geneva"/>
    <w:docVar w:name="FooterJN" w:val="GE.14-55976"/>
    <w:docVar w:name="jobn" w:val="GE.14-55976 (R)"/>
    <w:docVar w:name="jobnDT" w:val="GE.14-55976 (R)   160216"/>
    <w:docVar w:name="jobnDTDT" w:val="GE.14-55976 (R)   160216   160216"/>
    <w:docVar w:name="JobNo" w:val="GE.1455976R"/>
    <w:docVar w:name="JobNo2" w:val="1602275R"/>
    <w:docVar w:name="LocalDrive" w:val="0"/>
    <w:docVar w:name="OandT" w:val=" "/>
    <w:docVar w:name="PaperSize" w:val="A4"/>
    <w:docVar w:name="sss1" w:val="E/ECE/324/Rev.1/Add.47/Rev.7/Amend.3"/>
    <w:docVar w:name="sss2" w:val="E/ECE/TRANS/505/Rev.1/Add.47/Rev.7/Amend.3"/>
    <w:docVar w:name="Symbol1" w:val="E/ECE/324/Rev.1/Add.47/Rev.7/Amend.3"/>
    <w:docVar w:name="Symbol2" w:val="E/ECE/TRANS/505/Rev.1/Add.47/Rev.7/Amend.3"/>
  </w:docVars>
  <w:rsids>
    <w:rsidRoot w:val="006C3444"/>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4EAA"/>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2824"/>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4F2D"/>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5AB"/>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0660D"/>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3444"/>
    <w:rsid w:val="006C44B7"/>
    <w:rsid w:val="006C59D5"/>
    <w:rsid w:val="006D58BE"/>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D4751"/>
    <w:rsid w:val="007E0E39"/>
    <w:rsid w:val="007E2B60"/>
    <w:rsid w:val="007E5E30"/>
    <w:rsid w:val="007F0E54"/>
    <w:rsid w:val="007F5107"/>
    <w:rsid w:val="00803EC5"/>
    <w:rsid w:val="008040BA"/>
    <w:rsid w:val="008042D6"/>
    <w:rsid w:val="00806380"/>
    <w:rsid w:val="00813946"/>
    <w:rsid w:val="00821CE2"/>
    <w:rsid w:val="00830FF8"/>
    <w:rsid w:val="00833A04"/>
    <w:rsid w:val="00833B8D"/>
    <w:rsid w:val="00842DFF"/>
    <w:rsid w:val="0084324F"/>
    <w:rsid w:val="00843750"/>
    <w:rsid w:val="00844407"/>
    <w:rsid w:val="00853B24"/>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262D"/>
    <w:rsid w:val="0094745A"/>
    <w:rsid w:val="00952B5F"/>
    <w:rsid w:val="00953546"/>
    <w:rsid w:val="009541F6"/>
    <w:rsid w:val="0095649D"/>
    <w:rsid w:val="009565AD"/>
    <w:rsid w:val="00960332"/>
    <w:rsid w:val="00961B26"/>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12E7"/>
    <w:rsid w:val="00A3401C"/>
    <w:rsid w:val="00A344D5"/>
    <w:rsid w:val="00A37E33"/>
    <w:rsid w:val="00A452CF"/>
    <w:rsid w:val="00A46574"/>
    <w:rsid w:val="00A471A3"/>
    <w:rsid w:val="00A47B1B"/>
    <w:rsid w:val="00A5253A"/>
    <w:rsid w:val="00A63339"/>
    <w:rsid w:val="00A864BC"/>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E6ADF"/>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2C8"/>
    <w:rsid w:val="00B36652"/>
    <w:rsid w:val="00B44E4D"/>
    <w:rsid w:val="00B47187"/>
    <w:rsid w:val="00B5129B"/>
    <w:rsid w:val="00B56376"/>
    <w:rsid w:val="00B5741E"/>
    <w:rsid w:val="00B606B7"/>
    <w:rsid w:val="00B62C69"/>
    <w:rsid w:val="00B666EC"/>
    <w:rsid w:val="00B77560"/>
    <w:rsid w:val="00B77FC0"/>
    <w:rsid w:val="00BA6AD7"/>
    <w:rsid w:val="00BA73D5"/>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9A3"/>
    <w:rsid w:val="00E11718"/>
    <w:rsid w:val="00E11778"/>
    <w:rsid w:val="00E12674"/>
    <w:rsid w:val="00E132AC"/>
    <w:rsid w:val="00E15CCC"/>
    <w:rsid w:val="00E15D7D"/>
    <w:rsid w:val="00E17234"/>
    <w:rsid w:val="00E23ABA"/>
    <w:rsid w:val="00E25456"/>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791C"/>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07EFDA2-A1F4-4B12-B9F7-195FF3E1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num" w:pos="360"/>
        <w:tab w:val="left" w:pos="792"/>
      </w:tabs>
      <w:spacing w:after="120"/>
      <w:ind w:left="0" w:firstLine="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94262D"/>
    <w:rPr>
      <w:sz w:val="16"/>
      <w:szCs w:val="16"/>
    </w:rPr>
  </w:style>
  <w:style w:type="paragraph" w:styleId="CommentText">
    <w:name w:val="annotation text"/>
    <w:basedOn w:val="Normal"/>
    <w:link w:val="CommentTextChar"/>
    <w:uiPriority w:val="99"/>
    <w:semiHidden/>
    <w:unhideWhenUsed/>
    <w:rsid w:val="0094262D"/>
    <w:pPr>
      <w:spacing w:line="240" w:lineRule="auto"/>
    </w:pPr>
    <w:rPr>
      <w:szCs w:val="20"/>
    </w:rPr>
  </w:style>
  <w:style w:type="character" w:customStyle="1" w:styleId="CommentTextChar">
    <w:name w:val="Comment Text Char"/>
    <w:basedOn w:val="DefaultParagraphFont"/>
    <w:link w:val="CommentText"/>
    <w:uiPriority w:val="99"/>
    <w:semiHidden/>
    <w:rsid w:val="0094262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94262D"/>
    <w:rPr>
      <w:b/>
      <w:bCs/>
    </w:rPr>
  </w:style>
  <w:style w:type="character" w:customStyle="1" w:styleId="CommentSubjectChar">
    <w:name w:val="Comment Subject Char"/>
    <w:basedOn w:val="CommentTextChar"/>
    <w:link w:val="CommentSubject"/>
    <w:uiPriority w:val="99"/>
    <w:semiHidden/>
    <w:rsid w:val="0094262D"/>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B362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C8"/>
    <w:rPr>
      <w:rFonts w:ascii="Segoe UI" w:hAnsi="Segoe UI" w:cs="Segoe UI"/>
      <w:spacing w:val="4"/>
      <w:w w:val="103"/>
      <w:kern w:val="14"/>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2285A-1193-4D9F-9EB4-80514865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Maykov</dc:creator>
  <cp:lastModifiedBy>Caillot</cp:lastModifiedBy>
  <cp:revision>2</cp:revision>
  <cp:lastPrinted>2016-02-16T13:27:00Z</cp:lastPrinted>
  <dcterms:created xsi:type="dcterms:W3CDTF">2016-03-24T15:32:00Z</dcterms:created>
  <dcterms:modified xsi:type="dcterms:W3CDTF">2016-03-24T15:32:00Z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1455976R</vt:lpwstr>
  </property>
  <property fmtid="{D5CDD505-2E9C-101B-9397-08002B2CF9AE}" pid="3" name="ODSRefJobNo">
    <vt:lpwstr>1602275R</vt:lpwstr>
  </property>
  <property fmtid="{D5CDD505-2E9C-101B-9397-08002B2CF9AE}" pid="4" name="Symbol1">
    <vt:lpwstr>E/ECE/324/Rev.1/Add.47/Rev.7/Amend.3</vt:lpwstr>
  </property>
  <property fmtid="{D5CDD505-2E9C-101B-9397-08002B2CF9AE}" pid="5" name="Symbol2">
    <vt:lpwstr>E/ECE/TRANS/505/Rev.1/Add.47/Rev.7/Amend.3</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Publication Date">
    <vt:lpwstr>5 February 2016</vt:lpwstr>
  </property>
  <property fmtid="{D5CDD505-2E9C-101B-9397-08002B2CF9AE}" pid="11" name="Original">
    <vt:lpwstr/>
  </property>
  <property fmtid="{D5CDD505-2E9C-101B-9397-08002B2CF9AE}" pid="12" name="Release Date">
    <vt:lpwstr>160216</vt:lpwstr>
  </property>
</Properties>
</file>