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43C06" w:rsidTr="00457676">
        <w:trPr>
          <w:trHeight w:hRule="exact" w:val="851"/>
        </w:trPr>
        <w:tc>
          <w:tcPr>
            <w:tcW w:w="9639" w:type="dxa"/>
            <w:gridSpan w:val="2"/>
            <w:tcBorders>
              <w:bottom w:val="single" w:sz="4" w:space="0" w:color="auto"/>
            </w:tcBorders>
            <w:shd w:val="clear" w:color="auto" w:fill="auto"/>
            <w:vAlign w:val="bottom"/>
          </w:tcPr>
          <w:p w:rsidR="00F47513" w:rsidRPr="00143C06" w:rsidRDefault="00F47513" w:rsidP="00F47513">
            <w:pPr>
              <w:jc w:val="right"/>
              <w:rPr>
                <w:lang w:val="en-US"/>
              </w:rPr>
            </w:pPr>
            <w:bookmarkStart w:id="0" w:name="_GoBack"/>
            <w:bookmarkEnd w:id="0"/>
            <w:r w:rsidRPr="00143C06">
              <w:rPr>
                <w:sz w:val="40"/>
                <w:lang w:val="en-US"/>
              </w:rPr>
              <w:t>E</w:t>
            </w:r>
            <w:r w:rsidRPr="00143C06">
              <w:rPr>
                <w:lang w:val="en-US"/>
              </w:rPr>
              <w:t>/ECE/324/Rev.1/Add.47/Rev.7/Amend.3−</w:t>
            </w:r>
            <w:r w:rsidRPr="00143C06">
              <w:rPr>
                <w:sz w:val="40"/>
                <w:lang w:val="en-US"/>
              </w:rPr>
              <w:t>E</w:t>
            </w:r>
            <w:r w:rsidRPr="00143C06">
              <w:rPr>
                <w:lang w:val="en-US"/>
              </w:rPr>
              <w:t>/ECE/TRANS/505/Rev.1/Add.47/Rev.7/Amend.3</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143C06" w:rsidRDefault="00421A10" w:rsidP="00457676">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F47513" w:rsidP="00457676">
            <w:pPr>
              <w:spacing w:before="480" w:line="240" w:lineRule="exact"/>
            </w:pPr>
            <w:r>
              <w:t>10 février 2016</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F47513" w:rsidRPr="006428A5">
        <w:rPr>
          <w:sz w:val="22"/>
          <w:szCs w:val="22"/>
        </w:rPr>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F47513" w:rsidRPr="000B18B8">
        <w:t>47</w:t>
      </w:r>
      <w:r w:rsidR="002418ED">
        <w:t> </w:t>
      </w:r>
      <w:r w:rsidR="00421A10" w:rsidRPr="006549FF">
        <w:t>: Règlement</w:t>
      </w:r>
      <w:r w:rsidR="00421A10">
        <w:t xml:space="preserve"> </w:t>
      </w:r>
      <w:r w:rsidR="00421A10" w:rsidRPr="00B371BF">
        <w:t>n</w:t>
      </w:r>
      <w:r w:rsidR="00421A10" w:rsidRPr="00B371BF">
        <w:rPr>
          <w:vertAlign w:val="superscript"/>
        </w:rPr>
        <w:t>o</w:t>
      </w:r>
      <w:r w:rsidR="00421A10">
        <w:t> </w:t>
      </w:r>
      <w:r w:rsidR="00F47513" w:rsidRPr="000B18B8">
        <w:t>48</w:t>
      </w:r>
    </w:p>
    <w:p w:rsidR="00421A10" w:rsidRPr="006549FF" w:rsidRDefault="0029791D" w:rsidP="0029791D">
      <w:pPr>
        <w:pStyle w:val="H1G"/>
      </w:pPr>
      <w:r>
        <w:tab/>
      </w:r>
      <w:r>
        <w:tab/>
      </w:r>
      <w:r w:rsidR="00421A10" w:rsidRPr="006549FF">
        <w:t xml:space="preserve">Révision </w:t>
      </w:r>
      <w:r w:rsidR="00F47513">
        <w:t>7 –</w:t>
      </w:r>
      <w:r w:rsidR="00F47513" w:rsidRPr="000B18B8">
        <w:t xml:space="preserve"> Amend</w:t>
      </w:r>
      <w:r w:rsidR="00F47513" w:rsidRPr="00B12D44">
        <w:t>e</w:t>
      </w:r>
      <w:r w:rsidR="00F47513" w:rsidRPr="000B18B8">
        <w:t>ment 3</w:t>
      </w:r>
    </w:p>
    <w:p w:rsidR="00F47513" w:rsidRPr="000B18B8" w:rsidRDefault="00F47513" w:rsidP="00F47513">
      <w:pPr>
        <w:pStyle w:val="SingleTxtG"/>
      </w:pPr>
      <w:r w:rsidRPr="00076529">
        <w:t xml:space="preserve">Complément </w:t>
      </w:r>
      <w:r w:rsidRPr="000B18B8">
        <w:t xml:space="preserve">12 </w:t>
      </w:r>
      <w:r w:rsidRPr="00076529">
        <w:t xml:space="preserve">à la série </w:t>
      </w:r>
      <w:r w:rsidRPr="000B18B8">
        <w:t xml:space="preserve">04 </w:t>
      </w:r>
      <w:r w:rsidRPr="00076529">
        <w:t>d’</w:t>
      </w:r>
      <w:r w:rsidRPr="000B18B8">
        <w:t>amend</w:t>
      </w:r>
      <w:r w:rsidRPr="00076529">
        <w:t>e</w:t>
      </w:r>
      <w:r w:rsidRPr="000B18B8">
        <w:t xml:space="preserve">ments – </w:t>
      </w:r>
      <w:r>
        <w:t>Date d’entrée en vigueur :</w:t>
      </w:r>
      <w:r w:rsidRPr="000B18B8">
        <w:t xml:space="preserve"> 10 </w:t>
      </w:r>
      <w:r>
        <w:t>juin</w:t>
      </w:r>
      <w:r w:rsidRPr="000B18B8">
        <w:t xml:space="preserve"> 2014</w:t>
      </w:r>
    </w:p>
    <w:p w:rsidR="00421A10" w:rsidRDefault="0029791D" w:rsidP="0029791D">
      <w:pPr>
        <w:pStyle w:val="H1G"/>
      </w:pPr>
      <w:r>
        <w:tab/>
      </w:r>
      <w:r>
        <w:tab/>
      </w:r>
      <w:r w:rsidR="00421A10" w:rsidRPr="007619D3">
        <w:t xml:space="preserve">Prescriptions uniformes relatives </w:t>
      </w:r>
      <w:r w:rsidR="00F47513" w:rsidRPr="00B12D44">
        <w:t xml:space="preserve">à l’homologation des véhicules </w:t>
      </w:r>
      <w:r w:rsidR="00F47513">
        <w:br/>
      </w:r>
      <w:r w:rsidR="00F47513" w:rsidRPr="00B12D44">
        <w:t xml:space="preserve">en ce qui concerne l’installation des dispositifs d’éclairage </w:t>
      </w:r>
      <w:r w:rsidR="00F47513">
        <w:br/>
      </w:r>
      <w:r w:rsidR="00F47513" w:rsidRPr="00B12D44">
        <w:t>et de signalisation lumineuse</w:t>
      </w:r>
    </w:p>
    <w:p w:rsidR="00F47513" w:rsidRPr="000B18B8" w:rsidRDefault="00F47513" w:rsidP="00F47513">
      <w:pPr>
        <w:pStyle w:val="SingleTxtG"/>
      </w:pPr>
      <w:r>
        <w:br w:type="page"/>
      </w:r>
      <w:r w:rsidRPr="00F47513">
        <w:rPr>
          <w:i/>
        </w:rPr>
        <w:lastRenderedPageBreak/>
        <w:t>Paragraphes 5.23 et 5.23.1</w:t>
      </w:r>
      <w:r w:rsidRPr="000B18B8">
        <w:t xml:space="preserve">, </w:t>
      </w:r>
      <w:r w:rsidRPr="00B65AB9">
        <w:t>modifier comme suit</w:t>
      </w:r>
      <w:r w:rsidR="002418ED">
        <w:t> </w:t>
      </w:r>
      <w:r w:rsidRPr="000B18B8">
        <w:t>:</w:t>
      </w:r>
    </w:p>
    <w:p w:rsidR="00F47513" w:rsidRPr="000B18B8" w:rsidRDefault="007B33A6" w:rsidP="007B33A6">
      <w:pPr>
        <w:pStyle w:val="SingleTxtG"/>
        <w:ind w:left="2268" w:hanging="1134"/>
        <w:rPr>
          <w:strike/>
        </w:rPr>
      </w:pPr>
      <w:r>
        <w:t>« </w:t>
      </w:r>
      <w:r w:rsidR="00F47513" w:rsidRPr="000B18B8">
        <w:t>5.23</w:t>
      </w:r>
      <w:r w:rsidR="00F47513" w:rsidRPr="000B18B8">
        <w:tab/>
      </w:r>
      <w:r w:rsidR="00F47513" w:rsidRPr="00D87046">
        <w:t>Les feux homologués avec une ou plusieurs sources lumineuses remplaçables conformes au Règlement n</w:t>
      </w:r>
      <w:r w:rsidRPr="007B33A6">
        <w:rPr>
          <w:vertAlign w:val="superscript"/>
        </w:rPr>
        <w:t>o</w:t>
      </w:r>
      <w:r>
        <w:t> </w:t>
      </w:r>
      <w:r w:rsidR="00F47513" w:rsidRPr="00D87046">
        <w:t xml:space="preserve">37, sauf quand ces sources lumineuses sont utilisées comme sources non remplaçables </w:t>
      </w:r>
      <w:r w:rsidR="00F47513" w:rsidRPr="003923B0">
        <w:t>te</w:t>
      </w:r>
      <w:r>
        <w:t>lles que définies au paragraphe </w:t>
      </w:r>
      <w:r w:rsidR="00F47513" w:rsidRPr="003923B0">
        <w:t>2.7.1.1.2</w:t>
      </w:r>
      <w:r w:rsidR="00F47513">
        <w:t xml:space="preserve"> du présent Règlement, </w:t>
      </w:r>
      <w:r w:rsidR="00F47513" w:rsidRPr="00D87046">
        <w:t>doivent être montés sur le véhicule de telle sorte que la source lumineuse puisse être correctement remplacée sans l’assistance d’un technicien et sans l’aide d’outils spéciaux autres que ceux fournis avec le véhicule par le constructeur.</w:t>
      </w:r>
      <w:r w:rsidR="00F47513">
        <w:t xml:space="preserve"> </w:t>
      </w:r>
      <w:r w:rsidR="00F47513" w:rsidRPr="003923B0">
        <w:t>Le constructeur doit fournir avec le véhicule une description détaillée de la procédure à suivre pour effectuer ce remplacement</w:t>
      </w:r>
      <w:r>
        <w:t>.</w:t>
      </w:r>
    </w:p>
    <w:p w:rsidR="00F47513" w:rsidRPr="000B18B8" w:rsidRDefault="00F47513" w:rsidP="007B33A6">
      <w:pPr>
        <w:pStyle w:val="SingleTxtG"/>
        <w:ind w:left="2268" w:hanging="1134"/>
        <w:rPr>
          <w:szCs w:val="24"/>
          <w:lang w:eastAsia="ja-JP"/>
        </w:rPr>
      </w:pPr>
      <w:r w:rsidRPr="000B18B8">
        <w:rPr>
          <w:bCs/>
          <w:szCs w:val="24"/>
          <w:lang w:eastAsia="ja-JP"/>
        </w:rPr>
        <w:t>5.23.1</w:t>
      </w:r>
      <w:r w:rsidRPr="000B18B8">
        <w:rPr>
          <w:bCs/>
          <w:szCs w:val="24"/>
          <w:lang w:eastAsia="ja-JP"/>
        </w:rPr>
        <w:tab/>
      </w:r>
      <w:r w:rsidRPr="003923B0">
        <w:rPr>
          <w:bCs/>
          <w:szCs w:val="24"/>
          <w:lang w:eastAsia="ja-JP"/>
        </w:rPr>
        <w:t xml:space="preserve">Lorsqu’un module </w:t>
      </w:r>
      <w:r w:rsidRPr="007B33A6">
        <w:t>d’éclairage</w:t>
      </w:r>
      <w:r w:rsidRPr="003923B0">
        <w:rPr>
          <w:bCs/>
          <w:szCs w:val="24"/>
          <w:lang w:eastAsia="ja-JP"/>
        </w:rPr>
        <w:t xml:space="preserve"> </w:t>
      </w:r>
      <w:r w:rsidRPr="007B33A6">
        <w:t>comprend</w:t>
      </w:r>
      <w:r w:rsidRPr="003923B0">
        <w:rPr>
          <w:bCs/>
          <w:szCs w:val="24"/>
          <w:lang w:eastAsia="ja-JP"/>
        </w:rPr>
        <w:t xml:space="preserve"> une douille pour une source lumineuse remplaçable homologuée conforme au Règlement n</w:t>
      </w:r>
      <w:r w:rsidR="007B33A6" w:rsidRPr="007B33A6">
        <w:rPr>
          <w:bCs/>
          <w:szCs w:val="24"/>
          <w:vertAlign w:val="superscript"/>
          <w:lang w:eastAsia="ja-JP"/>
        </w:rPr>
        <w:t>o</w:t>
      </w:r>
      <w:r w:rsidR="007B33A6">
        <w:rPr>
          <w:bCs/>
          <w:szCs w:val="24"/>
          <w:lang w:eastAsia="ja-JP"/>
        </w:rPr>
        <w:t> </w:t>
      </w:r>
      <w:r w:rsidRPr="003923B0">
        <w:rPr>
          <w:bCs/>
          <w:szCs w:val="24"/>
          <w:lang w:eastAsia="ja-JP"/>
        </w:rPr>
        <w:t xml:space="preserve">37, cette source lumineuse doit être remplaçable comme prescrit </w:t>
      </w:r>
      <w:r w:rsidR="007B33A6">
        <w:rPr>
          <w:bCs/>
          <w:szCs w:val="24"/>
          <w:lang w:eastAsia="ja-JP"/>
        </w:rPr>
        <w:t xml:space="preserve">au </w:t>
      </w:r>
      <w:r w:rsidRPr="000B18B8">
        <w:rPr>
          <w:bCs/>
          <w:szCs w:val="24"/>
          <w:lang w:eastAsia="ja-JP"/>
        </w:rPr>
        <w:t xml:space="preserve">5.23 </w:t>
      </w:r>
      <w:r w:rsidRPr="003923B0">
        <w:rPr>
          <w:bCs/>
          <w:szCs w:val="24"/>
          <w:lang w:eastAsia="ja-JP"/>
        </w:rPr>
        <w:t>ci-dessus</w:t>
      </w:r>
      <w:r w:rsidR="007B33A6">
        <w:rPr>
          <w:bCs/>
          <w:szCs w:val="24"/>
          <w:lang w:eastAsia="ja-JP"/>
        </w:rPr>
        <w:t>. ».</w:t>
      </w:r>
    </w:p>
    <w:p w:rsidR="00F47513" w:rsidRPr="000B18B8" w:rsidRDefault="00F47513" w:rsidP="007B33A6">
      <w:pPr>
        <w:pStyle w:val="SingleTxtG"/>
      </w:pPr>
      <w:r w:rsidRPr="007B33A6">
        <w:rPr>
          <w:i/>
        </w:rPr>
        <w:t>Paragraphe</w:t>
      </w:r>
      <w:r w:rsidR="007B33A6" w:rsidRPr="007B33A6">
        <w:rPr>
          <w:i/>
        </w:rPr>
        <w:t xml:space="preserve"> 6.1.2</w:t>
      </w:r>
      <w:r w:rsidRPr="000B18B8">
        <w:t xml:space="preserve">, </w:t>
      </w:r>
      <w:r w:rsidRPr="003216EB">
        <w:t>modifier comme suit</w:t>
      </w:r>
      <w:r w:rsidR="007B33A6">
        <w:t> :</w:t>
      </w:r>
    </w:p>
    <w:p w:rsidR="00F47513" w:rsidRPr="000B18B8" w:rsidRDefault="00F05A3F" w:rsidP="007B33A6">
      <w:pPr>
        <w:pStyle w:val="SingleTxtG"/>
        <w:ind w:left="2268" w:hanging="1134"/>
        <w:rPr>
          <w:szCs w:val="24"/>
        </w:rPr>
      </w:pPr>
      <w:r>
        <w:rPr>
          <w:szCs w:val="24"/>
        </w:rPr>
        <w:t>« </w:t>
      </w:r>
      <w:r w:rsidR="00F47513" w:rsidRPr="000B18B8">
        <w:rPr>
          <w:szCs w:val="24"/>
        </w:rPr>
        <w:t>6.1.2</w:t>
      </w:r>
      <w:r w:rsidR="00F47513" w:rsidRPr="000B18B8">
        <w:rPr>
          <w:szCs w:val="24"/>
        </w:rPr>
        <w:tab/>
      </w:r>
      <w:r w:rsidR="00F47513" w:rsidRPr="007B33A6">
        <w:t>Nombre</w:t>
      </w:r>
    </w:p>
    <w:p w:rsidR="00F47513" w:rsidRDefault="00F47513" w:rsidP="007B33A6">
      <w:pPr>
        <w:pStyle w:val="SingleTxtG"/>
        <w:ind w:left="2268"/>
      </w:pPr>
      <w:r w:rsidRPr="003216EB">
        <w:t>Deux ou quatre, homologués conformément aux Règlements n</w:t>
      </w:r>
      <w:r w:rsidR="007B33A6" w:rsidRPr="007B33A6">
        <w:rPr>
          <w:vertAlign w:val="superscript"/>
        </w:rPr>
        <w:t>o</w:t>
      </w:r>
      <w:r w:rsidR="007B33A6">
        <w:t> </w:t>
      </w:r>
      <w:r w:rsidRPr="003216EB">
        <w:t>98 ou 112, à l’exclusion des projecteurs de la classe A.</w:t>
      </w:r>
    </w:p>
    <w:p w:rsidR="00F47513" w:rsidRPr="000B18B8" w:rsidRDefault="00F47513" w:rsidP="007B33A6">
      <w:pPr>
        <w:pStyle w:val="SingleTxtG"/>
        <w:ind w:left="2268"/>
        <w:rPr>
          <w:spacing w:val="-3"/>
          <w:szCs w:val="24"/>
        </w:rPr>
      </w:pPr>
      <w:r w:rsidRPr="002067F1">
        <w:rPr>
          <w:spacing w:val="-3"/>
          <w:szCs w:val="24"/>
        </w:rPr>
        <w:t xml:space="preserve">Pour les véhicules de la catégorie </w:t>
      </w:r>
      <w:r w:rsidRPr="000B18B8">
        <w:rPr>
          <w:spacing w:val="-3"/>
          <w:szCs w:val="24"/>
        </w:rPr>
        <w:t>N</w:t>
      </w:r>
      <w:r w:rsidRPr="000B18B8">
        <w:rPr>
          <w:spacing w:val="-3"/>
          <w:szCs w:val="24"/>
          <w:vertAlign w:val="subscript"/>
        </w:rPr>
        <w:t>3</w:t>
      </w:r>
      <w:r w:rsidR="007B33A6" w:rsidRPr="007B33A6">
        <w:rPr>
          <w:spacing w:val="-3"/>
          <w:szCs w:val="24"/>
        </w:rPr>
        <w:t> </w:t>
      </w:r>
      <w:r w:rsidR="007B33A6">
        <w:rPr>
          <w:spacing w:val="-3"/>
          <w:szCs w:val="24"/>
        </w:rPr>
        <w:t>:</w:t>
      </w:r>
      <w:r w:rsidRPr="000B18B8">
        <w:rPr>
          <w:spacing w:val="-3"/>
          <w:szCs w:val="24"/>
        </w:rPr>
        <w:t xml:space="preserve"> </w:t>
      </w:r>
      <w:r w:rsidRPr="002067F1">
        <w:rPr>
          <w:spacing w:val="-3"/>
          <w:szCs w:val="24"/>
        </w:rPr>
        <w:t>deux feux de route supplémentaires peuvent être installés</w:t>
      </w:r>
      <w:r w:rsidRPr="000B18B8">
        <w:rPr>
          <w:spacing w:val="-3"/>
          <w:szCs w:val="24"/>
        </w:rPr>
        <w:t>.</w:t>
      </w:r>
    </w:p>
    <w:p w:rsidR="00F47513" w:rsidRPr="000B18B8" w:rsidRDefault="00F47513" w:rsidP="007B33A6">
      <w:pPr>
        <w:pStyle w:val="SingleTxtG"/>
        <w:ind w:left="2268"/>
        <w:rPr>
          <w:szCs w:val="24"/>
        </w:rPr>
      </w:pPr>
      <w:r w:rsidRPr="002067F1">
        <w:rPr>
          <w:szCs w:val="24"/>
        </w:rPr>
        <w:t xml:space="preserve">Les véhicules déjà équipés de quatre projecteurs occultables ne peuvent </w:t>
      </w:r>
      <w:r w:rsidRPr="007B33A6">
        <w:rPr>
          <w:spacing w:val="-3"/>
          <w:szCs w:val="24"/>
        </w:rPr>
        <w:t>être</w:t>
      </w:r>
      <w:r w:rsidRPr="002067F1">
        <w:rPr>
          <w:szCs w:val="24"/>
        </w:rPr>
        <w:t xml:space="preserve"> dotés de deux projecteurs supplémentaires que s’ils sont destinés à la signalisation lumineuse, </w:t>
      </w:r>
      <w:r w:rsidR="007B33A6">
        <w:rPr>
          <w:szCs w:val="24"/>
        </w:rPr>
        <w:t>consistant en un</w:t>
      </w:r>
      <w:r w:rsidRPr="002067F1">
        <w:rPr>
          <w:szCs w:val="24"/>
        </w:rPr>
        <w:t xml:space="preserve"> allumage </w:t>
      </w:r>
      <w:r>
        <w:rPr>
          <w:szCs w:val="24"/>
        </w:rPr>
        <w:t xml:space="preserve">intermittent </w:t>
      </w:r>
      <w:r w:rsidRPr="002067F1">
        <w:rPr>
          <w:szCs w:val="24"/>
        </w:rPr>
        <w:t xml:space="preserve">à </w:t>
      </w:r>
      <w:r>
        <w:rPr>
          <w:szCs w:val="24"/>
        </w:rPr>
        <w:t xml:space="preserve">de </w:t>
      </w:r>
      <w:r w:rsidRPr="002067F1">
        <w:rPr>
          <w:szCs w:val="24"/>
        </w:rPr>
        <w:t xml:space="preserve">courts </w:t>
      </w:r>
      <w:r w:rsidR="007B33A6">
        <w:rPr>
          <w:szCs w:val="24"/>
        </w:rPr>
        <w:t>intervalles (voir le paragraphe </w:t>
      </w:r>
      <w:r w:rsidRPr="002067F1">
        <w:rPr>
          <w:szCs w:val="24"/>
        </w:rPr>
        <w:t>5.12 ci-dessus)</w:t>
      </w:r>
      <w:r>
        <w:rPr>
          <w:szCs w:val="24"/>
        </w:rPr>
        <w:t xml:space="preserve"> </w:t>
      </w:r>
      <w:r w:rsidRPr="002067F1">
        <w:rPr>
          <w:szCs w:val="24"/>
        </w:rPr>
        <w:t>en conduite de jour</w:t>
      </w:r>
      <w:r>
        <w:rPr>
          <w:szCs w:val="24"/>
        </w:rPr>
        <w:t>.</w:t>
      </w:r>
      <w:r w:rsidR="007B33A6">
        <w:rPr>
          <w:szCs w:val="24"/>
        </w:rPr>
        <w:t> »</w:t>
      </w:r>
      <w:r>
        <w:rPr>
          <w:szCs w:val="24"/>
        </w:rPr>
        <w:t>.</w:t>
      </w:r>
    </w:p>
    <w:p w:rsidR="00F47513" w:rsidRPr="000B18B8" w:rsidRDefault="00F47513" w:rsidP="007B33A6">
      <w:pPr>
        <w:pStyle w:val="SingleTxtG"/>
        <w:rPr>
          <w:i/>
          <w:iCs/>
          <w:szCs w:val="24"/>
        </w:rPr>
      </w:pPr>
      <w:r w:rsidRPr="002067F1">
        <w:rPr>
          <w:i/>
          <w:iCs/>
          <w:szCs w:val="24"/>
        </w:rPr>
        <w:t>Paragraphe</w:t>
      </w:r>
      <w:r w:rsidR="007B33A6">
        <w:rPr>
          <w:i/>
          <w:iCs/>
          <w:szCs w:val="24"/>
        </w:rPr>
        <w:t xml:space="preserve"> 6.2.2</w:t>
      </w:r>
      <w:r w:rsidRPr="000B18B8">
        <w:rPr>
          <w:i/>
          <w:iCs/>
          <w:szCs w:val="24"/>
        </w:rPr>
        <w:t xml:space="preserve">, </w:t>
      </w:r>
      <w:r w:rsidRPr="002067F1">
        <w:rPr>
          <w:szCs w:val="24"/>
        </w:rPr>
        <w:t xml:space="preserve">modifier </w:t>
      </w:r>
      <w:r w:rsidRPr="007B33A6">
        <w:t>comme</w:t>
      </w:r>
      <w:r w:rsidRPr="002067F1">
        <w:rPr>
          <w:szCs w:val="24"/>
        </w:rPr>
        <w:t xml:space="preserve"> suit</w:t>
      </w:r>
      <w:r w:rsidR="007B33A6">
        <w:rPr>
          <w:szCs w:val="24"/>
        </w:rPr>
        <w:t> </w:t>
      </w:r>
      <w:r w:rsidR="007B33A6" w:rsidRPr="007B33A6">
        <w:rPr>
          <w:iCs/>
          <w:szCs w:val="24"/>
        </w:rPr>
        <w:t>:</w:t>
      </w:r>
    </w:p>
    <w:p w:rsidR="00F47513" w:rsidRPr="000B18B8" w:rsidRDefault="007B33A6" w:rsidP="007B33A6">
      <w:pPr>
        <w:pStyle w:val="SingleTxtG"/>
        <w:ind w:left="2268" w:hanging="1134"/>
        <w:rPr>
          <w:szCs w:val="24"/>
        </w:rPr>
      </w:pPr>
      <w:r>
        <w:rPr>
          <w:szCs w:val="24"/>
        </w:rPr>
        <w:t>« </w:t>
      </w:r>
      <w:r w:rsidR="00F47513" w:rsidRPr="000B18B8">
        <w:rPr>
          <w:szCs w:val="24"/>
        </w:rPr>
        <w:t>6.2.2</w:t>
      </w:r>
      <w:r w:rsidR="00F47513" w:rsidRPr="000B18B8">
        <w:rPr>
          <w:szCs w:val="24"/>
        </w:rPr>
        <w:tab/>
      </w:r>
      <w:r w:rsidR="00F47513" w:rsidRPr="007B33A6">
        <w:t>Nombre</w:t>
      </w:r>
    </w:p>
    <w:p w:rsidR="00F47513" w:rsidRPr="000B18B8" w:rsidRDefault="00F47513" w:rsidP="007B33A6">
      <w:pPr>
        <w:pStyle w:val="SingleTxtG"/>
        <w:ind w:left="2268"/>
        <w:rPr>
          <w:szCs w:val="24"/>
        </w:rPr>
      </w:pPr>
      <w:r w:rsidRPr="00B14943">
        <w:rPr>
          <w:szCs w:val="24"/>
        </w:rPr>
        <w:t>Deux ou quatre, homologués</w:t>
      </w:r>
      <w:r w:rsidR="007B33A6">
        <w:rPr>
          <w:szCs w:val="24"/>
        </w:rPr>
        <w:t xml:space="preserve"> conformément aux Règlements n</w:t>
      </w:r>
      <w:r w:rsidR="007B33A6" w:rsidRPr="007B33A6">
        <w:rPr>
          <w:szCs w:val="24"/>
          <w:vertAlign w:val="superscript"/>
        </w:rPr>
        <w:t>o</w:t>
      </w:r>
      <w:r w:rsidR="007B33A6">
        <w:rPr>
          <w:szCs w:val="24"/>
        </w:rPr>
        <w:t> </w:t>
      </w:r>
      <w:r w:rsidRPr="00B14943">
        <w:rPr>
          <w:szCs w:val="24"/>
        </w:rPr>
        <w:t>98 ou 112, à l’exclusion des projecteurs de la classe A</w:t>
      </w:r>
      <w:r w:rsidR="007B33A6">
        <w:rPr>
          <w:szCs w:val="24"/>
        </w:rPr>
        <w:t>. »</w:t>
      </w:r>
      <w:r>
        <w:rPr>
          <w:szCs w:val="24"/>
        </w:rPr>
        <w:t>.</w:t>
      </w:r>
    </w:p>
    <w:p w:rsidR="00F47513" w:rsidRPr="000B18B8" w:rsidRDefault="00F47513" w:rsidP="007B33A6">
      <w:pPr>
        <w:pStyle w:val="SingleTxtG"/>
        <w:rPr>
          <w:bCs/>
          <w:szCs w:val="24"/>
        </w:rPr>
      </w:pPr>
      <w:r w:rsidRPr="00F12504">
        <w:rPr>
          <w:bCs/>
          <w:i/>
          <w:szCs w:val="24"/>
        </w:rPr>
        <w:t>Paragraphe</w:t>
      </w:r>
      <w:r w:rsidRPr="000B18B8">
        <w:rPr>
          <w:bCs/>
          <w:i/>
          <w:szCs w:val="24"/>
        </w:rPr>
        <w:t xml:space="preserve"> 6.6.7.2, </w:t>
      </w:r>
      <w:r w:rsidRPr="00F12504">
        <w:rPr>
          <w:bCs/>
          <w:szCs w:val="24"/>
        </w:rPr>
        <w:t xml:space="preserve">modifier </w:t>
      </w:r>
      <w:r w:rsidRPr="007B33A6">
        <w:rPr>
          <w:szCs w:val="24"/>
        </w:rPr>
        <w:t>comme</w:t>
      </w:r>
      <w:r w:rsidRPr="00F12504">
        <w:rPr>
          <w:bCs/>
          <w:szCs w:val="24"/>
        </w:rPr>
        <w:t xml:space="preserve"> suit</w:t>
      </w:r>
      <w:r w:rsidR="007B33A6">
        <w:rPr>
          <w:bCs/>
          <w:szCs w:val="24"/>
        </w:rPr>
        <w:t> :</w:t>
      </w:r>
    </w:p>
    <w:p w:rsidR="00F47513" w:rsidRPr="000B18B8" w:rsidRDefault="007B33A6" w:rsidP="007B33A6">
      <w:pPr>
        <w:pStyle w:val="SingleTxtG"/>
        <w:ind w:left="2268" w:hanging="1134"/>
        <w:rPr>
          <w:szCs w:val="24"/>
        </w:rPr>
      </w:pPr>
      <w:r>
        <w:rPr>
          <w:szCs w:val="24"/>
        </w:rPr>
        <w:t>« </w:t>
      </w:r>
      <w:r w:rsidR="00F47513" w:rsidRPr="000B18B8">
        <w:rPr>
          <w:szCs w:val="24"/>
        </w:rPr>
        <w:t>6.6.7.2</w:t>
      </w:r>
      <w:r w:rsidR="00F47513" w:rsidRPr="000B18B8">
        <w:rPr>
          <w:szCs w:val="24"/>
        </w:rPr>
        <w:tab/>
      </w:r>
      <w:r w:rsidR="00F47513" w:rsidRPr="00F12504">
        <w:rPr>
          <w:szCs w:val="24"/>
        </w:rPr>
        <w:t xml:space="preserve">Le signal de détresse peut être actionné automatiquement lorsqu’un véhicule est impliqué dans une collision ou après la désactivation du signal de freinage d’urgence, </w:t>
      </w:r>
      <w:r w:rsidR="00F47513" w:rsidRPr="007B33A6">
        <w:t>comme</w:t>
      </w:r>
      <w:r w:rsidR="00F47513" w:rsidRPr="00F12504">
        <w:rPr>
          <w:szCs w:val="24"/>
        </w:rPr>
        <w:t xml:space="preserve"> spécifié au paragraph</w:t>
      </w:r>
      <w:r>
        <w:rPr>
          <w:szCs w:val="24"/>
        </w:rPr>
        <w:t>e </w:t>
      </w:r>
      <w:r w:rsidR="00F47513" w:rsidRPr="00F12504">
        <w:rPr>
          <w:szCs w:val="24"/>
        </w:rPr>
        <w:t>6.23 ci-dessous.</w:t>
      </w:r>
      <w:r w:rsidR="00F47513">
        <w:rPr>
          <w:szCs w:val="24"/>
        </w:rPr>
        <w:t xml:space="preserve"> </w:t>
      </w:r>
      <w:r w:rsidR="00F47513" w:rsidRPr="00F12504">
        <w:rPr>
          <w:szCs w:val="24"/>
        </w:rPr>
        <w:t>Il peut alors être éteint manuellement</w:t>
      </w:r>
      <w:r>
        <w:rPr>
          <w:szCs w:val="24"/>
        </w:rPr>
        <w:t>. »</w:t>
      </w:r>
      <w:r w:rsidR="00F47513" w:rsidRPr="00F12504">
        <w:rPr>
          <w:szCs w:val="24"/>
        </w:rPr>
        <w:t>.</w:t>
      </w:r>
    </w:p>
    <w:p w:rsidR="00F47513" w:rsidRPr="000B18B8" w:rsidRDefault="00F47513" w:rsidP="007B33A6">
      <w:pPr>
        <w:pStyle w:val="SingleTxtG"/>
        <w:rPr>
          <w:szCs w:val="24"/>
        </w:rPr>
      </w:pPr>
      <w:r w:rsidRPr="00F12504">
        <w:rPr>
          <w:i/>
          <w:iCs/>
          <w:szCs w:val="24"/>
        </w:rPr>
        <w:t>Paragraphe</w:t>
      </w:r>
      <w:r w:rsidRPr="000B18B8">
        <w:rPr>
          <w:i/>
          <w:iCs/>
          <w:szCs w:val="24"/>
        </w:rPr>
        <w:t xml:space="preserve"> 6.9.4.2</w:t>
      </w:r>
      <w:r w:rsidRPr="000B18B8">
        <w:rPr>
          <w:szCs w:val="24"/>
        </w:rPr>
        <w:t xml:space="preserve">, </w:t>
      </w:r>
      <w:r w:rsidRPr="00F12504">
        <w:rPr>
          <w:szCs w:val="24"/>
        </w:rPr>
        <w:t xml:space="preserve">modifier </w:t>
      </w:r>
      <w:r w:rsidRPr="007B33A6">
        <w:rPr>
          <w:bCs/>
          <w:szCs w:val="24"/>
        </w:rPr>
        <w:t>comme</w:t>
      </w:r>
      <w:r w:rsidRPr="00F12504">
        <w:rPr>
          <w:szCs w:val="24"/>
        </w:rPr>
        <w:t xml:space="preserve"> suit</w:t>
      </w:r>
      <w:r w:rsidR="007B33A6">
        <w:rPr>
          <w:szCs w:val="24"/>
        </w:rPr>
        <w:t> :</w:t>
      </w:r>
    </w:p>
    <w:p w:rsidR="00F47513" w:rsidRPr="000B18B8" w:rsidRDefault="007B33A6" w:rsidP="007B33A6">
      <w:pPr>
        <w:pStyle w:val="SingleTxtG"/>
        <w:ind w:left="2268" w:hanging="1134"/>
        <w:rPr>
          <w:szCs w:val="24"/>
        </w:rPr>
      </w:pPr>
      <w:r>
        <w:rPr>
          <w:szCs w:val="24"/>
        </w:rPr>
        <w:t>« </w:t>
      </w:r>
      <w:r w:rsidR="00F47513" w:rsidRPr="000B18B8">
        <w:rPr>
          <w:szCs w:val="24"/>
        </w:rPr>
        <w:t>6.9.4.2</w:t>
      </w:r>
      <w:r w:rsidR="00F47513" w:rsidRPr="000B18B8">
        <w:rPr>
          <w:szCs w:val="24"/>
        </w:rPr>
        <w:tab/>
      </w:r>
      <w:r w:rsidR="00F47513" w:rsidRPr="00F12504">
        <w:rPr>
          <w:szCs w:val="24"/>
        </w:rPr>
        <w:t>En hauteur</w:t>
      </w:r>
      <w:r w:rsidR="002418ED">
        <w:rPr>
          <w:szCs w:val="24"/>
        </w:rPr>
        <w:t> </w:t>
      </w:r>
      <w:r w:rsidR="00F47513" w:rsidRPr="00F12504">
        <w:rPr>
          <w:szCs w:val="24"/>
        </w:rPr>
        <w:t>: au-dessus du sol, minimum 250</w:t>
      </w:r>
      <w:r>
        <w:rPr>
          <w:szCs w:val="24"/>
        </w:rPr>
        <w:t> mm, maximum 1 500 mm (2 100 </w:t>
      </w:r>
      <w:r w:rsidR="00F47513" w:rsidRPr="00F12504">
        <w:rPr>
          <w:szCs w:val="24"/>
        </w:rPr>
        <w:t>mm po</w:t>
      </w:r>
      <w:r>
        <w:rPr>
          <w:szCs w:val="24"/>
        </w:rPr>
        <w:t>ur les véhicules des catégories </w:t>
      </w:r>
      <w:r w:rsidR="00F47513" w:rsidRPr="00F12504">
        <w:rPr>
          <w:szCs w:val="24"/>
        </w:rPr>
        <w:t>O</w:t>
      </w:r>
      <w:r w:rsidR="00F47513" w:rsidRPr="00F12504">
        <w:rPr>
          <w:szCs w:val="24"/>
          <w:vertAlign w:val="subscript"/>
        </w:rPr>
        <w:t>1</w:t>
      </w:r>
      <w:r w:rsidR="00F47513" w:rsidRPr="00F12504">
        <w:rPr>
          <w:szCs w:val="24"/>
        </w:rPr>
        <w:t xml:space="preserve"> et O</w:t>
      </w:r>
      <w:r w:rsidR="00F47513" w:rsidRPr="00F12504">
        <w:rPr>
          <w:szCs w:val="24"/>
          <w:vertAlign w:val="subscript"/>
        </w:rPr>
        <w:t>2</w:t>
      </w:r>
      <w:r w:rsidR="00F47513" w:rsidRPr="00F12504">
        <w:rPr>
          <w:szCs w:val="24"/>
        </w:rPr>
        <w:t xml:space="preserve"> ou si pour toute autre catégorie de véhicules la forme de la carrosserie ne permet pas de rester en deçà de 1</w:t>
      </w:r>
      <w:r>
        <w:rPr>
          <w:szCs w:val="24"/>
        </w:rPr>
        <w:t> 500 </w:t>
      </w:r>
      <w:r w:rsidR="00F47513" w:rsidRPr="00F12504">
        <w:rPr>
          <w:szCs w:val="24"/>
        </w:rPr>
        <w:t>mm).</w:t>
      </w:r>
      <w:r>
        <w:rPr>
          <w:szCs w:val="24"/>
        </w:rPr>
        <w:t> »</w:t>
      </w:r>
      <w:r w:rsidR="00F47513" w:rsidRPr="00F12504">
        <w:rPr>
          <w:szCs w:val="24"/>
        </w:rPr>
        <w:t>.</w:t>
      </w:r>
    </w:p>
    <w:p w:rsidR="00F47513" w:rsidRPr="000B18B8" w:rsidRDefault="00F47513" w:rsidP="007B33A6">
      <w:pPr>
        <w:pStyle w:val="SingleTxtG"/>
        <w:rPr>
          <w:bCs/>
          <w:iCs/>
          <w:color w:val="000000"/>
          <w:szCs w:val="24"/>
        </w:rPr>
      </w:pPr>
      <w:r w:rsidRPr="00F12504">
        <w:rPr>
          <w:bCs/>
          <w:i/>
          <w:iCs/>
          <w:color w:val="000000"/>
          <w:szCs w:val="24"/>
        </w:rPr>
        <w:t>Paragraphe</w:t>
      </w:r>
      <w:r w:rsidRPr="000B18B8">
        <w:rPr>
          <w:bCs/>
          <w:i/>
          <w:iCs/>
          <w:color w:val="000000"/>
          <w:szCs w:val="24"/>
        </w:rPr>
        <w:t xml:space="preserve"> 6.21.1.2.5, </w:t>
      </w:r>
      <w:r w:rsidRPr="00F12504">
        <w:rPr>
          <w:bCs/>
          <w:iCs/>
          <w:color w:val="000000"/>
          <w:szCs w:val="24"/>
        </w:rPr>
        <w:t xml:space="preserve">modifier comme </w:t>
      </w:r>
      <w:r w:rsidRPr="007B33A6">
        <w:rPr>
          <w:bCs/>
          <w:szCs w:val="24"/>
        </w:rPr>
        <w:t>suit</w:t>
      </w:r>
      <w:r w:rsidR="007B33A6">
        <w:rPr>
          <w:bCs/>
          <w:szCs w:val="24"/>
        </w:rPr>
        <w:t> </w:t>
      </w:r>
      <w:r w:rsidR="007B33A6">
        <w:rPr>
          <w:bCs/>
          <w:iCs/>
          <w:color w:val="000000"/>
          <w:szCs w:val="24"/>
        </w:rPr>
        <w:t>:</w:t>
      </w:r>
    </w:p>
    <w:p w:rsidR="00F47513" w:rsidRDefault="007B33A6" w:rsidP="007B33A6">
      <w:pPr>
        <w:pStyle w:val="SingleTxtG"/>
        <w:ind w:left="2268" w:hanging="1134"/>
        <w:rPr>
          <w:bCs/>
          <w:iCs/>
          <w:color w:val="000000"/>
          <w:spacing w:val="-2"/>
          <w:szCs w:val="24"/>
        </w:rPr>
      </w:pPr>
      <w:r>
        <w:rPr>
          <w:bCs/>
          <w:iCs/>
          <w:color w:val="000000"/>
          <w:spacing w:val="-2"/>
          <w:szCs w:val="24"/>
        </w:rPr>
        <w:t>« </w:t>
      </w:r>
      <w:r w:rsidR="00F47513" w:rsidRPr="000B18B8">
        <w:rPr>
          <w:bCs/>
          <w:iCs/>
          <w:color w:val="000000"/>
          <w:spacing w:val="-2"/>
          <w:szCs w:val="24"/>
        </w:rPr>
        <w:t>6.21.1.2.5</w:t>
      </w:r>
      <w:r w:rsidR="00F47513" w:rsidRPr="000B18B8">
        <w:rPr>
          <w:bCs/>
          <w:iCs/>
          <w:color w:val="000000"/>
          <w:spacing w:val="-2"/>
          <w:szCs w:val="24"/>
        </w:rPr>
        <w:tab/>
      </w:r>
      <w:r w:rsidR="00F47513" w:rsidRPr="00F12504">
        <w:rPr>
          <w:bCs/>
          <w:iCs/>
          <w:color w:val="000000"/>
          <w:spacing w:val="-2"/>
          <w:szCs w:val="24"/>
        </w:rPr>
        <w:t>Lorsque le fabricant, après vérification par le service technique, peut prouver à l’autorité d’homologation de type qu’il est impossible de se conformer aux prescri</w:t>
      </w:r>
      <w:r>
        <w:rPr>
          <w:bCs/>
          <w:iCs/>
          <w:color w:val="000000"/>
          <w:spacing w:val="-2"/>
          <w:szCs w:val="24"/>
        </w:rPr>
        <w:t>ptions énoncées aux paragraphes </w:t>
      </w:r>
      <w:r w:rsidR="00F47513" w:rsidRPr="00F12504">
        <w:rPr>
          <w:bCs/>
          <w:iCs/>
          <w:color w:val="000000"/>
          <w:spacing w:val="-2"/>
          <w:szCs w:val="24"/>
        </w:rPr>
        <w:t xml:space="preserve">6.21.2 à 6.21.7.5 ci-dessous, en raison d’exigences opérationnelles susceptibles </w:t>
      </w:r>
      <w:r w:rsidR="00F47513" w:rsidRPr="007B33A6">
        <w:rPr>
          <w:szCs w:val="24"/>
        </w:rPr>
        <w:t>d’imposer</w:t>
      </w:r>
      <w:r w:rsidR="00F47513" w:rsidRPr="00F12504">
        <w:rPr>
          <w:bCs/>
          <w:iCs/>
          <w:color w:val="000000"/>
          <w:spacing w:val="-2"/>
          <w:szCs w:val="24"/>
        </w:rPr>
        <w:t xml:space="preserve"> au véhicule une forme, une structure ou une conception spéciales, on peut se contenter du respect partiel de ces prescriptions. </w:t>
      </w:r>
      <w:r w:rsidR="00F47513" w:rsidRPr="00C648D0">
        <w:rPr>
          <w:bCs/>
          <w:iCs/>
          <w:color w:val="000000"/>
          <w:spacing w:val="-2"/>
          <w:szCs w:val="24"/>
        </w:rPr>
        <w:t xml:space="preserve">Cela dépend du nombre de prescriptions devant, si possible, être satisfaites et de l’application des marquages à grande visibilité qui satisfont </w:t>
      </w:r>
      <w:r w:rsidR="00F47513" w:rsidRPr="00C648D0">
        <w:rPr>
          <w:bCs/>
          <w:iCs/>
          <w:color w:val="000000"/>
          <w:spacing w:val="-2"/>
          <w:szCs w:val="24"/>
        </w:rPr>
        <w:lastRenderedPageBreak/>
        <w:t>en partie aux prescriptions les plus strictes concernant la structure du véhicule.</w:t>
      </w:r>
      <w:r w:rsidR="00F47513">
        <w:rPr>
          <w:bCs/>
          <w:iCs/>
          <w:color w:val="000000"/>
          <w:spacing w:val="-2"/>
          <w:szCs w:val="24"/>
        </w:rPr>
        <w:t xml:space="preserve"> </w:t>
      </w:r>
      <w:r w:rsidR="00F47513" w:rsidRPr="00C648D0">
        <w:rPr>
          <w:bCs/>
          <w:iCs/>
          <w:color w:val="000000"/>
          <w:spacing w:val="-2"/>
          <w:szCs w:val="24"/>
        </w:rPr>
        <w:t>On peut notamment mettre en place, lorsque la structure le permet, des plaques ou des supports supplémentaires constitués d’un matériau conforme au Règlement n</w:t>
      </w:r>
      <w:r w:rsidR="00F47513">
        <w:rPr>
          <w:bCs/>
          <w:iCs/>
          <w:color w:val="000000"/>
          <w:spacing w:val="-2"/>
          <w:szCs w:val="24"/>
        </w:rPr>
        <w:t>°</w:t>
      </w:r>
      <w:r w:rsidR="00F47513" w:rsidRPr="00C648D0">
        <w:rPr>
          <w:bCs/>
          <w:iCs/>
          <w:color w:val="000000"/>
          <w:spacing w:val="-2"/>
          <w:szCs w:val="24"/>
        </w:rPr>
        <w:t xml:space="preserve">104, afin que la signalisation soit claire et uniforme et réponde à l’objectif de grande visibilité. </w:t>
      </w:r>
    </w:p>
    <w:p w:rsidR="00F47513" w:rsidRPr="000B18B8" w:rsidRDefault="00F47513" w:rsidP="007B33A6">
      <w:pPr>
        <w:pStyle w:val="SingleTxtG"/>
        <w:ind w:left="2268"/>
        <w:rPr>
          <w:color w:val="000000"/>
          <w:szCs w:val="24"/>
        </w:rPr>
      </w:pPr>
      <w:r w:rsidRPr="00C648D0">
        <w:rPr>
          <w:color w:val="000000"/>
          <w:szCs w:val="24"/>
        </w:rPr>
        <w:t>Lorsque le respect partiel est jugé acceptable, les dispositifs rétroréfléchissants tels que les catadioptre</w:t>
      </w:r>
      <w:r w:rsidR="00F05A3F">
        <w:rPr>
          <w:color w:val="000000"/>
          <w:szCs w:val="24"/>
        </w:rPr>
        <w:t>s de la classe IVA du Règlement </w:t>
      </w:r>
      <w:r w:rsidRPr="00C648D0">
        <w:rPr>
          <w:color w:val="000000"/>
          <w:szCs w:val="24"/>
        </w:rPr>
        <w:t>n</w:t>
      </w:r>
      <w:r w:rsidR="007B33A6" w:rsidRPr="007B33A6">
        <w:rPr>
          <w:color w:val="000000"/>
          <w:szCs w:val="24"/>
          <w:vertAlign w:val="superscript"/>
        </w:rPr>
        <w:t>o</w:t>
      </w:r>
      <w:r w:rsidR="007B33A6">
        <w:rPr>
          <w:color w:val="000000"/>
          <w:szCs w:val="24"/>
        </w:rPr>
        <w:t> </w:t>
      </w:r>
      <w:r w:rsidRPr="00C648D0">
        <w:rPr>
          <w:color w:val="000000"/>
          <w:szCs w:val="24"/>
        </w:rPr>
        <w:t xml:space="preserve">3 ou les supports constitués d’un </w:t>
      </w:r>
      <w:r w:rsidRPr="007B33A6">
        <w:rPr>
          <w:szCs w:val="24"/>
        </w:rPr>
        <w:t>matériau</w:t>
      </w:r>
      <w:r w:rsidRPr="00C648D0">
        <w:rPr>
          <w:color w:val="000000"/>
          <w:szCs w:val="24"/>
        </w:rPr>
        <w:t xml:space="preserve"> rétroréfléchissant conforme aux prescriptions photométriques de la classe C du Règlement n</w:t>
      </w:r>
      <w:r w:rsidR="007B33A6" w:rsidRPr="007B33A6">
        <w:rPr>
          <w:color w:val="000000"/>
          <w:szCs w:val="24"/>
          <w:vertAlign w:val="superscript"/>
        </w:rPr>
        <w:t>o</w:t>
      </w:r>
      <w:r w:rsidR="007B33A6">
        <w:rPr>
          <w:color w:val="000000"/>
          <w:szCs w:val="24"/>
        </w:rPr>
        <w:t> </w:t>
      </w:r>
      <w:r w:rsidRPr="00C648D0">
        <w:rPr>
          <w:color w:val="000000"/>
          <w:szCs w:val="24"/>
        </w:rPr>
        <w:t>104 peuvent en partie remplacer les marquages à grande visibilité requis.</w:t>
      </w:r>
      <w:r>
        <w:rPr>
          <w:color w:val="000000"/>
          <w:szCs w:val="24"/>
        </w:rPr>
        <w:t xml:space="preserve"> </w:t>
      </w:r>
      <w:r w:rsidRPr="00C648D0">
        <w:rPr>
          <w:color w:val="000000"/>
          <w:szCs w:val="24"/>
        </w:rPr>
        <w:t>Dans ce cas, il convient d’installer de tels dispositifs rét</w:t>
      </w:r>
      <w:r w:rsidR="007B33A6">
        <w:rPr>
          <w:color w:val="000000"/>
          <w:szCs w:val="24"/>
        </w:rPr>
        <w:t>roréfléchissants tous les 1 500 </w:t>
      </w:r>
      <w:r w:rsidRPr="00C648D0">
        <w:rPr>
          <w:color w:val="000000"/>
          <w:szCs w:val="24"/>
        </w:rPr>
        <w:t>mm.</w:t>
      </w:r>
    </w:p>
    <w:p w:rsidR="005F0207" w:rsidRDefault="00F47513" w:rsidP="007B33A6">
      <w:pPr>
        <w:pStyle w:val="SingleTxtG"/>
        <w:ind w:left="2268"/>
        <w:rPr>
          <w:color w:val="000000"/>
          <w:szCs w:val="24"/>
        </w:rPr>
      </w:pPr>
      <w:r w:rsidRPr="00C648D0">
        <w:rPr>
          <w:color w:val="000000"/>
          <w:szCs w:val="24"/>
        </w:rPr>
        <w:t>Les renseignements nécessaires doivent être consignés sur la fiche de communication.</w:t>
      </w:r>
      <w:r w:rsidR="007B33A6">
        <w:rPr>
          <w:color w:val="000000"/>
          <w:szCs w:val="24"/>
        </w:rPr>
        <w:t> »</w:t>
      </w:r>
      <w:r>
        <w:rPr>
          <w:color w:val="000000"/>
          <w:szCs w:val="24"/>
        </w:rPr>
        <w:t>.</w:t>
      </w:r>
    </w:p>
    <w:p w:rsidR="007B33A6" w:rsidRPr="007B33A6" w:rsidRDefault="007B33A6" w:rsidP="007B33A6">
      <w:pPr>
        <w:pStyle w:val="SingleTxtG"/>
        <w:spacing w:before="240" w:after="0"/>
        <w:jc w:val="center"/>
        <w:rPr>
          <w:u w:val="single"/>
        </w:rPr>
      </w:pPr>
      <w:r>
        <w:rPr>
          <w:u w:val="single"/>
        </w:rPr>
        <w:tab/>
      </w:r>
      <w:r>
        <w:rPr>
          <w:u w:val="single"/>
        </w:rPr>
        <w:tab/>
      </w:r>
      <w:r>
        <w:rPr>
          <w:u w:val="single"/>
        </w:rPr>
        <w:tab/>
      </w:r>
    </w:p>
    <w:sectPr w:rsidR="007B33A6" w:rsidRPr="007B33A6" w:rsidSect="00F47513">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25" w:rsidRDefault="00965625"/>
  </w:endnote>
  <w:endnote w:type="continuationSeparator" w:id="0">
    <w:p w:rsidR="00965625" w:rsidRDefault="00965625">
      <w:pPr>
        <w:pStyle w:val="Footer"/>
      </w:pPr>
    </w:p>
  </w:endnote>
  <w:endnote w:type="continuationNotice" w:id="1">
    <w:p w:rsidR="00965625" w:rsidRPr="00C451B9" w:rsidRDefault="0096562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3" w:rsidRPr="00F47513" w:rsidRDefault="00F47513" w:rsidP="00F47513">
    <w:pPr>
      <w:pStyle w:val="Footer"/>
      <w:tabs>
        <w:tab w:val="right" w:pos="9638"/>
      </w:tabs>
    </w:pPr>
    <w:r w:rsidRPr="00F47513">
      <w:rPr>
        <w:b/>
        <w:sz w:val="18"/>
      </w:rPr>
      <w:fldChar w:fldCharType="begin"/>
    </w:r>
    <w:r w:rsidRPr="00F47513">
      <w:rPr>
        <w:b/>
        <w:sz w:val="18"/>
      </w:rPr>
      <w:instrText xml:space="preserve"> PAGE  \* MERGEFORMAT </w:instrText>
    </w:r>
    <w:r w:rsidRPr="00F47513">
      <w:rPr>
        <w:b/>
        <w:sz w:val="18"/>
      </w:rPr>
      <w:fldChar w:fldCharType="separate"/>
    </w:r>
    <w:r w:rsidR="00143C06">
      <w:rPr>
        <w:b/>
        <w:noProof/>
        <w:sz w:val="18"/>
      </w:rPr>
      <w:t>2</w:t>
    </w:r>
    <w:r w:rsidRPr="00F47513">
      <w:rPr>
        <w:b/>
        <w:sz w:val="18"/>
      </w:rPr>
      <w:fldChar w:fldCharType="end"/>
    </w:r>
    <w:r>
      <w:rPr>
        <w:b/>
        <w:sz w:val="18"/>
      </w:rPr>
      <w:tab/>
    </w:r>
    <w:r>
      <w:t>GE.14-55976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3" w:rsidRPr="00F47513" w:rsidRDefault="00F47513" w:rsidP="00F47513">
    <w:pPr>
      <w:pStyle w:val="Footer"/>
      <w:tabs>
        <w:tab w:val="right" w:pos="9638"/>
      </w:tabs>
      <w:rPr>
        <w:b/>
        <w:sz w:val="18"/>
      </w:rPr>
    </w:pPr>
    <w:r>
      <w:t>GE.14-55976</w:t>
    </w:r>
    <w:r>
      <w:tab/>
    </w:r>
    <w:r w:rsidRPr="00F47513">
      <w:rPr>
        <w:b/>
        <w:sz w:val="18"/>
      </w:rPr>
      <w:fldChar w:fldCharType="begin"/>
    </w:r>
    <w:r w:rsidRPr="00F47513">
      <w:rPr>
        <w:b/>
        <w:sz w:val="18"/>
      </w:rPr>
      <w:instrText xml:space="preserve"> PAGE  \* MERGEFORMAT </w:instrText>
    </w:r>
    <w:r w:rsidRPr="00F47513">
      <w:rPr>
        <w:b/>
        <w:sz w:val="18"/>
      </w:rPr>
      <w:fldChar w:fldCharType="separate"/>
    </w:r>
    <w:r w:rsidR="00143C06">
      <w:rPr>
        <w:b/>
        <w:noProof/>
        <w:sz w:val="18"/>
      </w:rPr>
      <w:t>3</w:t>
    </w:r>
    <w:r w:rsidRPr="00F475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56" w:rsidRPr="0029791D" w:rsidRDefault="006C5361" w:rsidP="00E97E2C">
    <w:pPr>
      <w:ind w:left="1134" w:right="1134"/>
      <w:jc w:val="center"/>
    </w:pPr>
    <w:r>
      <w:rPr>
        <w:noProof/>
        <w:lang w:val="en-US"/>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6C5361" w:rsidP="00E97E2C">
    <w:pPr>
      <w:jc w:val="center"/>
      <w:rPr>
        <w:b/>
        <w:bCs/>
        <w:sz w:val="22"/>
      </w:rPr>
    </w:pPr>
    <w:r>
      <w:rPr>
        <w:noProof/>
        <w:lang w:val="en-US"/>
      </w:rPr>
      <w:drawing>
        <wp:inline distT="0" distB="0" distL="0" distR="0">
          <wp:extent cx="914400" cy="7753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533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2418ED">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F47513" w:rsidRDefault="00F47513" w:rsidP="00F47513">
    <w:pPr>
      <w:pStyle w:val="Footer"/>
      <w:spacing w:before="120"/>
      <w:rPr>
        <w:sz w:val="20"/>
      </w:rPr>
    </w:pPr>
    <w:r>
      <w:rPr>
        <w:sz w:val="20"/>
      </w:rPr>
      <w:t>GE.14-55976  (F)    230316    230316</w:t>
    </w:r>
    <w:r>
      <w:rPr>
        <w:sz w:val="20"/>
      </w:rPr>
      <w:br/>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Pr="00F47513">
      <w:rPr>
        <w:rFonts w:ascii="C39T30Lfz" w:hAnsi="C39T30Lfz"/>
        <w:sz w:val="56"/>
      </w:rPr>
      <w:t></w:t>
    </w:r>
    <w:r w:rsidR="006C5361">
      <w:rPr>
        <w:noProof/>
        <w:sz w:val="20"/>
        <w:lang w:val="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25" w:rsidRPr="00D27D5E" w:rsidRDefault="00965625" w:rsidP="00D27D5E">
      <w:pPr>
        <w:tabs>
          <w:tab w:val="right" w:pos="2155"/>
        </w:tabs>
        <w:spacing w:after="80"/>
        <w:ind w:left="680"/>
        <w:rPr>
          <w:u w:val="single"/>
        </w:rPr>
      </w:pPr>
      <w:r>
        <w:rPr>
          <w:u w:val="single"/>
        </w:rPr>
        <w:tab/>
      </w:r>
    </w:p>
  </w:footnote>
  <w:footnote w:type="continuationSeparator" w:id="0">
    <w:p w:rsidR="00965625" w:rsidRPr="00D171D4" w:rsidRDefault="00965625" w:rsidP="00D171D4">
      <w:pPr>
        <w:tabs>
          <w:tab w:val="right" w:pos="2155"/>
        </w:tabs>
        <w:spacing w:after="80"/>
        <w:ind w:left="680"/>
        <w:rPr>
          <w:u w:val="single"/>
        </w:rPr>
      </w:pPr>
      <w:r w:rsidRPr="00D171D4">
        <w:rPr>
          <w:u w:val="single"/>
        </w:rPr>
        <w:tab/>
      </w:r>
    </w:p>
  </w:footnote>
  <w:footnote w:type="continuationNotice" w:id="1">
    <w:p w:rsidR="00965625" w:rsidRPr="00C451B9" w:rsidRDefault="00965625"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3" w:rsidRPr="00143C06" w:rsidRDefault="00F47513">
    <w:pPr>
      <w:pStyle w:val="Header"/>
      <w:rPr>
        <w:lang w:val="en-US"/>
      </w:rPr>
    </w:pPr>
    <w:r w:rsidRPr="00143C06">
      <w:rPr>
        <w:lang w:val="en-US"/>
      </w:rPr>
      <w:t>E/ECE/324/Rev.1/Add.47/Rev.7/Amend.3</w:t>
    </w:r>
    <w:r w:rsidRPr="00143C06">
      <w:rPr>
        <w:lang w:val="en-US"/>
      </w:rPr>
      <w:br/>
      <w:t>E/ECE/TRANS/505/Rev.1/Add.47/Rev.7/Amend.3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13" w:rsidRPr="00143C06" w:rsidRDefault="00F47513" w:rsidP="00F47513">
    <w:pPr>
      <w:pStyle w:val="Header"/>
      <w:jc w:val="right"/>
      <w:rPr>
        <w:lang w:val="en-US"/>
      </w:rPr>
    </w:pPr>
    <w:r w:rsidRPr="00143C06">
      <w:rPr>
        <w:lang w:val="en-US"/>
      </w:rPr>
      <w:t>E/ECE/324/Rev.1/Add.47/Rev.7/Amend.3</w:t>
    </w:r>
    <w:r w:rsidRPr="00143C06">
      <w:rPr>
        <w:lang w:val="en-US"/>
      </w:rPr>
      <w:br/>
      <w:t>E/ECE/TRANS/505/Rev.1/Add.47/Rev.7/Amend.3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2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C06"/>
    <w:rsid w:val="00143EB9"/>
    <w:rsid w:val="00152C5A"/>
    <w:rsid w:val="0015389C"/>
    <w:rsid w:val="00160540"/>
    <w:rsid w:val="00166C68"/>
    <w:rsid w:val="00174814"/>
    <w:rsid w:val="00181A90"/>
    <w:rsid w:val="0018711C"/>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18ED"/>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0632"/>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C5361"/>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B33A6"/>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30F1"/>
    <w:rsid w:val="00926925"/>
    <w:rsid w:val="00935490"/>
    <w:rsid w:val="009418DE"/>
    <w:rsid w:val="009516B7"/>
    <w:rsid w:val="009545F1"/>
    <w:rsid w:val="00957CE5"/>
    <w:rsid w:val="009624E2"/>
    <w:rsid w:val="00965625"/>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5769"/>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3748E"/>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5A3F"/>
    <w:rsid w:val="00F06660"/>
    <w:rsid w:val="00F07AE1"/>
    <w:rsid w:val="00F116EB"/>
    <w:rsid w:val="00F1794E"/>
    <w:rsid w:val="00F211AF"/>
    <w:rsid w:val="00F25EC3"/>
    <w:rsid w:val="00F32ADB"/>
    <w:rsid w:val="00F32C98"/>
    <w:rsid w:val="00F37E12"/>
    <w:rsid w:val="00F424BD"/>
    <w:rsid w:val="00F4527A"/>
    <w:rsid w:val="00F45D41"/>
    <w:rsid w:val="00F47513"/>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630FDBA9-5822-440C-B1D6-40957CD8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E/ECE/324/Rev.1/Add.47/Rev.7/Amend.3-E/ECE/TRANS/505/Rev.1/Add.47/Rev.7/Amend.3</vt:lpstr>
      <vt:lpstr>E/ECE/324/Rev.1/Add.47/Rev.7/Amend.3-E/ECE/TRANS/505/Rev.1/Add.47/Rev.7/Amend.3</vt:lpstr>
    </vt:vector>
  </TitlesOfParts>
  <Company>CSD</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E/ECE/324/Rev.1/Add.47/Rev.7/Amend.3-E/ECE/TRANS/505/Rev.1/Add.47/Rev.7/Amend.3</dc:title>
  <dc:subject>Final</dc:subject>
  <dc:creator>Julien Okrzesik</dc:creator>
  <cp:keywords/>
  <dc:description/>
  <cp:lastModifiedBy>Caillot</cp:lastModifiedBy>
  <cp:revision>2</cp:revision>
  <cp:lastPrinted>2008-11-04T15:54:00Z</cp:lastPrinted>
  <dcterms:created xsi:type="dcterms:W3CDTF">2016-03-24T15:31:00Z</dcterms:created>
  <dcterms:modified xsi:type="dcterms:W3CDTF">2016-03-24T15:31:00Z</dcterms:modified>
</cp:coreProperties>
</file>