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5540C">
            <w:pPr>
              <w:jc w:val="right"/>
            </w:pPr>
            <w:r w:rsidRPr="00014D07">
              <w:rPr>
                <w:sz w:val="40"/>
              </w:rPr>
              <w:t>E</w:t>
            </w:r>
            <w:r>
              <w:t>/ECE/324/</w:t>
            </w:r>
            <w:r w:rsidR="008D38B7">
              <w:t>Rev.1/</w:t>
            </w:r>
            <w:r w:rsidR="008D38B7" w:rsidRPr="0063785D">
              <w:t>Add.40/Rev.2/Amend.3</w:t>
            </w:r>
            <w:r>
              <w:t>−</w:t>
            </w:r>
            <w:r w:rsidRPr="00014D07">
              <w:rPr>
                <w:sz w:val="40"/>
              </w:rPr>
              <w:t>E</w:t>
            </w:r>
            <w:r>
              <w:t>/ECE/TRANS/505</w:t>
            </w:r>
            <w:r w:rsidR="008D38B7">
              <w:t>/Rev.1/</w:t>
            </w:r>
            <w:r w:rsidR="008D38B7" w:rsidRPr="0063785D">
              <w:t>Add.40/Rev.2/Amend.3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AD3823" w:rsidP="003C3936">
            <w:pPr>
              <w:spacing w:before="120"/>
            </w:pPr>
            <w:r w:rsidRPr="00AD3823">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8D38B7">
        <w:t>40</w:t>
      </w:r>
      <w:r>
        <w:t xml:space="preserve"> – Regulation No.</w:t>
      </w:r>
      <w:r w:rsidR="00271A7F">
        <w:t xml:space="preserve"> </w:t>
      </w:r>
      <w:r w:rsidR="008D38B7">
        <w:t>41</w:t>
      </w:r>
    </w:p>
    <w:p w:rsidR="0064636E" w:rsidRPr="00014D07" w:rsidRDefault="0064636E" w:rsidP="00A41529">
      <w:pPr>
        <w:pStyle w:val="H1G"/>
        <w:spacing w:before="240"/>
      </w:pPr>
      <w:r>
        <w:tab/>
      </w:r>
      <w:r>
        <w:tab/>
      </w:r>
      <w:r w:rsidRPr="00014D07">
        <w:t xml:space="preserve">Revision </w:t>
      </w:r>
      <w:r w:rsidR="008D38B7">
        <w:t>2</w:t>
      </w:r>
      <w:r w:rsidRPr="00014D07">
        <w:t xml:space="preserve"> - </w:t>
      </w:r>
      <w:r w:rsidR="00D623A7">
        <w:t>Amendment</w:t>
      </w:r>
      <w:r w:rsidRPr="00014D07">
        <w:t xml:space="preserve"> </w:t>
      </w:r>
      <w:r w:rsidR="008D38B7">
        <w:t>3</w:t>
      </w:r>
    </w:p>
    <w:p w:rsidR="0064636E" w:rsidRPr="00272880" w:rsidRDefault="00D623A7" w:rsidP="0064636E">
      <w:pPr>
        <w:pStyle w:val="SingleTxtG"/>
        <w:spacing w:after="360"/>
        <w:rPr>
          <w:spacing w:val="-2"/>
        </w:rPr>
      </w:pPr>
      <w:r>
        <w:rPr>
          <w:spacing w:val="-2"/>
        </w:rPr>
        <w:t xml:space="preserve">Supplement </w:t>
      </w:r>
      <w:r w:rsidR="008D38B7">
        <w:rPr>
          <w:spacing w:val="-2"/>
        </w:rPr>
        <w:t>3</w:t>
      </w:r>
      <w:r>
        <w:rPr>
          <w:spacing w:val="-2"/>
        </w:rPr>
        <w:t xml:space="preserve"> to </w:t>
      </w:r>
      <w:r w:rsidR="00271A7F">
        <w:rPr>
          <w:spacing w:val="-2"/>
        </w:rPr>
        <w:t xml:space="preserve">the </w:t>
      </w:r>
      <w:r w:rsidR="008D38B7">
        <w:rPr>
          <w:spacing w:val="-2"/>
        </w:rPr>
        <w:t>04</w:t>
      </w:r>
      <w:r>
        <w:rPr>
          <w:spacing w:val="-2"/>
        </w:rPr>
        <w:t xml:space="preserve"> series of amendments</w:t>
      </w:r>
      <w:r w:rsidR="0064636E" w:rsidRPr="00272880">
        <w:rPr>
          <w:spacing w:val="-2"/>
        </w:rPr>
        <w:t xml:space="preserve"> – Date of entry into force: </w:t>
      </w:r>
      <w:r w:rsidR="008D38B7" w:rsidRPr="008D38B7">
        <w:t>20 January 2016</w:t>
      </w:r>
    </w:p>
    <w:p w:rsidR="0064636E" w:rsidRDefault="0064636E" w:rsidP="00A41529">
      <w:pPr>
        <w:pStyle w:val="H1G"/>
        <w:spacing w:before="120" w:after="120" w:line="240" w:lineRule="exact"/>
        <w:rPr>
          <w:lang w:val="en-US"/>
        </w:rPr>
      </w:pPr>
      <w:r>
        <w:rPr>
          <w:lang w:val="en-US"/>
        </w:rPr>
        <w:tab/>
      </w:r>
      <w:r>
        <w:rPr>
          <w:lang w:val="en-US"/>
        </w:rPr>
        <w:tab/>
      </w:r>
      <w:r w:rsidR="008D38B7" w:rsidRPr="008D38B7">
        <w:rPr>
          <w:lang w:val="en-US"/>
        </w:rPr>
        <w:t>Uniform provisions concerning the approval of motor cycles with regard to noise</w:t>
      </w:r>
    </w:p>
    <w:p w:rsidR="00A41529" w:rsidRDefault="00B32121" w:rsidP="008D38B7">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8D38B7">
        <w:rPr>
          <w:spacing w:val="-6"/>
          <w:lang w:eastAsia="en-GB"/>
        </w:rPr>
        <w:t>61.</w:t>
      </w:r>
    </w:p>
    <w:p w:rsidR="000D3A4F" w:rsidRPr="000D3A4F" w:rsidRDefault="00AD3823"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006632" w:rsidRDefault="00D5540C" w:rsidP="008D38B7">
      <w:pPr>
        <w:suppressAutoHyphens w:val="0"/>
        <w:snapToGrid w:val="0"/>
        <w:spacing w:after="120"/>
        <w:ind w:left="1134" w:right="1134"/>
      </w:pPr>
      <w:r>
        <w:br w:type="page"/>
      </w:r>
    </w:p>
    <w:p w:rsidR="008D38B7" w:rsidRPr="00522933" w:rsidRDefault="008D38B7" w:rsidP="008D38B7">
      <w:pPr>
        <w:suppressAutoHyphens w:val="0"/>
        <w:snapToGrid w:val="0"/>
        <w:spacing w:after="120"/>
        <w:ind w:left="1134" w:right="1134"/>
        <w:rPr>
          <w:rFonts w:eastAsia="MS PGothic"/>
          <w:kern w:val="2"/>
          <w:lang w:eastAsia="ja-JP"/>
        </w:rPr>
      </w:pPr>
      <w:r w:rsidRPr="00522933">
        <w:rPr>
          <w:rFonts w:eastAsia="MS PGothic"/>
          <w:i/>
          <w:iCs/>
          <w:kern w:val="2"/>
          <w:lang w:eastAsia="ja-JP"/>
        </w:rPr>
        <w:t xml:space="preserve">Paragraph 2.13., </w:t>
      </w:r>
      <w:r w:rsidRPr="00522933">
        <w:rPr>
          <w:rFonts w:eastAsia="MS PGothic"/>
          <w:iCs/>
          <w:kern w:val="2"/>
          <w:lang w:eastAsia="ja-JP"/>
        </w:rPr>
        <w:t>amend</w:t>
      </w:r>
      <w:r w:rsidRPr="00522933">
        <w:rPr>
          <w:rFonts w:eastAsia="MS PGothic"/>
          <w:kern w:val="2"/>
          <w:lang w:eastAsia="ja-JP"/>
        </w:rPr>
        <w:t xml:space="preserve"> to read:</w:t>
      </w:r>
    </w:p>
    <w:p w:rsidR="008D38B7" w:rsidRPr="00522933" w:rsidRDefault="008D38B7" w:rsidP="008D38B7">
      <w:pPr>
        <w:suppressAutoHyphens w:val="0"/>
        <w:snapToGrid w:val="0"/>
        <w:spacing w:after="120"/>
        <w:ind w:left="1134" w:right="1134"/>
        <w:rPr>
          <w:rFonts w:eastAsia="MS PGothic"/>
          <w:kern w:val="2"/>
          <w:lang w:eastAsia="ja-JP"/>
        </w:rPr>
      </w:pPr>
      <w:r w:rsidRPr="00522933">
        <w:rPr>
          <w:rFonts w:eastAsia="MS PGothic"/>
          <w:kern w:val="2"/>
          <w:lang w:eastAsia="ja-JP"/>
        </w:rPr>
        <w:t>"2.13.</w:t>
      </w:r>
      <w:r w:rsidRPr="00522933">
        <w:rPr>
          <w:rFonts w:eastAsia="MS PGothic"/>
          <w:kern w:val="2"/>
          <w:lang w:eastAsia="ja-JP"/>
        </w:rPr>
        <w:tab/>
      </w:r>
      <w:r w:rsidRPr="00522933">
        <w:rPr>
          <w:rFonts w:eastAsia="MS PGothic"/>
          <w:kern w:val="2"/>
          <w:lang w:eastAsia="ja-JP"/>
        </w:rPr>
        <w:tab/>
        <w:t>…</w:t>
      </w:r>
    </w:p>
    <w:tbl>
      <w:tblPr>
        <w:tblW w:w="7466" w:type="dxa"/>
        <w:tblInd w:w="1139" w:type="dxa"/>
        <w:tblLook w:val="01E0" w:firstRow="1" w:lastRow="1" w:firstColumn="1" w:lastColumn="1" w:noHBand="0" w:noVBand="0"/>
      </w:tblPr>
      <w:tblGrid>
        <w:gridCol w:w="1231"/>
        <w:gridCol w:w="953"/>
        <w:gridCol w:w="2982"/>
        <w:gridCol w:w="2300"/>
      </w:tblGrid>
      <w:tr w:rsidR="008D38B7" w:rsidRPr="008E410F" w:rsidTr="00C02DB0">
        <w:trPr>
          <w:trHeight w:val="20"/>
          <w:tblHeader/>
        </w:trPr>
        <w:tc>
          <w:tcPr>
            <w:tcW w:w="1231" w:type="dxa"/>
            <w:tcBorders>
              <w:top w:val="single" w:sz="4" w:space="0" w:color="auto"/>
              <w:bottom w:val="single" w:sz="12" w:space="0" w:color="auto"/>
            </w:tcBorders>
            <w:tcMar>
              <w:top w:w="0" w:type="dxa"/>
              <w:left w:w="0" w:type="dxa"/>
              <w:bottom w:w="0" w:type="dxa"/>
              <w:right w:w="108" w:type="dxa"/>
            </w:tcMar>
            <w:vAlign w:val="bottom"/>
            <w:hideMark/>
          </w:tcPr>
          <w:p w:rsidR="008D38B7" w:rsidRPr="008E410F" w:rsidRDefault="008D38B7" w:rsidP="00C02DB0">
            <w:pPr>
              <w:tabs>
                <w:tab w:val="left" w:pos="-1440"/>
              </w:tabs>
              <w:spacing w:before="120" w:after="120" w:line="200" w:lineRule="exact"/>
              <w:ind w:left="113"/>
              <w:jc w:val="center"/>
              <w:rPr>
                <w:rFonts w:eastAsia="Calibri"/>
                <w:i/>
                <w:sz w:val="16"/>
                <w:szCs w:val="16"/>
              </w:rPr>
            </w:pPr>
            <w:r w:rsidRPr="008E410F">
              <w:rPr>
                <w:rFonts w:eastAsia="Calibri"/>
                <w:i/>
                <w:sz w:val="16"/>
                <w:szCs w:val="16"/>
              </w:rPr>
              <w:t>Symbol</w:t>
            </w:r>
          </w:p>
        </w:tc>
        <w:tc>
          <w:tcPr>
            <w:tcW w:w="953" w:type="dxa"/>
            <w:tcBorders>
              <w:top w:val="single" w:sz="4" w:space="0" w:color="auto"/>
              <w:bottom w:val="single" w:sz="12" w:space="0" w:color="auto"/>
            </w:tcBorders>
            <w:tcMar>
              <w:top w:w="0" w:type="dxa"/>
              <w:left w:w="0" w:type="dxa"/>
              <w:bottom w:w="0" w:type="dxa"/>
              <w:right w:w="108" w:type="dxa"/>
            </w:tcMar>
            <w:vAlign w:val="bottom"/>
            <w:hideMark/>
          </w:tcPr>
          <w:p w:rsidR="008D38B7" w:rsidRPr="008E410F" w:rsidRDefault="008D38B7" w:rsidP="00C02DB0">
            <w:pPr>
              <w:tabs>
                <w:tab w:val="left" w:pos="-1440"/>
              </w:tabs>
              <w:spacing w:before="120" w:after="120" w:line="200" w:lineRule="exact"/>
              <w:ind w:left="113"/>
              <w:jc w:val="center"/>
              <w:rPr>
                <w:rFonts w:eastAsia="Calibri"/>
                <w:i/>
                <w:sz w:val="16"/>
                <w:szCs w:val="16"/>
              </w:rPr>
            </w:pPr>
            <w:r w:rsidRPr="008E410F">
              <w:rPr>
                <w:rFonts w:eastAsia="Calibri"/>
                <w:i/>
                <w:sz w:val="16"/>
                <w:szCs w:val="16"/>
              </w:rPr>
              <w:t>Units</w:t>
            </w:r>
          </w:p>
        </w:tc>
        <w:tc>
          <w:tcPr>
            <w:tcW w:w="2982" w:type="dxa"/>
            <w:tcBorders>
              <w:top w:val="single" w:sz="4" w:space="0" w:color="auto"/>
              <w:bottom w:val="single" w:sz="12" w:space="0" w:color="auto"/>
            </w:tcBorders>
            <w:tcMar>
              <w:top w:w="0" w:type="dxa"/>
              <w:left w:w="0" w:type="dxa"/>
              <w:bottom w:w="0" w:type="dxa"/>
              <w:right w:w="108" w:type="dxa"/>
            </w:tcMar>
            <w:vAlign w:val="bottom"/>
            <w:hideMark/>
          </w:tcPr>
          <w:p w:rsidR="008D38B7" w:rsidRPr="008E410F" w:rsidRDefault="008D38B7" w:rsidP="00C02DB0">
            <w:pPr>
              <w:tabs>
                <w:tab w:val="left" w:pos="-1440"/>
              </w:tabs>
              <w:spacing w:before="120" w:after="120" w:line="200" w:lineRule="exact"/>
              <w:ind w:left="113"/>
              <w:jc w:val="center"/>
              <w:rPr>
                <w:rFonts w:eastAsia="Calibri"/>
                <w:i/>
                <w:sz w:val="16"/>
                <w:szCs w:val="16"/>
              </w:rPr>
            </w:pPr>
            <w:r w:rsidRPr="008E410F">
              <w:rPr>
                <w:rFonts w:eastAsia="Calibri"/>
                <w:i/>
                <w:sz w:val="16"/>
                <w:szCs w:val="16"/>
              </w:rPr>
              <w:t>Explanation</w:t>
            </w:r>
          </w:p>
        </w:tc>
        <w:tc>
          <w:tcPr>
            <w:tcW w:w="2300" w:type="dxa"/>
            <w:tcBorders>
              <w:top w:val="single" w:sz="4" w:space="0" w:color="auto"/>
              <w:bottom w:val="single" w:sz="12" w:space="0" w:color="auto"/>
            </w:tcBorders>
            <w:tcMar>
              <w:top w:w="0" w:type="dxa"/>
              <w:left w:w="0" w:type="dxa"/>
              <w:bottom w:w="0" w:type="dxa"/>
              <w:right w:w="108" w:type="dxa"/>
            </w:tcMar>
            <w:vAlign w:val="bottom"/>
            <w:hideMark/>
          </w:tcPr>
          <w:p w:rsidR="008D38B7" w:rsidRPr="008E410F" w:rsidRDefault="008D38B7" w:rsidP="00C02DB0">
            <w:pPr>
              <w:tabs>
                <w:tab w:val="left" w:pos="-1440"/>
              </w:tabs>
              <w:spacing w:before="120" w:after="120" w:line="200" w:lineRule="exact"/>
              <w:ind w:left="113"/>
              <w:jc w:val="center"/>
              <w:rPr>
                <w:rFonts w:eastAsia="Calibri"/>
                <w:i/>
                <w:sz w:val="16"/>
                <w:szCs w:val="16"/>
              </w:rPr>
            </w:pPr>
            <w:r w:rsidRPr="008E410F">
              <w:rPr>
                <w:rFonts w:eastAsia="Calibri"/>
                <w:i/>
                <w:sz w:val="16"/>
                <w:szCs w:val="16"/>
              </w:rPr>
              <w:t>Reference</w:t>
            </w:r>
          </w:p>
        </w:tc>
      </w:tr>
      <w:tr w:rsidR="008D38B7" w:rsidRPr="00522933" w:rsidTr="00C02DB0">
        <w:tc>
          <w:tcPr>
            <w:tcW w:w="1231" w:type="dxa"/>
            <w:tcBorders>
              <w:top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c>
          <w:tcPr>
            <w:tcW w:w="953" w:type="dxa"/>
            <w:tcBorders>
              <w:top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c>
          <w:tcPr>
            <w:tcW w:w="2982" w:type="dxa"/>
            <w:tcBorders>
              <w:top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c>
          <w:tcPr>
            <w:tcW w:w="2300" w:type="dxa"/>
            <w:tcBorders>
              <w:top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r>
      <w:tr w:rsidR="008D38B7" w:rsidRPr="00522933" w:rsidTr="00C02DB0">
        <w:tc>
          <w:tcPr>
            <w:tcW w:w="1231" w:type="dxa"/>
            <w:tcMar>
              <w:top w:w="0" w:type="dxa"/>
              <w:left w:w="0" w:type="dxa"/>
              <w:bottom w:w="0" w:type="dxa"/>
              <w:right w:w="108" w:type="dxa"/>
            </w:tcMar>
            <w:hideMark/>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 xml:space="preserve">n  </w:t>
            </w:r>
          </w:p>
        </w:tc>
        <w:tc>
          <w:tcPr>
            <w:tcW w:w="953" w:type="dxa"/>
            <w:tcMar>
              <w:top w:w="0" w:type="dxa"/>
              <w:left w:w="0" w:type="dxa"/>
              <w:bottom w:w="0" w:type="dxa"/>
              <w:right w:w="108" w:type="dxa"/>
            </w:tcMar>
            <w:hideMark/>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min</w:t>
            </w:r>
            <w:r w:rsidRPr="00522933">
              <w:rPr>
                <w:rFonts w:eastAsia="Calibri"/>
                <w:vertAlign w:val="superscript"/>
              </w:rPr>
              <w:t>-1</w:t>
            </w:r>
          </w:p>
        </w:tc>
        <w:tc>
          <w:tcPr>
            <w:tcW w:w="2982" w:type="dxa"/>
            <w:tcMar>
              <w:top w:w="0" w:type="dxa"/>
              <w:left w:w="0" w:type="dxa"/>
              <w:bottom w:w="0" w:type="dxa"/>
              <w:right w:w="108" w:type="dxa"/>
            </w:tcMar>
            <w:hideMark/>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 xml:space="preserve">engine speed </w:t>
            </w:r>
          </w:p>
        </w:tc>
        <w:tc>
          <w:tcPr>
            <w:tcW w:w="2300" w:type="dxa"/>
            <w:tcMar>
              <w:top w:w="0" w:type="dxa"/>
              <w:left w:w="0" w:type="dxa"/>
              <w:bottom w:w="0" w:type="dxa"/>
              <w:right w:w="108" w:type="dxa"/>
            </w:tcMar>
            <w:hideMark/>
          </w:tcPr>
          <w:p w:rsidR="008D38B7" w:rsidRPr="00522933" w:rsidRDefault="008D38B7" w:rsidP="00C02DB0">
            <w:pPr>
              <w:tabs>
                <w:tab w:val="left" w:pos="-1440"/>
              </w:tabs>
              <w:spacing w:before="120" w:after="120" w:line="240" w:lineRule="exact"/>
              <w:ind w:left="113"/>
              <w:rPr>
                <w:rFonts w:eastAsia="Calibri"/>
              </w:rPr>
            </w:pPr>
          </w:p>
        </w:tc>
      </w:tr>
      <w:tr w:rsidR="008D38B7" w:rsidRPr="00522933" w:rsidTr="00C02DB0">
        <w:tc>
          <w:tcPr>
            <w:tcW w:w="1231" w:type="dxa"/>
            <w:tcBorders>
              <w:bottom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i/>
              </w:rPr>
            </w:pPr>
            <w:r w:rsidRPr="00522933">
              <w:rPr>
                <w:rFonts w:eastAsia="Calibri"/>
                <w:i/>
              </w:rPr>
              <w:t>…</w:t>
            </w:r>
          </w:p>
        </w:tc>
        <w:tc>
          <w:tcPr>
            <w:tcW w:w="953" w:type="dxa"/>
            <w:tcBorders>
              <w:bottom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c>
          <w:tcPr>
            <w:tcW w:w="2982" w:type="dxa"/>
            <w:tcBorders>
              <w:bottom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c>
          <w:tcPr>
            <w:tcW w:w="2300" w:type="dxa"/>
            <w:tcBorders>
              <w:bottom w:val="single" w:sz="12" w:space="0" w:color="auto"/>
            </w:tcBorders>
            <w:tcMar>
              <w:top w:w="0" w:type="dxa"/>
              <w:left w:w="0" w:type="dxa"/>
              <w:bottom w:w="0" w:type="dxa"/>
              <w:right w:w="108" w:type="dxa"/>
            </w:tcMar>
          </w:tcPr>
          <w:p w:rsidR="008D38B7" w:rsidRPr="00522933" w:rsidRDefault="008D38B7" w:rsidP="00C02DB0">
            <w:pPr>
              <w:tabs>
                <w:tab w:val="left" w:pos="-1440"/>
              </w:tabs>
              <w:spacing w:before="120" w:after="120" w:line="240" w:lineRule="exact"/>
              <w:ind w:left="113"/>
              <w:rPr>
                <w:rFonts w:eastAsia="Calibri"/>
              </w:rPr>
            </w:pPr>
            <w:r w:rsidRPr="00522933">
              <w:rPr>
                <w:rFonts w:eastAsia="Calibri"/>
              </w:rPr>
              <w:t>…</w:t>
            </w:r>
          </w:p>
        </w:tc>
      </w:tr>
    </w:tbl>
    <w:p w:rsidR="008D38B7" w:rsidRPr="00522933" w:rsidRDefault="008D38B7" w:rsidP="008D38B7">
      <w:pPr>
        <w:suppressAutoHyphens w:val="0"/>
        <w:snapToGrid w:val="0"/>
        <w:spacing w:before="120" w:after="120"/>
        <w:ind w:left="1134" w:right="1134"/>
        <w:rPr>
          <w:rFonts w:eastAsia="MS PGothic"/>
          <w:kern w:val="2"/>
          <w:lang w:eastAsia="ja-JP"/>
        </w:rPr>
      </w:pPr>
      <w:r w:rsidRPr="00522933">
        <w:rPr>
          <w:rFonts w:eastAsia="MS PGothic"/>
          <w:kern w:val="2"/>
          <w:lang w:eastAsia="ja-JP"/>
        </w:rPr>
        <w:t xml:space="preserve">The following indices are used for engine speeds "n" and vehicle speeds "v" to indicate the location or rather time of the measurement: </w:t>
      </w:r>
    </w:p>
    <w:p w:rsidR="008D38B7" w:rsidRPr="00522933" w:rsidRDefault="008D38B7" w:rsidP="008D38B7">
      <w:pPr>
        <w:suppressAutoHyphens w:val="0"/>
        <w:snapToGrid w:val="0"/>
        <w:spacing w:after="120"/>
        <w:ind w:left="1134" w:right="1134"/>
        <w:rPr>
          <w:rFonts w:eastAsia="MS PGothic"/>
          <w:kern w:val="2"/>
          <w:lang w:eastAsia="ja-JP"/>
        </w:rPr>
      </w:pPr>
      <w:r w:rsidRPr="00522933">
        <w:rPr>
          <w:rFonts w:eastAsia="MS PGothic"/>
          <w:kern w:val="2"/>
          <w:lang w:eastAsia="ja-JP"/>
        </w:rPr>
        <w:t>…"</w:t>
      </w:r>
    </w:p>
    <w:p w:rsidR="008D38B7" w:rsidRPr="00F203F7" w:rsidRDefault="008D38B7" w:rsidP="008D38B7">
      <w:pPr>
        <w:snapToGrid w:val="0"/>
        <w:spacing w:after="120"/>
        <w:ind w:leftChars="567" w:left="1134" w:right="1134"/>
        <w:jc w:val="both"/>
      </w:pPr>
      <w:r w:rsidRPr="00F203F7">
        <w:rPr>
          <w:i/>
          <w:iCs/>
        </w:rPr>
        <w:t>Paragraph 12.3.,</w:t>
      </w:r>
      <w:r w:rsidRPr="00F203F7">
        <w:t xml:space="preserve"> amend to read:</w:t>
      </w:r>
    </w:p>
    <w:p w:rsidR="008D38B7" w:rsidRPr="00F203F7" w:rsidRDefault="008D38B7" w:rsidP="008D38B7">
      <w:pPr>
        <w:snapToGrid w:val="0"/>
        <w:spacing w:after="120"/>
        <w:ind w:leftChars="567" w:left="2268" w:right="1134" w:hangingChars="567" w:hanging="1134"/>
        <w:jc w:val="both"/>
      </w:pPr>
      <w:r>
        <w:t>"</w:t>
      </w:r>
      <w:r w:rsidRPr="00F203F7">
        <w:t xml:space="preserve">12.3. </w:t>
      </w:r>
      <w:r w:rsidRPr="00F203F7">
        <w:tab/>
        <w:t xml:space="preserve">Contracting Parties applying this Regulation shall not refuse to grant extensions of approval in accordance with the preceding series of amendments to this Regulation </w:t>
      </w:r>
      <w:r w:rsidRPr="00940736">
        <w:rPr>
          <w:bCs/>
        </w:rPr>
        <w:t xml:space="preserve">which </w:t>
      </w:r>
      <w:r>
        <w:rPr>
          <w:bCs/>
        </w:rPr>
        <w:t xml:space="preserve">shall </w:t>
      </w:r>
      <w:r w:rsidRPr="00940736">
        <w:rPr>
          <w:bCs/>
        </w:rPr>
        <w:t>be conducted on the test site of Annex 4 or ISO10844:2014."</w:t>
      </w:r>
    </w:p>
    <w:p w:rsidR="008D38B7" w:rsidRPr="00F203F7" w:rsidRDefault="008D38B7" w:rsidP="008D38B7">
      <w:pPr>
        <w:snapToGrid w:val="0"/>
        <w:spacing w:after="120"/>
        <w:ind w:leftChars="567" w:left="1134" w:right="1134"/>
        <w:jc w:val="both"/>
      </w:pPr>
      <w:r w:rsidRPr="00F203F7">
        <w:rPr>
          <w:i/>
          <w:iCs/>
        </w:rPr>
        <w:t xml:space="preserve">Insert new paragraphs 12.8. </w:t>
      </w:r>
      <w:proofErr w:type="gramStart"/>
      <w:r w:rsidRPr="00F203F7">
        <w:rPr>
          <w:i/>
          <w:iCs/>
        </w:rPr>
        <w:t>and</w:t>
      </w:r>
      <w:proofErr w:type="gramEnd"/>
      <w:r w:rsidRPr="00F203F7">
        <w:rPr>
          <w:i/>
          <w:iCs/>
        </w:rPr>
        <w:t xml:space="preserve"> 12.9.,</w:t>
      </w:r>
      <w:r w:rsidRPr="00F203F7">
        <w:t xml:space="preserve"> to read:</w:t>
      </w:r>
    </w:p>
    <w:p w:rsidR="008D38B7" w:rsidRPr="00940736" w:rsidRDefault="008D38B7" w:rsidP="008D38B7">
      <w:pPr>
        <w:snapToGrid w:val="0"/>
        <w:spacing w:after="120"/>
        <w:ind w:leftChars="567" w:left="2262" w:right="1134" w:hangingChars="564" w:hanging="1128"/>
        <w:jc w:val="both"/>
        <w:rPr>
          <w:bCs/>
        </w:rPr>
      </w:pPr>
      <w:r w:rsidRPr="00940736">
        <w:rPr>
          <w:bCs/>
        </w:rPr>
        <w:t xml:space="preserve">"12.8. </w:t>
      </w:r>
      <w:r w:rsidRPr="00940736">
        <w:rPr>
          <w:bCs/>
        </w:rPr>
        <w:tab/>
        <w:t>As from the official date of entry into force of Supplement 3 to the 04 series of amendments, no Contracting Party applying this Regulation shall refuse to grant or refuse to accept type approval according to Supplement 3 to 04 series of amendments to this Regulation.</w:t>
      </w:r>
    </w:p>
    <w:p w:rsidR="008D38B7" w:rsidRPr="00940736" w:rsidRDefault="008D38B7" w:rsidP="008D38B7">
      <w:pPr>
        <w:snapToGrid w:val="0"/>
        <w:spacing w:after="120"/>
        <w:ind w:leftChars="567" w:left="2262" w:right="1134" w:hangingChars="564" w:hanging="1128"/>
        <w:jc w:val="both"/>
      </w:pPr>
      <w:r w:rsidRPr="00940736">
        <w:rPr>
          <w:bCs/>
        </w:rPr>
        <w:t xml:space="preserve">12.9. </w:t>
      </w:r>
      <w:r w:rsidRPr="00940736">
        <w:rPr>
          <w:bCs/>
        </w:rPr>
        <w:tab/>
        <w:t>As from 60 months after the date of entry into force of Supplement 3 to the 04 series of amendments to this Regulation, Contracting Parties applying this Regulation shall grant type approvals only if the vehicles type to be approved meets the requirements of this Regulation as amended by Supplement 3 to the 04 series of amendments to this Regulation."</w:t>
      </w:r>
    </w:p>
    <w:p w:rsidR="008D38B7" w:rsidRDefault="008D38B7" w:rsidP="008D38B7">
      <w:pPr>
        <w:snapToGrid w:val="0"/>
        <w:spacing w:after="120"/>
        <w:ind w:leftChars="567" w:left="1134" w:right="1134"/>
        <w:jc w:val="both"/>
        <w:rPr>
          <w:i/>
        </w:rPr>
      </w:pPr>
      <w:r w:rsidRPr="00F203F7">
        <w:rPr>
          <w:i/>
          <w:iCs/>
        </w:rPr>
        <w:t>Annex 1</w:t>
      </w:r>
      <w:r w:rsidRPr="00695877">
        <w:rPr>
          <w:i/>
        </w:rPr>
        <w:t xml:space="preserve">, </w:t>
      </w:r>
    </w:p>
    <w:p w:rsidR="008D38B7" w:rsidRPr="00F203F7" w:rsidRDefault="008D38B7" w:rsidP="008D38B7">
      <w:pPr>
        <w:snapToGrid w:val="0"/>
        <w:spacing w:after="120"/>
        <w:ind w:leftChars="567" w:left="1134" w:right="1134"/>
        <w:jc w:val="both"/>
      </w:pPr>
      <w:r>
        <w:rPr>
          <w:i/>
        </w:rPr>
        <w:t>I</w:t>
      </w:r>
      <w:r w:rsidRPr="00695877">
        <w:rPr>
          <w:i/>
        </w:rPr>
        <w:t xml:space="preserve">tem </w:t>
      </w:r>
      <w:proofErr w:type="gramStart"/>
      <w:r w:rsidRPr="00695877">
        <w:rPr>
          <w:i/>
          <w:iCs/>
        </w:rPr>
        <w:t>20.</w:t>
      </w:r>
      <w:r w:rsidRPr="00F203F7">
        <w:rPr>
          <w:i/>
          <w:iCs/>
        </w:rPr>
        <w:t>,</w:t>
      </w:r>
      <w:proofErr w:type="gramEnd"/>
      <w:r w:rsidRPr="00F203F7">
        <w:t xml:space="preserve"> </w:t>
      </w:r>
      <w:r>
        <w:t xml:space="preserve">to be </w:t>
      </w:r>
      <w:r w:rsidRPr="00F203F7">
        <w:t>delete</w:t>
      </w:r>
      <w:r>
        <w:t>d.</w:t>
      </w:r>
    </w:p>
    <w:p w:rsidR="008D38B7" w:rsidRPr="00F203F7" w:rsidRDefault="008D38B7" w:rsidP="008D38B7">
      <w:pPr>
        <w:snapToGrid w:val="0"/>
        <w:spacing w:after="120"/>
        <w:ind w:leftChars="567" w:left="1134" w:right="1134"/>
        <w:jc w:val="both"/>
      </w:pPr>
      <w:proofErr w:type="gramStart"/>
      <w:r>
        <w:rPr>
          <w:i/>
        </w:rPr>
        <w:t xml:space="preserve">Items </w:t>
      </w:r>
      <w:r w:rsidRPr="00695877">
        <w:rPr>
          <w:i/>
        </w:rPr>
        <w:t>2</w:t>
      </w:r>
      <w:r>
        <w:rPr>
          <w:i/>
        </w:rPr>
        <w:t>1.</w:t>
      </w:r>
      <w:proofErr w:type="gramEnd"/>
      <w:r w:rsidRPr="00695877">
        <w:rPr>
          <w:i/>
        </w:rPr>
        <w:t xml:space="preserve"> </w:t>
      </w:r>
      <w:proofErr w:type="gramStart"/>
      <w:r w:rsidRPr="00695877">
        <w:rPr>
          <w:i/>
        </w:rPr>
        <w:t>to</w:t>
      </w:r>
      <w:proofErr w:type="gramEnd"/>
      <w:r w:rsidRPr="00695877">
        <w:rPr>
          <w:i/>
        </w:rPr>
        <w:t xml:space="preserve"> 29</w:t>
      </w:r>
      <w:r>
        <w:rPr>
          <w:i/>
        </w:rPr>
        <w:t>.</w:t>
      </w:r>
      <w:r>
        <w:t xml:space="preserve">, </w:t>
      </w:r>
      <w:r w:rsidRPr="00F203F7">
        <w:t xml:space="preserve">renumber </w:t>
      </w:r>
      <w:r>
        <w:t xml:space="preserve">as 20. </w:t>
      </w:r>
      <w:proofErr w:type="gramStart"/>
      <w:r>
        <w:t>to</w:t>
      </w:r>
      <w:proofErr w:type="gramEnd"/>
      <w:r>
        <w:t xml:space="preserve"> 28., respectively.</w:t>
      </w:r>
    </w:p>
    <w:p w:rsidR="008D38B7" w:rsidRDefault="008D38B7" w:rsidP="008D38B7">
      <w:pPr>
        <w:widowControl w:val="0"/>
        <w:suppressAutoHyphens w:val="0"/>
        <w:snapToGrid w:val="0"/>
        <w:spacing w:after="120"/>
        <w:ind w:left="1134" w:right="1134"/>
        <w:jc w:val="both"/>
        <w:rPr>
          <w:rFonts w:eastAsia="MS PGothic"/>
          <w:i/>
          <w:iCs/>
          <w:kern w:val="2"/>
          <w:lang w:eastAsia="ja-JP"/>
        </w:rPr>
      </w:pPr>
      <w:r w:rsidRPr="00522933">
        <w:rPr>
          <w:rFonts w:eastAsia="MS PGothic"/>
          <w:i/>
          <w:iCs/>
          <w:kern w:val="2"/>
          <w:lang w:eastAsia="ja-JP"/>
        </w:rPr>
        <w:t xml:space="preserve">Annex 3, </w:t>
      </w:r>
    </w:p>
    <w:p w:rsidR="008D38B7" w:rsidRPr="00522933" w:rsidRDefault="008D38B7" w:rsidP="008D38B7">
      <w:pPr>
        <w:widowControl w:val="0"/>
        <w:suppressAutoHyphens w:val="0"/>
        <w:snapToGrid w:val="0"/>
        <w:spacing w:after="120"/>
        <w:ind w:left="1134" w:right="1134"/>
        <w:jc w:val="both"/>
        <w:rPr>
          <w:rFonts w:eastAsia="MS PGothic"/>
          <w:kern w:val="2"/>
          <w:lang w:eastAsia="ja-JP"/>
        </w:rPr>
      </w:pPr>
      <w:r>
        <w:rPr>
          <w:rFonts w:eastAsia="MS PGothic"/>
          <w:i/>
          <w:iCs/>
          <w:kern w:val="2"/>
          <w:lang w:eastAsia="ja-JP"/>
        </w:rPr>
        <w:t>P</w:t>
      </w:r>
      <w:r w:rsidRPr="00522933">
        <w:rPr>
          <w:rFonts w:eastAsia="MS PGothic"/>
          <w:i/>
          <w:iCs/>
          <w:kern w:val="2"/>
          <w:lang w:eastAsia="ja-JP"/>
        </w:rPr>
        <w:t>aragraph 1.1.2.,</w:t>
      </w:r>
      <w:r w:rsidRPr="00522933">
        <w:rPr>
          <w:rFonts w:eastAsia="MS PGothic"/>
          <w:kern w:val="2"/>
          <w:lang w:eastAsia="ja-JP"/>
        </w:rPr>
        <w:t xml:space="preserve"> amend to read:</w:t>
      </w:r>
    </w:p>
    <w:p w:rsidR="008D38B7" w:rsidRPr="00522933" w:rsidRDefault="008D38B7" w:rsidP="008D38B7">
      <w:pPr>
        <w:widowControl w:val="0"/>
        <w:tabs>
          <w:tab w:val="left" w:pos="2268"/>
        </w:tabs>
        <w:suppressAutoHyphens w:val="0"/>
        <w:snapToGrid w:val="0"/>
        <w:spacing w:after="120"/>
        <w:ind w:left="1134" w:right="1134"/>
        <w:jc w:val="both"/>
        <w:rPr>
          <w:rFonts w:eastAsia="MS PGothic"/>
          <w:kern w:val="2"/>
          <w:lang w:eastAsia="ja-JP"/>
        </w:rPr>
      </w:pPr>
      <w:r w:rsidRPr="00522933">
        <w:rPr>
          <w:rFonts w:eastAsia="MS PGothic"/>
          <w:kern w:val="2"/>
          <w:lang w:eastAsia="ja-JP"/>
        </w:rPr>
        <w:t>"1.1.2.</w:t>
      </w:r>
      <w:r w:rsidRPr="00522933">
        <w:rPr>
          <w:rFonts w:eastAsia="MS PGothic"/>
          <w:kern w:val="2"/>
          <w:lang w:eastAsia="ja-JP"/>
        </w:rPr>
        <w:tab/>
        <w:t>Instrumentation for speed measurements</w:t>
      </w:r>
    </w:p>
    <w:p w:rsidR="008D38B7" w:rsidRPr="00940736" w:rsidRDefault="008D38B7" w:rsidP="008D38B7">
      <w:pPr>
        <w:widowControl w:val="0"/>
        <w:suppressAutoHyphens w:val="0"/>
        <w:snapToGrid w:val="0"/>
        <w:spacing w:after="120"/>
        <w:ind w:leftChars="1134" w:left="2268" w:rightChars="567" w:right="1134" w:firstLine="1"/>
        <w:jc w:val="both"/>
        <w:rPr>
          <w:rFonts w:eastAsia="MS PGothic"/>
          <w:bCs/>
          <w:kern w:val="2"/>
          <w:lang w:eastAsia="ja-JP"/>
        </w:rPr>
      </w:pPr>
      <w:r w:rsidRPr="00522933">
        <w:rPr>
          <w:rFonts w:eastAsia="MS PGothic"/>
          <w:kern w:val="2"/>
          <w:lang w:eastAsia="ja-JP"/>
        </w:rPr>
        <w:t xml:space="preserve">The rotational speed of the engine shall be measured with an instrument meeting specification limits of at least ±2 percent or better at the engine speeds required for the measurements being performed. </w:t>
      </w:r>
      <w:r w:rsidRPr="00940736">
        <w:rPr>
          <w:rFonts w:eastAsia="MS PGothic"/>
          <w:bCs/>
          <w:kern w:val="2"/>
          <w:lang w:eastAsia="ja-JP"/>
        </w:rPr>
        <w:t>In case that there are other measurements correlated with the engine speeds, the calculated value may be used (e.g. calculation from the vehicle speed measurement).</w:t>
      </w:r>
    </w:p>
    <w:p w:rsidR="008D38B7" w:rsidRPr="00522933" w:rsidRDefault="008D38B7" w:rsidP="008D38B7">
      <w:pPr>
        <w:widowControl w:val="0"/>
        <w:suppressAutoHyphens w:val="0"/>
        <w:snapToGrid w:val="0"/>
        <w:spacing w:after="120"/>
        <w:ind w:leftChars="1134" w:left="2268" w:rightChars="567" w:right="1134" w:firstLine="1"/>
        <w:jc w:val="both"/>
        <w:rPr>
          <w:rFonts w:eastAsia="MS PGothic"/>
          <w:kern w:val="2"/>
          <w:lang w:eastAsia="ja-JP"/>
        </w:rPr>
      </w:pPr>
      <w:r w:rsidRPr="00522933">
        <w:rPr>
          <w:rFonts w:eastAsia="MS PGothic"/>
          <w:bCs/>
          <w:kern w:val="2"/>
          <w:lang w:eastAsia="ja-JP"/>
        </w:rPr>
        <w:t>…"</w:t>
      </w:r>
    </w:p>
    <w:p w:rsidR="008D38B7" w:rsidRPr="00F203F7" w:rsidRDefault="008D38B7" w:rsidP="008D38B7">
      <w:pPr>
        <w:keepNext/>
        <w:keepLines/>
        <w:snapToGrid w:val="0"/>
        <w:spacing w:after="120"/>
        <w:ind w:leftChars="567" w:left="1134" w:right="1134"/>
        <w:jc w:val="both"/>
      </w:pPr>
      <w:r>
        <w:rPr>
          <w:i/>
          <w:iCs/>
        </w:rPr>
        <w:lastRenderedPageBreak/>
        <w:t>P</w:t>
      </w:r>
      <w:r w:rsidRPr="00F203F7">
        <w:rPr>
          <w:i/>
          <w:iCs/>
        </w:rPr>
        <w:t>aragraph 1.2.1.,</w:t>
      </w:r>
      <w:r w:rsidRPr="00F203F7">
        <w:t xml:space="preserve"> amend to read: </w:t>
      </w:r>
    </w:p>
    <w:p w:rsidR="008D38B7" w:rsidRPr="00CF41C8" w:rsidRDefault="008D38B7" w:rsidP="008D38B7">
      <w:pPr>
        <w:pStyle w:val="SingleTxtG"/>
        <w:keepNext/>
        <w:keepLines/>
        <w:ind w:left="2268" w:hanging="1134"/>
        <w:rPr>
          <w:b/>
        </w:rPr>
      </w:pPr>
      <w:r w:rsidRPr="00F203F7">
        <w:t>"</w:t>
      </w:r>
      <w:r w:rsidRPr="00CF41C8">
        <w:t>1.2.1.</w:t>
      </w:r>
      <w:r w:rsidRPr="00CF41C8">
        <w:tab/>
        <w:t>Test site</w:t>
      </w:r>
    </w:p>
    <w:p w:rsidR="008D38B7" w:rsidRPr="00CF41C8" w:rsidRDefault="008D38B7" w:rsidP="008D38B7">
      <w:pPr>
        <w:pStyle w:val="SingleTxtG"/>
        <w:keepNext/>
        <w:keepLines/>
        <w:ind w:left="2268"/>
        <w:rPr>
          <w:b/>
        </w:rPr>
      </w:pPr>
      <w:r w:rsidRPr="00CF41C8">
        <w:t>The test site shall consist of a central acceleration section surrounded by a</w:t>
      </w:r>
      <w:r>
        <w:t xml:space="preserve"> substantially level test area.</w:t>
      </w:r>
      <w:r w:rsidRPr="00CF41C8">
        <w:t xml:space="preserve"> The acceleration section shall be level; its surface shall be dry and so designed that rolling noise remains low.</w:t>
      </w:r>
    </w:p>
    <w:p w:rsidR="008D38B7" w:rsidRPr="00CF41C8" w:rsidRDefault="008D38B7" w:rsidP="008D38B7">
      <w:pPr>
        <w:pStyle w:val="SingleTxtG"/>
        <w:keepNext/>
        <w:keepLines/>
        <w:ind w:left="2268"/>
        <w:rPr>
          <w:b/>
        </w:rPr>
      </w:pPr>
      <w:r w:rsidRPr="00CF41C8">
        <w:t xml:space="preserve">On the test site the variations in the free sound field between the sound source at the centre of the acceleration section and the microphone </w:t>
      </w:r>
      <w:r>
        <w:t xml:space="preserve">shall be maintained to within 1 </w:t>
      </w:r>
      <w:proofErr w:type="gramStart"/>
      <w:r>
        <w:t>dB(</w:t>
      </w:r>
      <w:proofErr w:type="gramEnd"/>
      <w:r>
        <w:t xml:space="preserve">A). </w:t>
      </w:r>
      <w:r w:rsidRPr="00CF41C8">
        <w:t xml:space="preserve">This condition will be deemed to be met if there are no large objects which reflect sound, such as fences, rocks, </w:t>
      </w:r>
      <w:r>
        <w:t xml:space="preserve">bridges or buildings, within 50 </w:t>
      </w:r>
      <w:r w:rsidRPr="00CF41C8">
        <w:t>m of the cent</w:t>
      </w:r>
      <w:r>
        <w:t>re of the acceleration section.</w:t>
      </w:r>
      <w:r w:rsidRPr="00CF41C8">
        <w:t xml:space="preserve"> The road surface covering of the test site shall confo</w:t>
      </w:r>
      <w:r>
        <w:t>rm to the requirements of Annex </w:t>
      </w:r>
      <w:r w:rsidRPr="00CF41C8">
        <w:t>4</w:t>
      </w:r>
      <w:r w:rsidRPr="00862B1F">
        <w:rPr>
          <w:bCs/>
        </w:rPr>
        <w:t xml:space="preserve"> </w:t>
      </w:r>
      <w:r w:rsidRPr="00940736">
        <w:rPr>
          <w:bCs/>
        </w:rPr>
        <w:t>or to ISO10844:2014</w:t>
      </w:r>
      <w:r w:rsidRPr="00CF41C8">
        <w:t>.</w:t>
      </w:r>
    </w:p>
    <w:p w:rsidR="008D38B7" w:rsidRDefault="008D38B7" w:rsidP="008D38B7">
      <w:pPr>
        <w:pStyle w:val="SingleTxtG"/>
        <w:ind w:left="2268"/>
      </w:pPr>
      <w:r w:rsidRPr="00CF41C8">
        <w:t>The microphone shall not be obstructed in any way which could affect the sound field, and no person may stand between the m</w:t>
      </w:r>
      <w:r>
        <w:t>icrophone and the sound source.</w:t>
      </w:r>
      <w:r w:rsidRPr="00CF41C8">
        <w:t xml:space="preserve"> The observer carrying out the measurements shall take up position so as not to affect the readings of the measuring instrument.</w:t>
      </w:r>
      <w:r>
        <w:t>"</w:t>
      </w:r>
    </w:p>
    <w:p w:rsidR="008D38B7" w:rsidRPr="00F203F7" w:rsidRDefault="008D38B7" w:rsidP="008D38B7">
      <w:pPr>
        <w:snapToGrid w:val="0"/>
        <w:spacing w:after="120"/>
        <w:ind w:leftChars="567" w:left="1134" w:right="1134"/>
        <w:jc w:val="both"/>
        <w:rPr>
          <w:i/>
          <w:iCs/>
        </w:rPr>
      </w:pPr>
      <w:r w:rsidRPr="00F203F7">
        <w:rPr>
          <w:i/>
          <w:iCs/>
        </w:rPr>
        <w:t>Annex 4,</w:t>
      </w:r>
    </w:p>
    <w:p w:rsidR="008D38B7" w:rsidRPr="00F203F7" w:rsidRDefault="008D38B7" w:rsidP="008D38B7">
      <w:pPr>
        <w:snapToGrid w:val="0"/>
        <w:spacing w:after="120"/>
        <w:ind w:leftChars="567" w:left="1134" w:right="1134"/>
        <w:jc w:val="both"/>
      </w:pPr>
      <w:r>
        <w:rPr>
          <w:i/>
          <w:iCs/>
        </w:rPr>
        <w:t>After t</w:t>
      </w:r>
      <w:r w:rsidRPr="00F203F7">
        <w:rPr>
          <w:i/>
          <w:iCs/>
        </w:rPr>
        <w:t xml:space="preserve">he title, </w:t>
      </w:r>
      <w:r w:rsidRPr="00F203F7">
        <w:rPr>
          <w:iCs/>
        </w:rPr>
        <w:t>insert the reference to</w:t>
      </w:r>
      <w:r>
        <w:rPr>
          <w:iCs/>
        </w:rPr>
        <w:t xml:space="preserve"> a new</w:t>
      </w:r>
      <w:r w:rsidRPr="00F203F7">
        <w:rPr>
          <w:iCs/>
        </w:rPr>
        <w:t xml:space="preserve"> footnote</w:t>
      </w:r>
      <w:r>
        <w:rPr>
          <w:iCs/>
        </w:rPr>
        <w:t xml:space="preserve"> 1</w:t>
      </w:r>
      <w:r w:rsidRPr="00F203F7">
        <w:rPr>
          <w:iCs/>
        </w:rPr>
        <w:t xml:space="preserve"> and </w:t>
      </w:r>
      <w:r>
        <w:rPr>
          <w:iCs/>
        </w:rPr>
        <w:t xml:space="preserve">a new </w:t>
      </w:r>
      <w:r w:rsidRPr="00F203F7">
        <w:rPr>
          <w:iCs/>
        </w:rPr>
        <w:t>footnote</w:t>
      </w:r>
      <w:r>
        <w:rPr>
          <w:iCs/>
        </w:rPr>
        <w:t xml:space="preserve"> 1</w:t>
      </w:r>
      <w:r w:rsidRPr="00F203F7">
        <w:rPr>
          <w:i/>
          <w:iCs/>
        </w:rPr>
        <w:t>,</w:t>
      </w:r>
      <w:r w:rsidRPr="00F203F7">
        <w:t xml:space="preserve"> to read:</w:t>
      </w:r>
    </w:p>
    <w:p w:rsidR="008D38B7" w:rsidRPr="00940736" w:rsidRDefault="008D38B7" w:rsidP="008D38B7">
      <w:pPr>
        <w:pStyle w:val="FootnoteText"/>
      </w:pPr>
      <w:r>
        <w:tab/>
      </w:r>
      <w:r w:rsidRPr="00940736">
        <w:t>"</w:t>
      </w:r>
      <w:r w:rsidRPr="00940736">
        <w:rPr>
          <w:vertAlign w:val="superscript"/>
        </w:rPr>
        <w:t>1</w:t>
      </w:r>
      <w:r w:rsidRPr="00940736">
        <w:tab/>
        <w:t>The specifications for the test site reproduced in this Annex are valid until the end of the period indicated in paragraph 12.9."</w:t>
      </w:r>
    </w:p>
    <w:p w:rsidR="008D38B7" w:rsidRPr="00F203F7" w:rsidRDefault="008D38B7" w:rsidP="008D38B7">
      <w:pPr>
        <w:keepNext/>
        <w:snapToGrid w:val="0"/>
        <w:spacing w:before="120" w:after="120"/>
        <w:ind w:leftChars="567" w:left="1134" w:right="1134"/>
        <w:jc w:val="both"/>
        <w:outlineLvl w:val="2"/>
        <w:rPr>
          <w:i/>
          <w:iCs/>
        </w:rPr>
      </w:pPr>
      <w:r w:rsidRPr="00F203F7">
        <w:rPr>
          <w:i/>
          <w:iCs/>
        </w:rPr>
        <w:t xml:space="preserve">Paragraph </w:t>
      </w:r>
      <w:proofErr w:type="gramStart"/>
      <w:r w:rsidRPr="00F203F7">
        <w:rPr>
          <w:i/>
          <w:iCs/>
        </w:rPr>
        <w:t>1.,</w:t>
      </w:r>
      <w:proofErr w:type="gramEnd"/>
      <w:r w:rsidRPr="00F203F7">
        <w:rPr>
          <w:i/>
          <w:iCs/>
        </w:rPr>
        <w:t xml:space="preserve"> the reference to footnote 1 and footnote 1</w:t>
      </w:r>
      <w:r w:rsidRPr="00F203F7">
        <w:rPr>
          <w:iCs/>
        </w:rPr>
        <w:t>, renumber as footnote 2</w:t>
      </w:r>
      <w:r w:rsidRPr="00F203F7">
        <w:rPr>
          <w:i/>
          <w:iCs/>
        </w:rPr>
        <w:t>.</w:t>
      </w:r>
    </w:p>
    <w:p w:rsidR="008D38B7" w:rsidRDefault="008D38B7" w:rsidP="008D38B7">
      <w:pPr>
        <w:keepNext/>
        <w:snapToGrid w:val="0"/>
        <w:spacing w:after="120"/>
        <w:ind w:leftChars="567" w:left="1134" w:right="1134"/>
        <w:jc w:val="both"/>
        <w:outlineLvl w:val="2"/>
        <w:rPr>
          <w:i/>
          <w:iCs/>
        </w:rPr>
      </w:pPr>
      <w:proofErr w:type="gramStart"/>
      <w:r w:rsidRPr="00F203F7">
        <w:rPr>
          <w:i/>
          <w:iCs/>
        </w:rPr>
        <w:t>Paragraph 2.2., the reference to footnote 2 and footnote 2</w:t>
      </w:r>
      <w:r w:rsidRPr="00F203F7">
        <w:rPr>
          <w:iCs/>
        </w:rPr>
        <w:t>, renumber as footnote 3</w:t>
      </w:r>
      <w:r w:rsidRPr="00F203F7">
        <w:rPr>
          <w:i/>
          <w:iCs/>
        </w:rPr>
        <w:t>.</w:t>
      </w:r>
      <w:proofErr w:type="gramEnd"/>
    </w:p>
    <w:p w:rsidR="00006632" w:rsidRDefault="008D38B7" w:rsidP="008D38B7">
      <w:pPr>
        <w:widowControl w:val="0"/>
        <w:suppressAutoHyphens w:val="0"/>
        <w:snapToGrid w:val="0"/>
        <w:spacing w:after="120"/>
        <w:ind w:left="1134" w:right="1134"/>
        <w:jc w:val="both"/>
        <w:rPr>
          <w:rFonts w:eastAsia="MS PGothic"/>
          <w:i/>
          <w:iCs/>
          <w:kern w:val="2"/>
          <w:lang w:eastAsia="ja-JP"/>
        </w:rPr>
      </w:pPr>
      <w:r w:rsidRPr="00522933">
        <w:rPr>
          <w:rFonts w:eastAsia="MS PGothic"/>
          <w:i/>
          <w:iCs/>
          <w:kern w:val="2"/>
          <w:lang w:eastAsia="ja-JP"/>
        </w:rPr>
        <w:t xml:space="preserve">Annex 7, </w:t>
      </w:r>
    </w:p>
    <w:p w:rsidR="008D38B7" w:rsidRPr="00522933" w:rsidRDefault="00006632" w:rsidP="008D38B7">
      <w:pPr>
        <w:widowControl w:val="0"/>
        <w:suppressAutoHyphens w:val="0"/>
        <w:snapToGrid w:val="0"/>
        <w:spacing w:after="120"/>
        <w:ind w:left="1134" w:right="1134"/>
        <w:jc w:val="both"/>
        <w:rPr>
          <w:rFonts w:eastAsia="MS PGothic"/>
          <w:color w:val="FF0000"/>
          <w:kern w:val="2"/>
          <w:lang w:eastAsia="ja-JP"/>
        </w:rPr>
      </w:pPr>
      <w:r>
        <w:rPr>
          <w:rFonts w:eastAsia="MS PGothic"/>
          <w:i/>
          <w:iCs/>
          <w:kern w:val="2"/>
          <w:lang w:eastAsia="ja-JP"/>
        </w:rPr>
        <w:t>P</w:t>
      </w:r>
      <w:r w:rsidR="008D38B7" w:rsidRPr="00522933">
        <w:rPr>
          <w:rFonts w:eastAsia="MS PGothic"/>
          <w:i/>
          <w:iCs/>
          <w:kern w:val="2"/>
          <w:lang w:eastAsia="ja-JP"/>
        </w:rPr>
        <w:t>aragraph 3.2.3.,</w:t>
      </w:r>
      <w:r w:rsidR="008D38B7" w:rsidRPr="00522933">
        <w:rPr>
          <w:rFonts w:eastAsia="MS PGothic"/>
          <w:kern w:val="2"/>
          <w:lang w:eastAsia="ja-JP"/>
        </w:rPr>
        <w:t xml:space="preserve"> amend to read:</w:t>
      </w:r>
    </w:p>
    <w:p w:rsidR="008D38B7" w:rsidRPr="00522933" w:rsidRDefault="008D38B7" w:rsidP="008D38B7">
      <w:pPr>
        <w:widowControl w:val="0"/>
        <w:suppressAutoHyphens w:val="0"/>
        <w:snapToGrid w:val="0"/>
        <w:spacing w:after="120"/>
        <w:ind w:left="1134" w:right="1134"/>
        <w:jc w:val="both"/>
        <w:rPr>
          <w:rFonts w:eastAsia="MS PGothic"/>
          <w:kern w:val="2"/>
          <w:lang w:eastAsia="ja-JP"/>
        </w:rPr>
      </w:pPr>
      <w:r>
        <w:rPr>
          <w:rFonts w:eastAsia="MS PGothic"/>
          <w:kern w:val="2"/>
          <w:lang w:eastAsia="ja-JP"/>
        </w:rPr>
        <w:t>"</w:t>
      </w:r>
      <w:r w:rsidRPr="00522933">
        <w:rPr>
          <w:rFonts w:eastAsia="MS PGothic"/>
          <w:kern w:val="2"/>
          <w:lang w:eastAsia="ja-JP"/>
        </w:rPr>
        <w:t xml:space="preserve">3.2.3. </w:t>
      </w:r>
      <w:r w:rsidRPr="00522933">
        <w:rPr>
          <w:rFonts w:eastAsia="MS PGothic"/>
          <w:kern w:val="2"/>
          <w:lang w:eastAsia="ja-JP"/>
        </w:rPr>
        <w:tab/>
        <w:t>Data processing and reporting</w:t>
      </w:r>
    </w:p>
    <w:p w:rsidR="008D38B7" w:rsidRPr="00522933" w:rsidRDefault="008D38B7" w:rsidP="008D38B7">
      <w:pPr>
        <w:widowControl w:val="0"/>
        <w:suppressAutoHyphens w:val="0"/>
        <w:snapToGrid w:val="0"/>
        <w:spacing w:after="120"/>
        <w:ind w:left="1701" w:right="1134" w:firstLine="567"/>
        <w:jc w:val="both"/>
        <w:rPr>
          <w:rFonts w:eastAsia="MS PGothic"/>
          <w:kern w:val="2"/>
          <w:lang w:eastAsia="ja-JP"/>
        </w:rPr>
      </w:pPr>
      <w:proofErr w:type="gramStart"/>
      <w:r w:rsidRPr="00522933">
        <w:rPr>
          <w:rFonts w:eastAsia="MS PGothic"/>
          <w:kern w:val="2"/>
          <w:lang w:eastAsia="ja-JP"/>
        </w:rPr>
        <w:t>The requirements of paragraph 1.4.</w:t>
      </w:r>
      <w:proofErr w:type="gramEnd"/>
      <w:r w:rsidRPr="00522933">
        <w:rPr>
          <w:rFonts w:eastAsia="MS PGothic"/>
          <w:kern w:val="2"/>
          <w:lang w:eastAsia="ja-JP"/>
        </w:rPr>
        <w:t xml:space="preserve"> </w:t>
      </w:r>
      <w:proofErr w:type="gramStart"/>
      <w:r w:rsidRPr="00522933">
        <w:rPr>
          <w:rFonts w:eastAsia="MS PGothic"/>
          <w:kern w:val="2"/>
          <w:lang w:eastAsia="ja-JP"/>
        </w:rPr>
        <w:t>of</w:t>
      </w:r>
      <w:proofErr w:type="gramEnd"/>
      <w:r w:rsidRPr="00522933">
        <w:rPr>
          <w:rFonts w:eastAsia="MS PGothic"/>
          <w:kern w:val="2"/>
          <w:lang w:eastAsia="ja-JP"/>
        </w:rPr>
        <w:t xml:space="preserve"> Annex 3 shall be applied.</w:t>
      </w:r>
    </w:p>
    <w:p w:rsidR="008D38B7" w:rsidRPr="00522933" w:rsidRDefault="008D38B7" w:rsidP="008D38B7">
      <w:pPr>
        <w:widowControl w:val="0"/>
        <w:suppressAutoHyphens w:val="0"/>
        <w:snapToGrid w:val="0"/>
        <w:spacing w:after="120"/>
        <w:ind w:left="2268" w:right="1134"/>
        <w:jc w:val="both"/>
        <w:rPr>
          <w:rFonts w:eastAsia="MS PGothic"/>
          <w:kern w:val="2"/>
          <w:lang w:eastAsia="ja-JP"/>
        </w:rPr>
      </w:pPr>
      <w:r w:rsidRPr="00522933">
        <w:rPr>
          <w:rFonts w:eastAsia="MS PGothic"/>
          <w:kern w:val="2"/>
          <w:lang w:eastAsia="ja-JP"/>
        </w:rPr>
        <w:t xml:space="preserve">In addition the engine speed </w:t>
      </w:r>
      <w:r w:rsidRPr="00940736">
        <w:rPr>
          <w:rFonts w:eastAsia="MS PGothic"/>
          <w:bCs/>
          <w:kern w:val="2"/>
          <w:lang w:eastAsia="ja-JP"/>
        </w:rPr>
        <w:t>values</w:t>
      </w:r>
      <w:r w:rsidRPr="00522933">
        <w:rPr>
          <w:rFonts w:eastAsia="MS PGothic"/>
          <w:kern w:val="2"/>
          <w:lang w:eastAsia="ja-JP"/>
        </w:rPr>
        <w:t xml:space="preserve"> at AA', BB', and PP' in units of min</w:t>
      </w:r>
      <w:r w:rsidRPr="00B271F8">
        <w:rPr>
          <w:rFonts w:eastAsia="MS PGothic"/>
          <w:kern w:val="2"/>
          <w:vertAlign w:val="superscript"/>
          <w:lang w:eastAsia="ja-JP"/>
        </w:rPr>
        <w:t>-1</w:t>
      </w:r>
      <w:r w:rsidRPr="00522933">
        <w:rPr>
          <w:rFonts w:eastAsia="MS PGothic"/>
          <w:kern w:val="2"/>
          <w:lang w:eastAsia="ja-JP"/>
        </w:rPr>
        <w:t xml:space="preserve"> shall be mathematically rounded to the nearest integer for further calculations. For a given test condition the three individual engine speeds shall be averaged arithmetically.</w:t>
      </w:r>
    </w:p>
    <w:p w:rsidR="008D38B7" w:rsidRDefault="008D38B7" w:rsidP="008D38B7">
      <w:pPr>
        <w:widowControl w:val="0"/>
        <w:suppressAutoHyphens w:val="0"/>
        <w:snapToGrid w:val="0"/>
        <w:spacing w:after="120"/>
        <w:ind w:left="2268" w:right="1134"/>
        <w:jc w:val="both"/>
        <w:rPr>
          <w:rFonts w:eastAsia="MS PGothic"/>
          <w:kern w:val="2"/>
          <w:lang w:eastAsia="ja-JP"/>
        </w:rPr>
      </w:pPr>
      <w:r w:rsidRPr="00C212FC">
        <w:rPr>
          <w:rFonts w:eastAsia="Arial Unicode MS"/>
          <w:snapToGrid w:val="0"/>
        </w:rPr>
        <w:t xml:space="preserve">The final sound pressure levels for the full throttle acceleration shall not exceed the limits </w:t>
      </w:r>
      <w:r w:rsidRPr="00C212FC">
        <w:rPr>
          <w:rFonts w:eastAsia="Arial Unicode MS"/>
        </w:rPr>
        <w:t xml:space="preserve">specified in </w:t>
      </w:r>
      <w:r w:rsidRPr="00C212FC">
        <w:t xml:space="preserve">paragraph </w:t>
      </w:r>
      <w:r w:rsidRPr="00C212FC">
        <w:rPr>
          <w:rFonts w:eastAsia="Arial Unicode MS"/>
        </w:rPr>
        <w:t xml:space="preserve">2.6. </w:t>
      </w:r>
      <w:proofErr w:type="gramStart"/>
      <w:r w:rsidRPr="00C212FC">
        <w:rPr>
          <w:rFonts w:eastAsia="Arial Unicode MS"/>
        </w:rPr>
        <w:t>above</w:t>
      </w:r>
      <w:proofErr w:type="gramEnd"/>
      <w:r w:rsidRPr="00C212FC">
        <w:rPr>
          <w:rFonts w:eastAsia="Arial Unicode MS"/>
        </w:rPr>
        <w:t>.</w:t>
      </w:r>
      <w:r w:rsidRPr="00522933">
        <w:rPr>
          <w:rFonts w:eastAsia="MS PGothic"/>
          <w:kern w:val="2"/>
          <w:lang w:eastAsia="ja-JP"/>
        </w:rPr>
        <w:t>"</w:t>
      </w:r>
    </w:p>
    <w:p w:rsidR="008D38B7" w:rsidRPr="00D03101" w:rsidRDefault="008D38B7" w:rsidP="008D38B7">
      <w:pPr>
        <w:spacing w:before="240"/>
        <w:ind w:left="1134" w:right="1134"/>
        <w:jc w:val="center"/>
        <w:rPr>
          <w:u w:val="single"/>
        </w:rPr>
      </w:pPr>
      <w:r>
        <w:rPr>
          <w:u w:val="single"/>
        </w:rPr>
        <w:tab/>
      </w:r>
      <w:r>
        <w:rPr>
          <w:u w:val="single"/>
        </w:rPr>
        <w:tab/>
      </w:r>
      <w:r>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B7" w:rsidRDefault="008D38B7"/>
  </w:endnote>
  <w:endnote w:type="continuationSeparator" w:id="0">
    <w:p w:rsidR="008D38B7" w:rsidRDefault="008D38B7"/>
  </w:endnote>
  <w:endnote w:type="continuationNotice" w:id="1">
    <w:p w:rsidR="008D38B7" w:rsidRDefault="008D3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D382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D3823">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B11675" w:rsidRDefault="00B701B3" w:rsidP="00B1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B7" w:rsidRPr="000B175B" w:rsidRDefault="008D38B7" w:rsidP="000B175B">
      <w:pPr>
        <w:tabs>
          <w:tab w:val="right" w:pos="2155"/>
        </w:tabs>
        <w:spacing w:after="80"/>
        <w:ind w:left="680"/>
        <w:rPr>
          <w:u w:val="single"/>
        </w:rPr>
      </w:pPr>
      <w:r>
        <w:rPr>
          <w:u w:val="single"/>
        </w:rPr>
        <w:tab/>
      </w:r>
    </w:p>
  </w:footnote>
  <w:footnote w:type="continuationSeparator" w:id="0">
    <w:p w:rsidR="008D38B7" w:rsidRPr="00FC68B7" w:rsidRDefault="008D38B7" w:rsidP="00FC68B7">
      <w:pPr>
        <w:tabs>
          <w:tab w:val="left" w:pos="2155"/>
        </w:tabs>
        <w:spacing w:after="80"/>
        <w:ind w:left="680"/>
        <w:rPr>
          <w:u w:val="single"/>
        </w:rPr>
      </w:pPr>
      <w:r>
        <w:rPr>
          <w:u w:val="single"/>
        </w:rPr>
        <w:tab/>
      </w:r>
    </w:p>
  </w:footnote>
  <w:footnote w:type="continuationNotice" w:id="1">
    <w:p w:rsidR="008D38B7" w:rsidRDefault="008D38B7"/>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8D38B7">
    <w:pPr>
      <w:pStyle w:val="Header"/>
    </w:pPr>
    <w:r w:rsidRPr="00D623A7">
      <w:t>E/</w:t>
    </w:r>
    <w:proofErr w:type="spellStart"/>
    <w:r w:rsidRPr="00D623A7">
      <w:t>ECE</w:t>
    </w:r>
    <w:proofErr w:type="spellEnd"/>
    <w:r w:rsidRPr="00D623A7">
      <w:t>/324</w:t>
    </w:r>
    <w:r w:rsidR="008D38B7">
      <w:t>/Rev.1/</w:t>
    </w:r>
    <w:r w:rsidR="008D38B7" w:rsidRPr="0063785D">
      <w:t>Add.40/Rev.2/Amend.3</w:t>
    </w:r>
    <w:r>
      <w:br/>
    </w:r>
    <w:r w:rsidRPr="00D623A7">
      <w:t>E/</w:t>
    </w:r>
    <w:proofErr w:type="spellStart"/>
    <w:r w:rsidRPr="00D623A7">
      <w:t>ECE</w:t>
    </w:r>
    <w:proofErr w:type="spellEnd"/>
    <w:r w:rsidRPr="00D623A7">
      <w:t>/TRANS/505</w:t>
    </w:r>
    <w:r w:rsidR="008D38B7">
      <w:t>/Rev.1/</w:t>
    </w:r>
    <w:r w:rsidR="008D38B7" w:rsidRPr="0063785D">
      <w:t>Add.40/Rev.2/Amend.3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8D38B7" w:rsidP="00776D12">
    <w:pPr>
      <w:pStyle w:val="Header"/>
      <w:jc w:val="right"/>
    </w:pPr>
    <w:r w:rsidRPr="00D623A7">
      <w:t>E/</w:t>
    </w:r>
    <w:proofErr w:type="spellStart"/>
    <w:r w:rsidRPr="00D623A7">
      <w:t>ECE</w:t>
    </w:r>
    <w:proofErr w:type="spellEnd"/>
    <w:r w:rsidRPr="00D623A7">
      <w:t>/324</w:t>
    </w:r>
    <w:r>
      <w:t>/Rev.1/</w:t>
    </w:r>
    <w:r w:rsidRPr="0063785D">
      <w:t>Add.40/Rev.2/Amend.3</w:t>
    </w:r>
    <w:r>
      <w:br/>
    </w:r>
    <w:r w:rsidRPr="00D623A7">
      <w:t>E/</w:t>
    </w:r>
    <w:proofErr w:type="spellStart"/>
    <w:r w:rsidRPr="00D623A7">
      <w:t>ECE</w:t>
    </w:r>
    <w:proofErr w:type="spellEnd"/>
    <w:r w:rsidRPr="00D623A7">
      <w:t>/TRANS/505</w:t>
    </w:r>
    <w:r>
      <w:t>/Rev.1/</w:t>
    </w:r>
    <w:r w:rsidRPr="0063785D">
      <w:t>Add.40/Rev.2/Amend.3</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8E" w:rsidRDefault="00346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8B7"/>
    <w:rsid w:val="00006632"/>
    <w:rsid w:val="00050F6B"/>
    <w:rsid w:val="00072C8C"/>
    <w:rsid w:val="000931C0"/>
    <w:rsid w:val="000B175B"/>
    <w:rsid w:val="000B3A0F"/>
    <w:rsid w:val="000D3A4F"/>
    <w:rsid w:val="000E0415"/>
    <w:rsid w:val="001220B8"/>
    <w:rsid w:val="00134B40"/>
    <w:rsid w:val="001352D9"/>
    <w:rsid w:val="00165E82"/>
    <w:rsid w:val="001A7912"/>
    <w:rsid w:val="001B4B04"/>
    <w:rsid w:val="001C6663"/>
    <w:rsid w:val="001C7895"/>
    <w:rsid w:val="001D26DF"/>
    <w:rsid w:val="00211E0B"/>
    <w:rsid w:val="002405A7"/>
    <w:rsid w:val="00271A7F"/>
    <w:rsid w:val="002A1E3A"/>
    <w:rsid w:val="003107FA"/>
    <w:rsid w:val="00312E48"/>
    <w:rsid w:val="003229D8"/>
    <w:rsid w:val="0033745A"/>
    <w:rsid w:val="0034698E"/>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D38B7"/>
    <w:rsid w:val="008E0E46"/>
    <w:rsid w:val="00907AD2"/>
    <w:rsid w:val="00963CBA"/>
    <w:rsid w:val="00974A8D"/>
    <w:rsid w:val="00991261"/>
    <w:rsid w:val="009F3A17"/>
    <w:rsid w:val="00A1427D"/>
    <w:rsid w:val="00A41529"/>
    <w:rsid w:val="00A569D6"/>
    <w:rsid w:val="00A72F22"/>
    <w:rsid w:val="00A748A6"/>
    <w:rsid w:val="00A85956"/>
    <w:rsid w:val="00A879A4"/>
    <w:rsid w:val="00AD3823"/>
    <w:rsid w:val="00B11675"/>
    <w:rsid w:val="00B271F8"/>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note text"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TotalTime>
  <Pages>3</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Rev.24</cp:lastModifiedBy>
  <cp:revision>6</cp:revision>
  <cp:lastPrinted>2016-02-04T14:39:00Z</cp:lastPrinted>
  <dcterms:created xsi:type="dcterms:W3CDTF">2015-08-28T09:34:00Z</dcterms:created>
  <dcterms:modified xsi:type="dcterms:W3CDTF">2016-02-04T14:39:00Z</dcterms:modified>
</cp:coreProperties>
</file>