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352" w:rsidRPr="00DB58B5" w:rsidRDefault="00481352" w:rsidP="00481352">
            <w:pPr>
              <w:jc w:val="right"/>
            </w:pPr>
            <w:bookmarkStart w:id="0" w:name="_GoBack"/>
            <w:bookmarkEnd w:id="0"/>
            <w:r w:rsidRPr="00481352">
              <w:rPr>
                <w:sz w:val="40"/>
              </w:rPr>
              <w:t>E</w:t>
            </w:r>
            <w:r>
              <w:t>/ECE/324/Rev.2/Add.122/Rev.2/Amend.2−</w:t>
            </w:r>
            <w:r w:rsidRPr="00481352">
              <w:rPr>
                <w:sz w:val="40"/>
              </w:rPr>
              <w:t>E</w:t>
            </w:r>
            <w:r>
              <w:t>/ECE/TRANS/505/Rev.2/Add.122/Rev.2/Amend.2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81352" w:rsidP="00457676">
            <w:pPr>
              <w:spacing w:before="480" w:line="240" w:lineRule="exact"/>
            </w:pPr>
            <w:r>
              <w:t>20 octobre 2014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481352">
        <w:t>’</w:t>
      </w:r>
      <w:r w:rsidR="00421A10" w:rsidRPr="00583D68">
        <w:t>adoption de prescriptions techniques uniformes applicables aux véhicules à roues, aux équipements et aux pièces susceptibles d</w:t>
      </w:r>
      <w:r w:rsidR="00481352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81352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81352">
        <w:t>122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81352">
        <w:t>123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81352">
        <w:t>2 − Amendement 2</w:t>
      </w:r>
    </w:p>
    <w:p w:rsidR="00421A10" w:rsidRPr="0029791D" w:rsidRDefault="00481352" w:rsidP="00481352">
      <w:pPr>
        <w:pStyle w:val="SingleTxtG"/>
        <w:spacing w:after="0"/>
      </w:pPr>
      <w:r w:rsidRPr="00944C35">
        <w:rPr>
          <w:spacing w:val="-2"/>
          <w:lang w:val="fr-FR"/>
        </w:rPr>
        <w:t>Complément 6 à la série 01 d</w:t>
      </w:r>
      <w:r>
        <w:rPr>
          <w:spacing w:val="-2"/>
          <w:lang w:val="fr-FR"/>
        </w:rPr>
        <w:t>’</w:t>
      </w:r>
      <w:r w:rsidRPr="00944C35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944C35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944C35">
        <w:rPr>
          <w:spacing w:val="-2"/>
          <w:lang w:val="fr-FR"/>
        </w:rPr>
        <w:t xml:space="preserve">entrée en vigueur: </w:t>
      </w:r>
      <w:r w:rsidRPr="00944C35">
        <w:rPr>
          <w:lang w:val="fr-FR"/>
        </w:rPr>
        <w:t>9 octobre 2014</w:t>
      </w:r>
    </w:p>
    <w:p w:rsidR="00481352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481352" w:rsidRPr="00944C35">
        <w:rPr>
          <w:lang w:val="fr-FR"/>
        </w:rPr>
        <w:t>concernant l</w:t>
      </w:r>
      <w:r w:rsidR="00481352">
        <w:rPr>
          <w:lang w:val="fr-FR"/>
        </w:rPr>
        <w:t>’</w:t>
      </w:r>
      <w:r w:rsidR="00481352" w:rsidRPr="00944C35">
        <w:rPr>
          <w:lang w:val="fr-FR"/>
        </w:rPr>
        <w:t>homologation des systèmes d</w:t>
      </w:r>
      <w:r w:rsidR="00481352">
        <w:rPr>
          <w:lang w:val="fr-FR"/>
        </w:rPr>
        <w:t>’</w:t>
      </w:r>
      <w:r w:rsidR="00481352" w:rsidRPr="00944C35">
        <w:rPr>
          <w:lang w:val="fr-FR"/>
        </w:rPr>
        <w:t>éclairage avant adaptatifs (</w:t>
      </w:r>
      <w:proofErr w:type="spellStart"/>
      <w:r w:rsidR="00481352" w:rsidRPr="00944C35">
        <w:rPr>
          <w:lang w:val="fr-FR"/>
        </w:rPr>
        <w:t>AFS</w:t>
      </w:r>
      <w:proofErr w:type="spellEnd"/>
      <w:r w:rsidR="00481352" w:rsidRPr="00944C35">
        <w:rPr>
          <w:lang w:val="fr-FR"/>
        </w:rPr>
        <w:t>) destinés aux véhicules automobiles</w:t>
      </w:r>
    </w:p>
    <w:p w:rsidR="00481352" w:rsidRPr="000F0670" w:rsidRDefault="00481352" w:rsidP="00481352">
      <w:pPr>
        <w:pStyle w:val="SingleTxtG"/>
        <w:keepNext/>
        <w:rPr>
          <w:lang w:val="fr-FR"/>
        </w:rPr>
      </w:pPr>
      <w:r>
        <w:br w:type="page"/>
      </w:r>
      <w:r w:rsidRPr="00481352">
        <w:rPr>
          <w:i/>
          <w:lang w:val="fr-FR"/>
        </w:rPr>
        <w:lastRenderedPageBreak/>
        <w:t>Paragraphe 6.2.5.2</w:t>
      </w:r>
      <w:r w:rsidRPr="000F0670">
        <w:rPr>
          <w:lang w:val="fr-FR"/>
        </w:rPr>
        <w:t xml:space="preserve">, </w:t>
      </w:r>
      <w:proofErr w:type="gramStart"/>
      <w:r w:rsidRPr="000F0670">
        <w:rPr>
          <w:lang w:val="fr-FR"/>
        </w:rPr>
        <w:t>supprimer</w:t>
      </w:r>
      <w:proofErr w:type="gramEnd"/>
      <w:r w:rsidRPr="000F0670">
        <w:rPr>
          <w:lang w:val="fr-FR"/>
        </w:rPr>
        <w:t>.</w:t>
      </w:r>
    </w:p>
    <w:p w:rsidR="00481352" w:rsidRPr="000F0670" w:rsidRDefault="00481352" w:rsidP="00481352">
      <w:pPr>
        <w:pStyle w:val="SingleTxtG"/>
        <w:rPr>
          <w:color w:val="000000"/>
          <w:lang w:val="fr-FR"/>
        </w:rPr>
      </w:pPr>
      <w:r w:rsidRPr="000F0670">
        <w:rPr>
          <w:i/>
          <w:color w:val="000000"/>
          <w:lang w:val="fr-FR"/>
        </w:rPr>
        <w:t>Les paragrap</w:t>
      </w:r>
      <w:r>
        <w:rPr>
          <w:i/>
          <w:color w:val="000000"/>
          <w:lang w:val="fr-FR"/>
        </w:rPr>
        <w:t>hes </w:t>
      </w:r>
      <w:r w:rsidRPr="000F0670">
        <w:rPr>
          <w:i/>
          <w:color w:val="000000"/>
          <w:lang w:val="fr-FR"/>
        </w:rPr>
        <w:t xml:space="preserve">6.2.5.3 à 6.2.5.5.1 (anciens) </w:t>
      </w:r>
      <w:r w:rsidRPr="000F0670">
        <w:rPr>
          <w:color w:val="000000"/>
          <w:lang w:val="fr-FR"/>
        </w:rPr>
        <w:t xml:space="preserve">deviennent les paragraphes 6.2.5.2 à 6.2.5.4.1. </w:t>
      </w:r>
    </w:p>
    <w:p w:rsidR="00481352" w:rsidRPr="000F0670" w:rsidRDefault="00481352" w:rsidP="00481352">
      <w:pPr>
        <w:pStyle w:val="SingleTxtG"/>
        <w:keepNext/>
        <w:rPr>
          <w:color w:val="000000"/>
          <w:lang w:val="fr-FR"/>
        </w:rPr>
      </w:pPr>
      <w:r w:rsidRPr="000F0670">
        <w:rPr>
          <w:i/>
          <w:color w:val="000000"/>
          <w:lang w:val="fr-FR"/>
        </w:rPr>
        <w:t>Paragraphe 6.3.4.1</w:t>
      </w:r>
      <w:r w:rsidRPr="00481352">
        <w:rPr>
          <w:color w:val="000000"/>
          <w:lang w:val="fr-FR"/>
        </w:rPr>
        <w:t>,</w:t>
      </w:r>
      <w:r w:rsidRPr="000F0670">
        <w:rPr>
          <w:color w:val="000000"/>
          <w:lang w:val="fr-FR"/>
        </w:rPr>
        <w:t xml:space="preserve"> </w:t>
      </w:r>
      <w:proofErr w:type="gramStart"/>
      <w:r w:rsidRPr="000F0670">
        <w:rPr>
          <w:color w:val="000000"/>
          <w:lang w:val="fr-FR"/>
        </w:rPr>
        <w:t>modifier</w:t>
      </w:r>
      <w:proofErr w:type="gramEnd"/>
      <w:r w:rsidRPr="000F0670">
        <w:rPr>
          <w:color w:val="000000"/>
          <w:lang w:val="fr-FR"/>
        </w:rPr>
        <w:t xml:space="preserve"> comme suit:</w:t>
      </w:r>
    </w:p>
    <w:p w:rsidR="00481352" w:rsidRPr="000F0670" w:rsidRDefault="00481352" w:rsidP="00481352">
      <w:pPr>
        <w:pStyle w:val="SingleTxtG"/>
        <w:ind w:left="2268" w:hanging="1134"/>
        <w:rPr>
          <w:color w:val="000000"/>
          <w:lang w:val="fr-FR"/>
        </w:rPr>
      </w:pPr>
      <w:r>
        <w:rPr>
          <w:color w:val="000000"/>
          <w:lang w:val="fr-FR"/>
        </w:rPr>
        <w:t>«6.3.4.1</w:t>
      </w:r>
      <w:r w:rsidRPr="000F0670">
        <w:rPr>
          <w:color w:val="000000"/>
          <w:lang w:val="fr-FR"/>
        </w:rPr>
        <w:tab/>
      </w:r>
      <w:r w:rsidRPr="000F0670">
        <w:rPr>
          <w:lang w:val="fr-FR"/>
        </w:rPr>
        <w:t>L</w:t>
      </w:r>
      <w:r>
        <w:rPr>
          <w:lang w:val="fr-FR"/>
        </w:rPr>
        <w:t>’</w:t>
      </w:r>
      <w:r w:rsidRPr="000F0670">
        <w:rPr>
          <w:lang w:val="fr-FR"/>
        </w:rPr>
        <w:t>unité ou les unités d</w:t>
      </w:r>
      <w:r>
        <w:rPr>
          <w:lang w:val="fr-FR"/>
        </w:rPr>
        <w:t>’</w:t>
      </w:r>
      <w:r w:rsidRPr="000F0670">
        <w:rPr>
          <w:lang w:val="fr-FR"/>
        </w:rPr>
        <w:t xml:space="preserve">éclairage du côté droit et du côté gauche fournissent </w:t>
      </w:r>
      <w:r w:rsidRPr="000F0670">
        <w:rPr>
          <w:bCs/>
          <w:lang w:val="fr-FR"/>
        </w:rPr>
        <w:t xml:space="preserve">chacune au moins 16 200 cd au point </w:t>
      </w:r>
      <w:proofErr w:type="spellStart"/>
      <w:r w:rsidRPr="000F0670">
        <w:rPr>
          <w:bCs/>
          <w:lang w:val="fr-FR"/>
        </w:rPr>
        <w:t>HV</w:t>
      </w:r>
      <w:proofErr w:type="spellEnd"/>
      <w:r w:rsidRPr="000F0670">
        <w:rPr>
          <w:bCs/>
          <w:lang w:val="fr-FR"/>
        </w:rPr>
        <w:t>.».</w:t>
      </w:r>
    </w:p>
    <w:p w:rsidR="00481352" w:rsidRPr="000F0670" w:rsidRDefault="00481352" w:rsidP="00481352">
      <w:pPr>
        <w:pStyle w:val="SingleTxtG"/>
        <w:keepNext/>
        <w:rPr>
          <w:i/>
          <w:color w:val="000000"/>
          <w:lang w:val="fr-FR"/>
        </w:rPr>
      </w:pPr>
      <w:r w:rsidRPr="000F0670">
        <w:rPr>
          <w:i/>
          <w:color w:val="000000"/>
          <w:lang w:val="fr-FR"/>
        </w:rPr>
        <w:t>Annexe 3</w:t>
      </w:r>
      <w:r w:rsidRPr="00481352">
        <w:rPr>
          <w:color w:val="000000"/>
          <w:lang w:val="fr-FR"/>
        </w:rPr>
        <w:t xml:space="preserve">, </w:t>
      </w:r>
    </w:p>
    <w:p w:rsidR="00481352" w:rsidRPr="000F0670" w:rsidRDefault="00481352" w:rsidP="00481352">
      <w:pPr>
        <w:pStyle w:val="SingleTxtG"/>
        <w:rPr>
          <w:color w:val="000000"/>
          <w:lang w:val="fr-FR"/>
        </w:rPr>
      </w:pPr>
      <w:r w:rsidRPr="000F0670">
        <w:rPr>
          <w:i/>
          <w:color w:val="000000"/>
          <w:lang w:val="fr-FR"/>
        </w:rPr>
        <w:t>Tableau 1</w:t>
      </w:r>
      <w:r w:rsidRPr="00481352">
        <w:rPr>
          <w:color w:val="000000"/>
          <w:lang w:val="fr-FR"/>
        </w:rPr>
        <w:t>,</w:t>
      </w:r>
      <w:r w:rsidRPr="000F0670">
        <w:rPr>
          <w:i/>
          <w:color w:val="000000"/>
          <w:lang w:val="fr-FR"/>
        </w:rPr>
        <w:t xml:space="preserve"> </w:t>
      </w:r>
      <w:r w:rsidRPr="000F0670">
        <w:rPr>
          <w:color w:val="000000"/>
          <w:lang w:val="fr-FR"/>
        </w:rPr>
        <w:t>supprimer la note</w:t>
      </w:r>
      <w:r>
        <w:rPr>
          <w:color w:val="000000"/>
          <w:lang w:val="fr-FR"/>
        </w:rPr>
        <w:t xml:space="preserve"> de bas de page </w:t>
      </w:r>
      <w:r w:rsidRPr="000F0670">
        <w:rPr>
          <w:color w:val="000000"/>
          <w:lang w:val="fr-FR"/>
        </w:rPr>
        <w:t>6 et l</w:t>
      </w:r>
      <w:r>
        <w:rPr>
          <w:color w:val="000000"/>
          <w:lang w:val="fr-FR"/>
        </w:rPr>
        <w:t>’</w:t>
      </w:r>
      <w:r w:rsidRPr="000F0670">
        <w:rPr>
          <w:color w:val="000000"/>
          <w:lang w:val="fr-FR"/>
        </w:rPr>
        <w:t xml:space="preserve">appel de </w:t>
      </w:r>
      <w:proofErr w:type="spellStart"/>
      <w:r w:rsidRPr="000F0670">
        <w:rPr>
          <w:color w:val="000000"/>
          <w:lang w:val="fr-FR"/>
        </w:rPr>
        <w:t>note</w:t>
      </w:r>
      <w:proofErr w:type="spellEnd"/>
      <w:r w:rsidRPr="000F0670">
        <w:rPr>
          <w:color w:val="000000"/>
          <w:lang w:val="fr-FR"/>
        </w:rPr>
        <w:t xml:space="preserve"> correspondant et renuméroter les notes de bas de page suivantes en conséquence.</w:t>
      </w:r>
    </w:p>
    <w:p w:rsidR="00481352" w:rsidRPr="000F0670" w:rsidRDefault="00481352" w:rsidP="00481352">
      <w:pPr>
        <w:pStyle w:val="SingleTxtG"/>
        <w:keepNext/>
        <w:rPr>
          <w:i/>
          <w:color w:val="000000"/>
          <w:lang w:val="fr-FR"/>
        </w:rPr>
      </w:pPr>
      <w:r w:rsidRPr="000F0670">
        <w:rPr>
          <w:i/>
          <w:color w:val="000000"/>
          <w:lang w:val="fr-FR"/>
        </w:rPr>
        <w:t>Annexe 9</w:t>
      </w:r>
      <w:r w:rsidRPr="00481352">
        <w:rPr>
          <w:color w:val="000000"/>
          <w:lang w:val="fr-FR"/>
        </w:rPr>
        <w:t xml:space="preserve">, </w:t>
      </w:r>
    </w:p>
    <w:p w:rsidR="00481352" w:rsidRPr="000F0670" w:rsidRDefault="00481352" w:rsidP="00481352">
      <w:pPr>
        <w:pStyle w:val="SingleTxtG"/>
        <w:keepNext/>
        <w:rPr>
          <w:color w:val="000000"/>
          <w:lang w:val="fr-FR"/>
        </w:rPr>
      </w:pPr>
      <w:r w:rsidRPr="000F0670">
        <w:rPr>
          <w:i/>
          <w:color w:val="000000"/>
          <w:lang w:val="fr-FR"/>
        </w:rPr>
        <w:t>Paragraphe 1.8.1</w:t>
      </w:r>
      <w:r w:rsidRPr="00481352">
        <w:rPr>
          <w:color w:val="000000"/>
          <w:lang w:val="fr-FR"/>
        </w:rPr>
        <w:t>,</w:t>
      </w:r>
      <w:r w:rsidRPr="000F0670">
        <w:rPr>
          <w:i/>
          <w:color w:val="000000"/>
          <w:lang w:val="fr-FR"/>
        </w:rPr>
        <w:t xml:space="preserve"> </w:t>
      </w:r>
      <w:proofErr w:type="gramStart"/>
      <w:r w:rsidRPr="000F0670">
        <w:rPr>
          <w:color w:val="000000"/>
          <w:lang w:val="fr-FR"/>
        </w:rPr>
        <w:t>modifier</w:t>
      </w:r>
      <w:proofErr w:type="gramEnd"/>
      <w:r w:rsidRPr="000F0670">
        <w:rPr>
          <w:color w:val="000000"/>
          <w:lang w:val="fr-FR"/>
        </w:rPr>
        <w:t xml:space="preserve"> comme suit:</w:t>
      </w:r>
    </w:p>
    <w:p w:rsidR="00481352" w:rsidRPr="000F0670" w:rsidRDefault="00481352" w:rsidP="00481352">
      <w:pPr>
        <w:pStyle w:val="SingleTxtG"/>
        <w:ind w:left="2268" w:hanging="1134"/>
        <w:rPr>
          <w:bCs/>
          <w:color w:val="000000"/>
          <w:lang w:val="fr-FR"/>
        </w:rPr>
      </w:pPr>
      <w:r w:rsidRPr="000F0670">
        <w:rPr>
          <w:bCs/>
          <w:lang w:val="fr-FR"/>
        </w:rPr>
        <w:t>«1.8.1</w:t>
      </w:r>
      <w:r w:rsidRPr="000F0670">
        <w:rPr>
          <w:bCs/>
          <w:lang w:val="fr-FR"/>
        </w:rPr>
        <w:tab/>
      </w:r>
      <w:r w:rsidRPr="000F0670">
        <w:rPr>
          <w:lang w:val="fr-FR"/>
        </w:rPr>
        <w:t>Cependant, lorsque la prescription est spécifiée pour un seul côté, la division par deux ne s</w:t>
      </w:r>
      <w:r>
        <w:rPr>
          <w:lang w:val="fr-FR"/>
        </w:rPr>
        <w:t>’</w:t>
      </w:r>
      <w:r w:rsidRPr="000F0670">
        <w:rPr>
          <w:lang w:val="fr-FR"/>
        </w:rPr>
        <w:t>applique pas. C</w:t>
      </w:r>
      <w:r>
        <w:rPr>
          <w:lang w:val="fr-FR"/>
        </w:rPr>
        <w:t>’est le cas aux paragraphes </w:t>
      </w:r>
      <w:r w:rsidRPr="000F0670">
        <w:rPr>
          <w:bCs/>
          <w:lang w:val="fr-FR"/>
        </w:rPr>
        <w:t>6.2.5.2, 6.2.8.1, 6.3.2.1.1, 6.3.2.1.2, 6.3.4.1</w:t>
      </w:r>
      <w:r w:rsidRPr="000F0670">
        <w:rPr>
          <w:lang w:val="fr-FR"/>
        </w:rPr>
        <w:t>, 6.4.6 et à la note de bas de page 4 du tableau 1 de l</w:t>
      </w:r>
      <w:r>
        <w:rPr>
          <w:lang w:val="fr-FR"/>
        </w:rPr>
        <w:t>’</w:t>
      </w:r>
      <w:r w:rsidRPr="000F0670">
        <w:rPr>
          <w:lang w:val="fr-FR"/>
        </w:rPr>
        <w:t>annexe 3.».</w:t>
      </w:r>
    </w:p>
    <w:p w:rsidR="00481352" w:rsidRPr="000F0670" w:rsidRDefault="00481352" w:rsidP="00481352">
      <w:pPr>
        <w:pStyle w:val="SingleTxtG"/>
        <w:keepNext/>
        <w:rPr>
          <w:lang w:val="fr-FR"/>
        </w:rPr>
      </w:pPr>
      <w:r w:rsidRPr="000F0670">
        <w:rPr>
          <w:i/>
          <w:color w:val="000000"/>
          <w:lang w:val="fr-FR"/>
        </w:rPr>
        <w:t>Paragraphe 3.1.1.1</w:t>
      </w:r>
      <w:r w:rsidRPr="00481352">
        <w:rPr>
          <w:color w:val="000000"/>
          <w:lang w:val="fr-FR"/>
        </w:rPr>
        <w:t>,</w:t>
      </w:r>
      <w:r w:rsidRPr="000F0670">
        <w:rPr>
          <w:color w:val="000000"/>
          <w:lang w:val="fr-FR"/>
        </w:rPr>
        <w:t xml:space="preserve"> </w:t>
      </w:r>
      <w:proofErr w:type="gramStart"/>
      <w:r w:rsidRPr="000F0670">
        <w:rPr>
          <w:color w:val="000000"/>
          <w:lang w:val="fr-FR"/>
        </w:rPr>
        <w:t>modifier</w:t>
      </w:r>
      <w:proofErr w:type="gramEnd"/>
      <w:r w:rsidRPr="000F0670">
        <w:rPr>
          <w:color w:val="000000"/>
          <w:lang w:val="fr-FR"/>
        </w:rPr>
        <w:t xml:space="preserve"> comme suit:</w:t>
      </w:r>
    </w:p>
    <w:p w:rsidR="00481352" w:rsidRPr="000F0670" w:rsidRDefault="00481352" w:rsidP="00481352">
      <w:pPr>
        <w:pStyle w:val="SingleTxtG"/>
        <w:ind w:left="2268" w:hanging="1134"/>
        <w:rPr>
          <w:bCs/>
          <w:lang w:val="fr-FR"/>
        </w:rPr>
      </w:pPr>
      <w:r w:rsidRPr="000F0670">
        <w:rPr>
          <w:bCs/>
          <w:lang w:val="fr-FR"/>
        </w:rPr>
        <w:t>«3.1.1.1</w:t>
      </w:r>
      <w:r w:rsidRPr="000F0670">
        <w:rPr>
          <w:bCs/>
          <w:lang w:val="fr-FR"/>
        </w:rPr>
        <w:tab/>
      </w:r>
      <w:r w:rsidRPr="000F0670">
        <w:rPr>
          <w:lang w:val="fr-FR"/>
        </w:rPr>
        <w:t>La conformité avec les prescriptions des paragraphes 6.2.5.2 et 6.2.5.4.1 du présent Règlement doit être vérifiée pour les modes d</w:t>
      </w:r>
      <w:r>
        <w:rPr>
          <w:lang w:val="fr-FR"/>
        </w:rPr>
        <w:t>’</w:t>
      </w:r>
      <w:r w:rsidRPr="000F0670">
        <w:rPr>
          <w:lang w:val="fr-FR"/>
        </w:rPr>
        <w:t>éclairage en virage des catégories 1 et 2, sans nouvelle réorientation horizontale.».</w:t>
      </w:r>
    </w:p>
    <w:p w:rsidR="00481352" w:rsidRPr="000F0670" w:rsidRDefault="00481352" w:rsidP="00481352">
      <w:pPr>
        <w:pStyle w:val="SingleTxtG"/>
        <w:keepNext/>
        <w:rPr>
          <w:i/>
          <w:iCs/>
          <w:lang w:val="fr-FR"/>
        </w:rPr>
      </w:pPr>
      <w:r w:rsidRPr="000F0670">
        <w:rPr>
          <w:i/>
          <w:iCs/>
          <w:lang w:val="fr-FR"/>
        </w:rPr>
        <w:t>Annexe 11</w:t>
      </w:r>
      <w:r w:rsidRPr="00481352">
        <w:rPr>
          <w:iCs/>
          <w:lang w:val="fr-FR"/>
        </w:rPr>
        <w:t xml:space="preserve">, </w:t>
      </w:r>
    </w:p>
    <w:p w:rsidR="00481352" w:rsidRPr="000F0670" w:rsidRDefault="00481352" w:rsidP="00481352">
      <w:pPr>
        <w:pStyle w:val="SingleTxtG"/>
        <w:keepNext/>
        <w:rPr>
          <w:lang w:val="fr-FR"/>
        </w:rPr>
      </w:pPr>
      <w:r w:rsidRPr="000F0670">
        <w:rPr>
          <w:i/>
          <w:iCs/>
          <w:lang w:val="fr-FR"/>
        </w:rPr>
        <w:t>Paragraphe 5</w:t>
      </w:r>
      <w:r w:rsidRPr="00481352">
        <w:rPr>
          <w:iCs/>
          <w:lang w:val="fr-FR"/>
        </w:rPr>
        <w:t>,</w:t>
      </w:r>
      <w:r w:rsidRPr="000F0670">
        <w:rPr>
          <w:lang w:val="fr-FR"/>
        </w:rPr>
        <w:t xml:space="preserve"> </w:t>
      </w:r>
      <w:proofErr w:type="gramStart"/>
      <w:r w:rsidRPr="000F0670">
        <w:rPr>
          <w:lang w:val="fr-FR"/>
        </w:rPr>
        <w:t>modifier</w:t>
      </w:r>
      <w:proofErr w:type="gramEnd"/>
      <w:r w:rsidRPr="000F0670">
        <w:rPr>
          <w:lang w:val="fr-FR"/>
        </w:rPr>
        <w:t xml:space="preserve"> comme suit:</w:t>
      </w:r>
    </w:p>
    <w:p w:rsidR="00481352" w:rsidRPr="000F0670" w:rsidRDefault="00481352" w:rsidP="00481352">
      <w:pPr>
        <w:pStyle w:val="SingleTxtG"/>
        <w:ind w:left="2268" w:hanging="1134"/>
        <w:rPr>
          <w:lang w:val="fr-FR"/>
        </w:rPr>
      </w:pPr>
      <w:r w:rsidRPr="000F0670">
        <w:rPr>
          <w:lang w:val="fr-FR"/>
        </w:rPr>
        <w:t>«5.</w:t>
      </w:r>
      <w:r w:rsidRPr="000F0670">
        <w:rPr>
          <w:lang w:val="fr-FR"/>
        </w:rPr>
        <w:tab/>
        <w:t xml:space="preserve">La mesure du flux lumineux normal du ou des modules DEL produisant le faisceau de croisement </w:t>
      </w:r>
      <w:r>
        <w:rPr>
          <w:bCs/>
          <w:lang w:val="fr-FR"/>
        </w:rPr>
        <w:t>de classe </w:t>
      </w:r>
      <w:r w:rsidRPr="000F0670">
        <w:rPr>
          <w:bCs/>
          <w:lang w:val="fr-FR"/>
        </w:rPr>
        <w:t>C (de base)</w:t>
      </w:r>
      <w:r w:rsidRPr="000F0670">
        <w:rPr>
          <w:lang w:val="fr-FR"/>
        </w:rPr>
        <w:t xml:space="preserve"> doit être effectuée comme suit:».</w:t>
      </w:r>
    </w:p>
    <w:p w:rsidR="005F0207" w:rsidRPr="00481352" w:rsidRDefault="00481352" w:rsidP="004813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481352" w:rsidSect="004813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2E" w:rsidRDefault="0061482E"/>
  </w:endnote>
  <w:endnote w:type="continuationSeparator" w:id="0">
    <w:p w:rsidR="0061482E" w:rsidRDefault="0061482E">
      <w:pPr>
        <w:pStyle w:val="Footer"/>
      </w:pPr>
    </w:p>
  </w:endnote>
  <w:endnote w:type="continuationNotice" w:id="1">
    <w:p w:rsidR="0061482E" w:rsidRPr="00C451B9" w:rsidRDefault="0061482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2" w:rsidRPr="00481352" w:rsidRDefault="00481352" w:rsidP="00481352">
    <w:pPr>
      <w:pStyle w:val="Footer"/>
      <w:tabs>
        <w:tab w:val="right" w:pos="9638"/>
      </w:tabs>
    </w:pPr>
    <w:r w:rsidRPr="00481352">
      <w:rPr>
        <w:b/>
        <w:sz w:val="18"/>
      </w:rPr>
      <w:fldChar w:fldCharType="begin"/>
    </w:r>
    <w:r w:rsidRPr="00481352">
      <w:rPr>
        <w:b/>
        <w:sz w:val="18"/>
      </w:rPr>
      <w:instrText xml:space="preserve"> PAGE  \* MERGEFORMAT </w:instrText>
    </w:r>
    <w:r w:rsidRPr="00481352">
      <w:rPr>
        <w:b/>
        <w:sz w:val="18"/>
      </w:rPr>
      <w:fldChar w:fldCharType="separate"/>
    </w:r>
    <w:r w:rsidR="00BD22DE">
      <w:rPr>
        <w:b/>
        <w:noProof/>
        <w:sz w:val="18"/>
      </w:rPr>
      <w:t>2</w:t>
    </w:r>
    <w:r w:rsidRPr="00481352">
      <w:rPr>
        <w:b/>
        <w:sz w:val="18"/>
      </w:rPr>
      <w:fldChar w:fldCharType="end"/>
    </w:r>
    <w:r>
      <w:rPr>
        <w:b/>
        <w:sz w:val="18"/>
      </w:rPr>
      <w:tab/>
    </w:r>
    <w:r>
      <w:t>GE.14-18853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2" w:rsidRPr="00481352" w:rsidRDefault="00481352" w:rsidP="00481352">
    <w:pPr>
      <w:pStyle w:val="Footer"/>
      <w:tabs>
        <w:tab w:val="right" w:pos="9638"/>
      </w:tabs>
      <w:rPr>
        <w:b/>
        <w:sz w:val="18"/>
      </w:rPr>
    </w:pPr>
    <w:r>
      <w:t>GE.14-18853</w:t>
    </w:r>
    <w:r>
      <w:tab/>
    </w:r>
    <w:r w:rsidRPr="00481352">
      <w:rPr>
        <w:b/>
        <w:sz w:val="18"/>
      </w:rPr>
      <w:fldChar w:fldCharType="begin"/>
    </w:r>
    <w:r w:rsidRPr="00481352">
      <w:rPr>
        <w:b/>
        <w:sz w:val="18"/>
      </w:rPr>
      <w:instrText xml:space="preserve"> PAGE  \* MERGEFORMAT </w:instrText>
    </w:r>
    <w:r w:rsidRPr="004813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813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A361A9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361A9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481352" w:rsidRDefault="00481352" w:rsidP="00481352">
    <w:pPr>
      <w:pStyle w:val="Footer"/>
      <w:spacing w:before="120"/>
      <w:rPr>
        <w:sz w:val="20"/>
      </w:rPr>
    </w:pPr>
    <w:r>
      <w:rPr>
        <w:sz w:val="20"/>
      </w:rPr>
      <w:t>GE.14-18853  (F)    090415    090415</w:t>
    </w:r>
    <w:r>
      <w:rPr>
        <w:sz w:val="20"/>
      </w:rPr>
      <w:br/>
    </w:r>
    <w:r w:rsidRPr="00481352">
      <w:rPr>
        <w:rFonts w:ascii="C39T30Lfz" w:hAnsi="C39T30Lfz"/>
        <w:sz w:val="56"/>
      </w:rPr>
      <w:t></w:t>
    </w:r>
    <w:r w:rsidRPr="00481352">
      <w:rPr>
        <w:rFonts w:ascii="C39T30Lfz" w:hAnsi="C39T30Lfz"/>
        <w:sz w:val="56"/>
      </w:rPr>
      <w:t></w:t>
    </w:r>
    <w:r w:rsidRPr="00481352">
      <w:rPr>
        <w:rFonts w:ascii="C39T30Lfz" w:hAnsi="C39T30Lfz"/>
        <w:sz w:val="56"/>
      </w:rPr>
      <w:t></w:t>
    </w:r>
    <w:r w:rsidRPr="00481352">
      <w:rPr>
        <w:rFonts w:ascii="C39T30Lfz" w:hAnsi="C39T30Lfz"/>
        <w:sz w:val="56"/>
      </w:rPr>
      <w:t></w:t>
    </w:r>
    <w:r w:rsidRPr="00481352">
      <w:rPr>
        <w:rFonts w:ascii="C39T30Lfz" w:hAnsi="C39T30Lfz"/>
        <w:sz w:val="56"/>
      </w:rPr>
      <w:t></w:t>
    </w:r>
    <w:r w:rsidRPr="00481352">
      <w:rPr>
        <w:rFonts w:ascii="C39T30Lfz" w:hAnsi="C39T30Lfz"/>
        <w:sz w:val="56"/>
      </w:rPr>
      <w:t></w:t>
    </w:r>
    <w:r w:rsidRPr="00481352">
      <w:rPr>
        <w:rFonts w:ascii="C39T30Lfz" w:hAnsi="C39T30Lfz"/>
        <w:sz w:val="56"/>
      </w:rPr>
      <w:t></w:t>
    </w:r>
    <w:r w:rsidRPr="00481352">
      <w:rPr>
        <w:rFonts w:ascii="C39T30Lfz" w:hAnsi="C39T30Lfz"/>
        <w:sz w:val="56"/>
      </w:rPr>
      <w:t></w:t>
    </w:r>
    <w:r w:rsidRPr="00481352">
      <w:rPr>
        <w:rFonts w:ascii="C39T30Lfz" w:hAnsi="C39T30Lfz"/>
        <w:sz w:val="56"/>
      </w:rPr>
      <w:t></w:t>
    </w:r>
    <w:r w:rsidR="00A361A9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2/Add.122/Rev.2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2/Add.122/Rev.2/Amend.2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2E" w:rsidRPr="00D27D5E" w:rsidRDefault="0061482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482E" w:rsidRPr="00D171D4" w:rsidRDefault="0061482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1482E" w:rsidRPr="00C451B9" w:rsidRDefault="0061482E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2" w:rsidRPr="00481352" w:rsidRDefault="00481352">
    <w:pPr>
      <w:pStyle w:val="Header"/>
    </w:pPr>
    <w:r>
      <w:t>E/</w:t>
    </w:r>
    <w:proofErr w:type="spellStart"/>
    <w:r>
      <w:t>ECE</w:t>
    </w:r>
    <w:proofErr w:type="spellEnd"/>
    <w:r>
      <w:t>/324/Rev.2/Add.122/Rev.2/Amend.2</w:t>
    </w:r>
    <w:r>
      <w:br/>
      <w:t>E/</w:t>
    </w:r>
    <w:proofErr w:type="spellStart"/>
    <w:r>
      <w:t>ECE</w:t>
    </w:r>
    <w:proofErr w:type="spellEnd"/>
    <w:r>
      <w:t>/TRANS/505/Rev.2/Add.122/Rev.2/Amend.2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2" w:rsidRPr="00481352" w:rsidRDefault="00481352" w:rsidP="00481352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/324/Rev.2/Add.122/Rev.2/Amend.2</w:t>
    </w:r>
    <w:r>
      <w:br/>
      <w:t>E/</w:t>
    </w:r>
    <w:proofErr w:type="spellStart"/>
    <w:r>
      <w:t>ECE</w:t>
    </w:r>
    <w:proofErr w:type="spellEnd"/>
    <w:r>
      <w:t>/TRANS/505/Rev.2/Add.122/Rev.2/Amend.2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1352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482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1A9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2DE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51CC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BD2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2DE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BD2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2DE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E/ECE/324/Rev.2/Add.122/Rev.2/Amend.2−E/ECE/TRANS/505/Rev.2/Add.122/Rev.2/Amend.2</dc:title>
  <dc:creator>Granet</dc:creator>
  <cp:lastModifiedBy>01</cp:lastModifiedBy>
  <cp:revision>2</cp:revision>
  <cp:lastPrinted>2015-04-09T15:25:00Z</cp:lastPrinted>
  <dcterms:created xsi:type="dcterms:W3CDTF">2015-04-10T07:46:00Z</dcterms:created>
  <dcterms:modified xsi:type="dcterms:W3CDTF">2015-04-10T07:46:00Z</dcterms:modified>
</cp:coreProperties>
</file>