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496525">
            <w:pPr>
              <w:jc w:val="right"/>
            </w:pPr>
            <w:r w:rsidRPr="00495A7B">
              <w:rPr>
                <w:sz w:val="40"/>
              </w:rPr>
              <w:t>E</w:t>
            </w:r>
            <w:r>
              <w:t>/ECE/324/</w:t>
            </w:r>
            <w:r w:rsidR="000F17F6">
              <w:t>Rev.</w:t>
            </w:r>
            <w:r w:rsidR="00FC2CA9">
              <w:t>2</w:t>
            </w:r>
            <w:r w:rsidR="000F17F6">
              <w:t>/</w:t>
            </w:r>
            <w:r>
              <w:t>Add.</w:t>
            </w:r>
            <w:r w:rsidR="00FC2CA9">
              <w:t>1</w:t>
            </w:r>
            <w:r w:rsidR="00496525">
              <w:t>20</w:t>
            </w:r>
            <w:r>
              <w:t>/Rev.</w:t>
            </w:r>
            <w:r w:rsidR="00FC2CA9">
              <w:t>1</w:t>
            </w:r>
            <w:r>
              <w:t>/Amend.</w:t>
            </w:r>
            <w:r w:rsidR="00496525">
              <w:t>5</w:t>
            </w:r>
            <w:r>
              <w:t>−</w:t>
            </w:r>
            <w:r w:rsidRPr="00495A7B">
              <w:rPr>
                <w:sz w:val="40"/>
              </w:rPr>
              <w:t>E</w:t>
            </w:r>
            <w:r>
              <w:t>/ECE/TRANS/505</w:t>
            </w:r>
            <w:r w:rsidR="00496525">
              <w:t>/Rev.2/Add.120/Rev.1/Amend.5</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C05712" w:rsidRPr="00DB58B5" w:rsidRDefault="00351FF6" w:rsidP="00495A7B">
            <w:pPr>
              <w:spacing w:before="480" w:line="240" w:lineRule="exact"/>
            </w:pPr>
            <w:r>
              <w:t>22</w:t>
            </w:r>
            <w:bookmarkStart w:id="0" w:name="_GoBack"/>
            <w:bookmarkEnd w:id="0"/>
            <w:r w:rsidR="00C05712">
              <w:t xml:space="preserve"> juin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42268">
      <w:pPr>
        <w:pStyle w:val="HChG"/>
        <w:spacing w:before="200" w:after="100" w:line="260" w:lineRule="exact"/>
      </w:pPr>
      <w:r>
        <w:tab/>
      </w:r>
      <w:r>
        <w:tab/>
      </w:r>
      <w:r w:rsidR="00421A10" w:rsidRPr="006549FF">
        <w:t xml:space="preserve">Additif </w:t>
      </w:r>
      <w:r w:rsidR="00496525">
        <w:t>120</w:t>
      </w:r>
      <w:r w:rsidR="00421A10" w:rsidRPr="006549FF">
        <w:t>: Règlement</w:t>
      </w:r>
      <w:r w:rsidR="00421A10">
        <w:t xml:space="preserve"> </w:t>
      </w:r>
      <w:r w:rsidR="00421A10" w:rsidRPr="00B371BF">
        <w:t>n</w:t>
      </w:r>
      <w:r w:rsidR="00421A10" w:rsidRPr="00B371BF">
        <w:rPr>
          <w:vertAlign w:val="superscript"/>
        </w:rPr>
        <w:t>o</w:t>
      </w:r>
      <w:r w:rsidR="00421A10">
        <w:t> </w:t>
      </w:r>
      <w:r w:rsidR="00496525">
        <w:t>121</w:t>
      </w:r>
    </w:p>
    <w:p w:rsidR="00421A10" w:rsidRPr="006549FF" w:rsidRDefault="0029791D" w:rsidP="00242268">
      <w:pPr>
        <w:pStyle w:val="H1G"/>
        <w:spacing w:before="220" w:after="100" w:line="240" w:lineRule="exact"/>
      </w:pPr>
      <w:r>
        <w:tab/>
      </w:r>
      <w:r>
        <w:tab/>
      </w:r>
      <w:r w:rsidR="00421A10" w:rsidRPr="006549FF">
        <w:t xml:space="preserve">Révision </w:t>
      </w:r>
      <w:r w:rsidR="00496525">
        <w:t>1</w:t>
      </w:r>
      <w:r w:rsidR="000314C7">
        <w:t xml:space="preserve"> − Amendement </w:t>
      </w:r>
      <w:r w:rsidR="00496525">
        <w:t>5</w:t>
      </w:r>
    </w:p>
    <w:p w:rsidR="00015650" w:rsidRPr="00FC2CA9" w:rsidRDefault="00496525" w:rsidP="00242268">
      <w:pPr>
        <w:pStyle w:val="SingleTxtG"/>
        <w:spacing w:after="100" w:line="200" w:lineRule="atLeast"/>
        <w:jc w:val="left"/>
        <w:rPr>
          <w:spacing w:val="-2"/>
        </w:rPr>
      </w:pPr>
      <w:r>
        <w:rPr>
          <w:spacing w:val="-2"/>
        </w:rPr>
        <w:t>S</w:t>
      </w:r>
      <w:r w:rsidR="00EF5EBC">
        <w:rPr>
          <w:spacing w:val="-2"/>
        </w:rPr>
        <w:t xml:space="preserve">érie </w:t>
      </w:r>
      <w:r>
        <w:rPr>
          <w:spacing w:val="-2"/>
        </w:rPr>
        <w:t>01</w:t>
      </w:r>
      <w:r w:rsidR="00EF5EBC">
        <w:rPr>
          <w:spacing w:val="-2"/>
        </w:rPr>
        <w:t xml:space="preserve"> d'amendements a</w:t>
      </w:r>
      <w:r w:rsidR="00FC2CA9" w:rsidRPr="00FC2CA9">
        <w:rPr>
          <w:spacing w:val="-2"/>
        </w:rPr>
        <w:t>u</w:t>
      </w:r>
      <w:r w:rsidR="00015650" w:rsidRPr="00FC2CA9">
        <w:rPr>
          <w:spacing w:val="-2"/>
        </w:rPr>
        <w:t xml:space="preserve"> Règlement − Date d’entrée en vigueur: 15 jui</w:t>
      </w:r>
      <w:r w:rsidR="00A92017" w:rsidRPr="00FC2CA9">
        <w:rPr>
          <w:spacing w:val="-2"/>
        </w:rPr>
        <w:t>n 2015</w:t>
      </w:r>
      <w:r w:rsidR="00015650" w:rsidRPr="00FC2CA9">
        <w:rPr>
          <w:spacing w:val="-2"/>
        </w:rPr>
        <w:t xml:space="preserve"> </w:t>
      </w:r>
    </w:p>
    <w:p w:rsidR="00DD1ED8" w:rsidRPr="00496525" w:rsidRDefault="00DD1ED8" w:rsidP="00242268">
      <w:pPr>
        <w:pStyle w:val="H1G"/>
        <w:spacing w:line="260" w:lineRule="exact"/>
        <w:rPr>
          <w:spacing w:val="-2"/>
          <w:szCs w:val="24"/>
        </w:rPr>
      </w:pPr>
      <w:r>
        <w:tab/>
      </w:r>
      <w:r>
        <w:tab/>
      </w:r>
      <w:r w:rsidR="00496525" w:rsidRPr="00496525">
        <w:rPr>
          <w:bCs/>
          <w:szCs w:val="24"/>
          <w:lang w:val="fr-FR"/>
        </w:rPr>
        <w:t>Prescriptions uniformes relatives à l’homologation des véhicules en ce qui concerne l’emplacement et les moyens d’identification des commandes manuelles, des témoins et des indicateurs</w:t>
      </w:r>
    </w:p>
    <w:p w:rsidR="00FA7CC9" w:rsidRDefault="001D3393" w:rsidP="00FA7CC9">
      <w:pPr>
        <w:pStyle w:val="SingleTxtG"/>
        <w:spacing w:after="0"/>
        <w:rPr>
          <w:lang w:val="en-GB" w:eastAsia="en-GB"/>
        </w:rPr>
      </w:pPr>
      <w:r w:rsidRPr="001D3393">
        <w:rPr>
          <w:lang w:val="en-GB" w:eastAsia="en-GB"/>
        </w:rPr>
        <w:t>Ce document constitue un outil de documentation. Le</w:t>
      </w:r>
      <w:r w:rsidR="00FA7CC9">
        <w:rPr>
          <w:lang w:val="en-GB" w:eastAsia="en-GB"/>
        </w:rPr>
        <w:t>s</w:t>
      </w:r>
      <w:r w:rsidRPr="001D3393">
        <w:rPr>
          <w:lang w:val="en-GB" w:eastAsia="en-GB"/>
        </w:rPr>
        <w:t xml:space="preserve"> texte</w:t>
      </w:r>
      <w:r w:rsidR="00FA7CC9">
        <w:rPr>
          <w:lang w:val="en-GB" w:eastAsia="en-GB"/>
        </w:rPr>
        <w:t>s</w:t>
      </w:r>
      <w:r w:rsidRPr="001D3393">
        <w:rPr>
          <w:lang w:val="en-GB" w:eastAsia="en-GB"/>
        </w:rPr>
        <w:t xml:space="preserve"> authentique</w:t>
      </w:r>
      <w:r w:rsidR="00FA7CC9">
        <w:rPr>
          <w:lang w:val="en-GB" w:eastAsia="en-GB"/>
        </w:rPr>
        <w:t>s</w:t>
      </w:r>
      <w:r w:rsidRPr="001D3393">
        <w:rPr>
          <w:lang w:val="en-GB" w:eastAsia="en-GB"/>
        </w:rPr>
        <w:t xml:space="preserve"> et contraignant</w:t>
      </w:r>
      <w:r w:rsidR="00FA7CC9">
        <w:rPr>
          <w:lang w:val="en-GB" w:eastAsia="en-GB"/>
        </w:rPr>
        <w:t>s</w:t>
      </w:r>
      <w:r w:rsidRPr="001D3393">
        <w:rPr>
          <w:lang w:val="en-GB" w:eastAsia="en-GB"/>
        </w:rPr>
        <w:t xml:space="preserve"> juridique</w:t>
      </w:r>
      <w:r w:rsidR="00FA7CC9">
        <w:rPr>
          <w:lang w:val="en-GB" w:eastAsia="en-GB"/>
        </w:rPr>
        <w:t>s sont:</w:t>
      </w:r>
    </w:p>
    <w:p w:rsidR="00FC2CA9" w:rsidRDefault="00FA7CC9" w:rsidP="00FA7CC9">
      <w:pPr>
        <w:pStyle w:val="SingleTxtG"/>
        <w:spacing w:after="0"/>
        <w:rPr>
          <w:lang w:val="en-GB" w:eastAsia="en-GB"/>
        </w:rPr>
      </w:pPr>
      <w:r>
        <w:rPr>
          <w:lang w:val="en-GB" w:eastAsia="en-GB"/>
        </w:rPr>
        <w:t>-</w:t>
      </w:r>
      <w:r>
        <w:rPr>
          <w:lang w:val="en-GB" w:eastAsia="en-GB"/>
        </w:rPr>
        <w:tab/>
      </w:r>
      <w:r w:rsidR="001D3393" w:rsidRPr="001D3393">
        <w:rPr>
          <w:lang w:val="en-GB" w:eastAsia="en-GB"/>
        </w:rPr>
        <w:t>ECE/TRANS/WP.29/201</w:t>
      </w:r>
      <w:r w:rsidR="00496525">
        <w:rPr>
          <w:lang w:val="en-GB" w:eastAsia="en-GB"/>
        </w:rPr>
        <w:t>2/30</w:t>
      </w:r>
    </w:p>
    <w:p w:rsidR="00FA7CC9" w:rsidRDefault="00FA7CC9" w:rsidP="00FA7CC9">
      <w:pPr>
        <w:pStyle w:val="SingleTxtG"/>
        <w:spacing w:after="0"/>
        <w:rPr>
          <w:lang w:val="en-GB" w:eastAsia="en-GB"/>
        </w:rPr>
      </w:pPr>
      <w:r>
        <w:rPr>
          <w:lang w:val="en-GB" w:eastAsia="en-GB"/>
        </w:rPr>
        <w:t>-</w:t>
      </w:r>
      <w:r>
        <w:rPr>
          <w:lang w:val="en-GB" w:eastAsia="en-GB"/>
        </w:rPr>
        <w:tab/>
      </w:r>
      <w:r w:rsidR="00496525" w:rsidRPr="001D3393">
        <w:rPr>
          <w:lang w:val="en-GB" w:eastAsia="en-GB"/>
        </w:rPr>
        <w:t>ECE/TRANS/WP.29/201</w:t>
      </w:r>
      <w:r w:rsidR="00496525">
        <w:rPr>
          <w:lang w:val="en-GB" w:eastAsia="en-GB"/>
        </w:rPr>
        <w:t>2/30/Corr.1</w:t>
      </w:r>
      <w:r w:rsidR="006B7914">
        <w:rPr>
          <w:lang w:val="en-GB" w:eastAsia="en-GB"/>
        </w:rPr>
        <w:t>.</w:t>
      </w:r>
    </w:p>
    <w:p w:rsidR="00496525" w:rsidRPr="00496525" w:rsidRDefault="00DD1ED8" w:rsidP="00496525">
      <w:pPr>
        <w:pStyle w:val="SingleTxtG"/>
        <w:rPr>
          <w:i/>
          <w:lang w:val="fr-FR"/>
        </w:rPr>
      </w:pPr>
      <w:r>
        <w:br w:type="page"/>
      </w:r>
      <w:r w:rsidR="00496525" w:rsidRPr="00496525">
        <w:rPr>
          <w:i/>
          <w:lang w:val="fr-FR"/>
        </w:rPr>
        <w:lastRenderedPageBreak/>
        <w:t>Paragraphe 4.2</w:t>
      </w:r>
      <w:r w:rsidR="00496525" w:rsidRPr="00496525">
        <w:rPr>
          <w:lang w:val="fr-FR"/>
        </w:rPr>
        <w:t>,</w:t>
      </w:r>
      <w:r w:rsidR="00496525" w:rsidRPr="00496525">
        <w:rPr>
          <w:i/>
          <w:lang w:val="fr-FR"/>
        </w:rPr>
        <w:t xml:space="preserve"> </w:t>
      </w:r>
      <w:r w:rsidR="00496525" w:rsidRPr="00496525">
        <w:rPr>
          <w:lang w:val="fr-FR"/>
        </w:rPr>
        <w:t>remplacer «dans le cas présent 00 pour le Règlement sous sa forme initiale» par «actuellement 01 pour la série 01 d’amendements au présent Règlement».</w:t>
      </w:r>
    </w:p>
    <w:p w:rsidR="00496525" w:rsidRPr="00496525" w:rsidRDefault="00496525" w:rsidP="00496525">
      <w:pPr>
        <w:spacing w:after="120"/>
        <w:ind w:left="1134" w:right="1134"/>
        <w:jc w:val="both"/>
        <w:rPr>
          <w:i/>
          <w:lang w:val="fr-FR"/>
        </w:rPr>
      </w:pPr>
      <w:r w:rsidRPr="00496525">
        <w:rPr>
          <w:i/>
          <w:lang w:val="fr-FR"/>
        </w:rPr>
        <w:t>Ajouter de nouveaux paragraphes</w:t>
      </w:r>
      <w:r w:rsidRPr="00496525">
        <w:rPr>
          <w:lang w:val="fr-FR"/>
        </w:rPr>
        <w:t>,</w:t>
      </w:r>
      <w:r w:rsidRPr="00496525">
        <w:rPr>
          <w:i/>
          <w:lang w:val="fr-FR"/>
        </w:rPr>
        <w:t xml:space="preserve"> </w:t>
      </w:r>
      <w:r w:rsidRPr="00496525">
        <w:rPr>
          <w:lang w:val="fr-FR"/>
        </w:rPr>
        <w:t>libellés comme suit:</w:t>
      </w:r>
    </w:p>
    <w:p w:rsidR="00496525" w:rsidRPr="00496525" w:rsidRDefault="00496525" w:rsidP="00496525">
      <w:pPr>
        <w:tabs>
          <w:tab w:val="left" w:pos="2268"/>
        </w:tabs>
        <w:spacing w:after="120"/>
        <w:ind w:left="1134" w:right="1134"/>
        <w:jc w:val="both"/>
        <w:rPr>
          <w:lang w:val="fr-FR"/>
        </w:rPr>
      </w:pPr>
      <w:r w:rsidRPr="00496525">
        <w:rPr>
          <w:lang w:val="fr-FR"/>
        </w:rPr>
        <w:t>«12.</w:t>
      </w:r>
      <w:r w:rsidRPr="00496525">
        <w:rPr>
          <w:lang w:val="fr-FR"/>
        </w:rPr>
        <w:tab/>
        <w:t>Dispositions transitoires</w:t>
      </w:r>
    </w:p>
    <w:p w:rsidR="00496525" w:rsidRPr="00496525" w:rsidRDefault="00496525" w:rsidP="00496525">
      <w:pPr>
        <w:tabs>
          <w:tab w:val="left" w:pos="2268"/>
        </w:tabs>
        <w:spacing w:after="120"/>
        <w:ind w:left="2268" w:right="1134" w:hanging="1134"/>
        <w:jc w:val="both"/>
        <w:rPr>
          <w:lang w:val="fr-FR"/>
        </w:rPr>
      </w:pPr>
      <w:r w:rsidRPr="00496525">
        <w:rPr>
          <w:lang w:val="fr-FR"/>
        </w:rPr>
        <w:t>12.1</w:t>
      </w:r>
      <w:r w:rsidRPr="00496525">
        <w:rPr>
          <w:lang w:val="fr-FR"/>
        </w:rPr>
        <w:tab/>
        <w:t>À compter de la date officielle d’entrée en vigueur de la série 01 d’amendements au présent Règlement, aucune Partie contractante appliquant le présent Règlement ne peut refuser l’homologation nationale ou régionale d’un type de véhicule homologué en vertu de la série 01 d’amendements au présent Règlement.</w:t>
      </w:r>
    </w:p>
    <w:p w:rsidR="00496525" w:rsidRPr="00496525" w:rsidRDefault="00496525" w:rsidP="00496525">
      <w:pPr>
        <w:tabs>
          <w:tab w:val="left" w:pos="2268"/>
        </w:tabs>
        <w:spacing w:after="120"/>
        <w:ind w:left="2268" w:right="1134" w:hanging="1134"/>
        <w:jc w:val="both"/>
        <w:rPr>
          <w:lang w:val="fr-FR"/>
        </w:rPr>
      </w:pPr>
      <w:r w:rsidRPr="00496525">
        <w:rPr>
          <w:lang w:val="fr-FR"/>
        </w:rPr>
        <w:t>12.2</w:t>
      </w:r>
      <w:r w:rsidRPr="00496525">
        <w:rPr>
          <w:lang w:val="fr-FR"/>
        </w:rPr>
        <w:tab/>
        <w:t>Les Parties contractantes appliquant le présent Règlement ne peuvent refuser d’accorder des extensions d’homologation en application des précédentes séries d’amendements au présent Règlement.</w:t>
      </w:r>
    </w:p>
    <w:p w:rsidR="00496525" w:rsidRDefault="00496525" w:rsidP="00496525">
      <w:pPr>
        <w:tabs>
          <w:tab w:val="left" w:pos="2268"/>
        </w:tabs>
        <w:spacing w:after="120"/>
        <w:ind w:left="2268" w:right="1134" w:hanging="1134"/>
        <w:jc w:val="both"/>
        <w:rPr>
          <w:lang w:val="fr-FR"/>
        </w:rPr>
      </w:pPr>
      <w:r>
        <w:rPr>
          <w:lang w:val="fr-FR"/>
        </w:rPr>
        <w:t>12.3</w:t>
      </w:r>
      <w:r>
        <w:rPr>
          <w:lang w:val="fr-FR"/>
        </w:rPr>
        <w:tab/>
      </w:r>
      <w:r>
        <w:rPr>
          <w:lang w:val="fr-FR"/>
        </w:rPr>
        <w:tab/>
      </w:r>
      <w:r>
        <w:t xml:space="preserve">Au terme d’un délai de </w:t>
      </w:r>
      <w:r>
        <w:rPr>
          <w:lang w:val="fr-FR"/>
        </w:rPr>
        <w:t>vingt-quatre</w:t>
      </w:r>
      <w:r>
        <w:t xml:space="preserve"> mois après la date d’entrée en vigueur</w:t>
      </w:r>
      <w:r w:rsidRPr="00D3388A">
        <w:rPr>
          <w:lang w:val="fr-FR"/>
        </w:rPr>
        <w:t xml:space="preserve"> </w:t>
      </w:r>
      <w:r>
        <w:rPr>
          <w:lang w:val="fr-FR"/>
        </w:rPr>
        <w:t>de la série 01 d’amendements au présent Règlement</w:t>
      </w:r>
      <w:r>
        <w:t xml:space="preserve">, les </w:t>
      </w:r>
      <w:r>
        <w:rPr>
          <w:szCs w:val="24"/>
        </w:rPr>
        <w:t>Parties contractantes appliquant le présent Règlement n’accorderont des homologations que si le type de véhicule à homologuer satisfait aux prescriptions du présent Règlement tel que modifié par la série 01 d’amendements.</w:t>
      </w:r>
      <w:r>
        <w:rPr>
          <w:lang w:val="fr-FR"/>
        </w:rPr>
        <w:t>»</w:t>
      </w:r>
    </w:p>
    <w:p w:rsidR="00496525" w:rsidRPr="00496525" w:rsidRDefault="00496525" w:rsidP="00496525">
      <w:pPr>
        <w:tabs>
          <w:tab w:val="left" w:pos="2268"/>
        </w:tabs>
        <w:spacing w:after="120"/>
        <w:ind w:left="2268" w:hanging="1134"/>
        <w:jc w:val="both"/>
        <w:rPr>
          <w:lang w:val="fr-FR"/>
        </w:rPr>
      </w:pPr>
      <w:r w:rsidRPr="00496525">
        <w:rPr>
          <w:i/>
          <w:lang w:val="fr-FR"/>
        </w:rPr>
        <w:t>Tableau 1</w:t>
      </w:r>
      <w:r w:rsidRPr="00496525">
        <w:rPr>
          <w:lang w:val="fr-FR"/>
        </w:rPr>
        <w:t>,</w:t>
      </w:r>
      <w:r w:rsidRPr="00496525">
        <w:rPr>
          <w:i/>
          <w:lang w:val="fr-FR"/>
        </w:rPr>
        <w:t xml:space="preserve"> </w:t>
      </w:r>
      <w:r w:rsidRPr="00496525">
        <w:rPr>
          <w:lang w:val="fr-FR"/>
        </w:rPr>
        <w:t>modifier comme suit</w:t>
      </w:r>
      <w:r w:rsidRPr="00496525">
        <w:rPr>
          <w:i/>
          <w:lang w:val="fr-FR"/>
        </w:rPr>
        <w:t xml:space="preserve"> </w:t>
      </w:r>
      <w:r w:rsidRPr="00496525">
        <w:rPr>
          <w:lang w:val="fr-FR"/>
        </w:rPr>
        <w:t xml:space="preserve">(y compris, l’ajout d’une nouvelle note de bas de page </w:t>
      </w:r>
      <w:r w:rsidRPr="00496525">
        <w:rPr>
          <w:u w:val="single"/>
          <w:lang w:val="fr-FR"/>
        </w:rPr>
        <w:t>21</w:t>
      </w:r>
      <w:r w:rsidRPr="00496525">
        <w:rPr>
          <w:lang w:val="fr-FR"/>
        </w:rPr>
        <w:t>/):</w:t>
      </w:r>
    </w:p>
    <w:p w:rsidR="00496525" w:rsidRPr="00496525" w:rsidRDefault="00496525" w:rsidP="00496525">
      <w:pPr>
        <w:tabs>
          <w:tab w:val="left" w:pos="2268"/>
        </w:tabs>
        <w:spacing w:after="240"/>
        <w:ind w:left="2268" w:hanging="1134"/>
        <w:jc w:val="both"/>
        <w:rPr>
          <w:lang w:val="fr-FR"/>
        </w:rPr>
      </w:pPr>
      <w:r w:rsidRPr="00496525">
        <w:rPr>
          <w:lang w:val="fr-FR"/>
        </w:rPr>
        <w:t>«</w:t>
      </w:r>
    </w:p>
    <w:tbl>
      <w:tblPr>
        <w:tblW w:w="8505" w:type="dxa"/>
        <w:tblInd w:w="1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0"/>
        <w:gridCol w:w="2419"/>
        <w:gridCol w:w="1744"/>
        <w:gridCol w:w="1068"/>
        <w:gridCol w:w="1543"/>
        <w:gridCol w:w="1271"/>
      </w:tblGrid>
      <w:tr w:rsidR="00496525" w:rsidRPr="00496525" w:rsidTr="00517141">
        <w:trPr>
          <w:cantSplit/>
          <w:trHeight w:val="436"/>
        </w:trPr>
        <w:tc>
          <w:tcPr>
            <w:tcW w:w="460" w:type="dxa"/>
            <w:tcBorders>
              <w:top w:val="single" w:sz="6" w:space="0" w:color="auto"/>
              <w:left w:val="single" w:sz="6" w:space="0" w:color="auto"/>
              <w:right w:val="single" w:sz="6" w:space="0" w:color="auto"/>
            </w:tcBorders>
            <w:vAlign w:val="center"/>
          </w:tcPr>
          <w:p w:rsidR="00496525" w:rsidRPr="00496525" w:rsidRDefault="00496525" w:rsidP="00496525">
            <w:pPr>
              <w:ind w:left="-108" w:right="-108"/>
              <w:jc w:val="center"/>
              <w:rPr>
                <w:lang w:val="fr-FR"/>
              </w:rPr>
            </w:pPr>
            <w:r w:rsidRPr="00496525">
              <w:rPr>
                <w:rFonts w:eastAsia="MS Mincho"/>
                <w:lang w:val="fr-FR"/>
              </w:rPr>
              <w:t>N</w:t>
            </w:r>
            <w:r w:rsidRPr="00496525">
              <w:rPr>
                <w:rFonts w:eastAsia="MS Mincho"/>
                <w:vertAlign w:val="superscript"/>
                <w:lang w:val="fr-FR"/>
              </w:rPr>
              <w:t>o</w:t>
            </w:r>
            <w:r w:rsidRPr="00496525">
              <w:rPr>
                <w:lang w:val="fr-FR"/>
              </w:rPr>
              <w:t xml:space="preserve"> </w:t>
            </w:r>
          </w:p>
        </w:tc>
        <w:tc>
          <w:tcPr>
            <w:tcW w:w="2419" w:type="dxa"/>
            <w:tcBorders>
              <w:top w:val="single" w:sz="6" w:space="0" w:color="auto"/>
              <w:left w:val="single" w:sz="6" w:space="0" w:color="auto"/>
              <w:right w:val="single" w:sz="6" w:space="0" w:color="auto"/>
            </w:tcBorders>
            <w:vAlign w:val="center"/>
          </w:tcPr>
          <w:p w:rsidR="00496525" w:rsidRPr="00496525" w:rsidRDefault="00496525" w:rsidP="00496525">
            <w:pPr>
              <w:jc w:val="center"/>
              <w:rPr>
                <w:lang w:val="fr-FR"/>
              </w:rPr>
            </w:pPr>
            <w:r w:rsidRPr="00496525">
              <w:rPr>
                <w:lang w:val="fr-FR"/>
              </w:rPr>
              <w:t>Colonne 1</w:t>
            </w:r>
          </w:p>
        </w:tc>
        <w:tc>
          <w:tcPr>
            <w:tcW w:w="1744" w:type="dxa"/>
            <w:tcBorders>
              <w:top w:val="single" w:sz="6" w:space="0" w:color="auto"/>
              <w:left w:val="single" w:sz="6" w:space="0" w:color="auto"/>
              <w:right w:val="single" w:sz="6" w:space="0" w:color="auto"/>
            </w:tcBorders>
            <w:vAlign w:val="center"/>
          </w:tcPr>
          <w:p w:rsidR="00496525" w:rsidRPr="00496525" w:rsidRDefault="00496525" w:rsidP="00496525">
            <w:pPr>
              <w:jc w:val="center"/>
              <w:outlineLvl w:val="2"/>
              <w:rPr>
                <w:bCs/>
                <w:lang w:val="fr-FR"/>
              </w:rPr>
            </w:pPr>
            <w:r w:rsidRPr="00496525">
              <w:rPr>
                <w:bCs/>
                <w:lang w:val="fr-FR"/>
              </w:rPr>
              <w:t>Colonne 2</w:t>
            </w:r>
          </w:p>
        </w:tc>
        <w:tc>
          <w:tcPr>
            <w:tcW w:w="1068" w:type="dxa"/>
            <w:tcBorders>
              <w:top w:val="single" w:sz="6" w:space="0" w:color="auto"/>
              <w:left w:val="single" w:sz="6" w:space="0" w:color="auto"/>
              <w:right w:val="single" w:sz="6" w:space="0" w:color="auto"/>
            </w:tcBorders>
            <w:vAlign w:val="center"/>
          </w:tcPr>
          <w:p w:rsidR="00496525" w:rsidRPr="00496525" w:rsidRDefault="00496525" w:rsidP="00496525">
            <w:pPr>
              <w:jc w:val="center"/>
              <w:rPr>
                <w:lang w:val="fr-FR"/>
              </w:rPr>
            </w:pPr>
            <w:r w:rsidRPr="00496525">
              <w:rPr>
                <w:lang w:val="fr-FR"/>
              </w:rPr>
              <w:t>Colonne 3</w:t>
            </w:r>
          </w:p>
        </w:tc>
        <w:tc>
          <w:tcPr>
            <w:tcW w:w="1543" w:type="dxa"/>
            <w:tcBorders>
              <w:top w:val="single" w:sz="6" w:space="0" w:color="auto"/>
              <w:left w:val="single" w:sz="6" w:space="0" w:color="auto"/>
              <w:right w:val="single" w:sz="6" w:space="0" w:color="auto"/>
            </w:tcBorders>
            <w:vAlign w:val="center"/>
          </w:tcPr>
          <w:p w:rsidR="00496525" w:rsidRPr="00496525" w:rsidRDefault="00496525" w:rsidP="00496525">
            <w:pPr>
              <w:jc w:val="center"/>
              <w:rPr>
                <w:lang w:val="fr-FR"/>
              </w:rPr>
            </w:pPr>
            <w:r w:rsidRPr="00496525">
              <w:rPr>
                <w:lang w:val="fr-FR"/>
              </w:rPr>
              <w:t>Colonne 4</w:t>
            </w:r>
          </w:p>
        </w:tc>
        <w:tc>
          <w:tcPr>
            <w:tcW w:w="1271" w:type="dxa"/>
            <w:tcBorders>
              <w:top w:val="single" w:sz="6" w:space="0" w:color="auto"/>
              <w:left w:val="single" w:sz="6" w:space="0" w:color="auto"/>
              <w:right w:val="single" w:sz="6" w:space="0" w:color="auto"/>
            </w:tcBorders>
            <w:vAlign w:val="center"/>
          </w:tcPr>
          <w:p w:rsidR="00496525" w:rsidRPr="00496525" w:rsidRDefault="00496525" w:rsidP="00496525">
            <w:pPr>
              <w:jc w:val="center"/>
              <w:rPr>
                <w:lang w:val="fr-FR"/>
              </w:rPr>
            </w:pPr>
            <w:r w:rsidRPr="00496525">
              <w:rPr>
                <w:lang w:val="fr-FR"/>
              </w:rPr>
              <w:t>Colonne 5</w:t>
            </w:r>
          </w:p>
        </w:tc>
      </w:tr>
      <w:tr w:rsidR="00496525" w:rsidRPr="00496525" w:rsidTr="00517141">
        <w:trPr>
          <w:cantSplit/>
          <w:trHeight w:val="348"/>
        </w:trPr>
        <w:tc>
          <w:tcPr>
            <w:tcW w:w="460" w:type="dxa"/>
            <w:tcBorders>
              <w:top w:val="single" w:sz="6" w:space="0" w:color="auto"/>
              <w:left w:val="single" w:sz="6" w:space="0" w:color="auto"/>
              <w:right w:val="single" w:sz="6" w:space="0" w:color="auto"/>
            </w:tcBorders>
          </w:tcPr>
          <w:p w:rsidR="00496525" w:rsidRPr="00496525" w:rsidRDefault="00496525" w:rsidP="00496525">
            <w:pPr>
              <w:ind w:left="-108" w:right="-108"/>
              <w:jc w:val="center"/>
              <w:rPr>
                <w:lang w:val="fr-FR"/>
              </w:rPr>
            </w:pPr>
          </w:p>
        </w:tc>
        <w:tc>
          <w:tcPr>
            <w:tcW w:w="2419" w:type="dxa"/>
            <w:tcBorders>
              <w:top w:val="single" w:sz="6" w:space="0" w:color="auto"/>
              <w:left w:val="single" w:sz="6" w:space="0" w:color="auto"/>
              <w:right w:val="single" w:sz="6" w:space="0" w:color="auto"/>
            </w:tcBorders>
            <w:vAlign w:val="center"/>
          </w:tcPr>
          <w:p w:rsidR="00496525" w:rsidRPr="00496525" w:rsidRDefault="00496525" w:rsidP="00496525">
            <w:pPr>
              <w:jc w:val="center"/>
              <w:rPr>
                <w:bCs/>
                <w:lang w:val="fr-FR"/>
              </w:rPr>
            </w:pPr>
            <w:r w:rsidRPr="00496525">
              <w:rPr>
                <w:bCs/>
                <w:lang w:val="fr-FR"/>
              </w:rPr>
              <w:t>Équipement</w:t>
            </w:r>
          </w:p>
        </w:tc>
        <w:tc>
          <w:tcPr>
            <w:tcW w:w="1744" w:type="dxa"/>
            <w:tcBorders>
              <w:top w:val="single" w:sz="6" w:space="0" w:color="auto"/>
              <w:left w:val="single" w:sz="6" w:space="0" w:color="auto"/>
              <w:right w:val="single" w:sz="6" w:space="0" w:color="auto"/>
            </w:tcBorders>
            <w:vAlign w:val="center"/>
          </w:tcPr>
          <w:p w:rsidR="00496525" w:rsidRPr="00496525" w:rsidRDefault="00496525" w:rsidP="00496525">
            <w:pPr>
              <w:jc w:val="center"/>
              <w:rPr>
                <w:bCs/>
                <w:lang w:val="fr-FR"/>
              </w:rPr>
            </w:pPr>
            <w:r w:rsidRPr="00496525">
              <w:rPr>
                <w:bCs/>
                <w:lang w:val="fr-FR"/>
              </w:rPr>
              <w:t xml:space="preserve">Symbole </w:t>
            </w:r>
            <w:r w:rsidRPr="00496525">
              <w:rPr>
                <w:bCs/>
                <w:u w:val="single"/>
                <w:lang w:val="fr-FR"/>
              </w:rPr>
              <w:t>2</w:t>
            </w:r>
            <w:r w:rsidRPr="00496525">
              <w:rPr>
                <w:bCs/>
                <w:lang w:val="fr-FR"/>
              </w:rPr>
              <w:t>/</w:t>
            </w:r>
          </w:p>
        </w:tc>
        <w:tc>
          <w:tcPr>
            <w:tcW w:w="1068" w:type="dxa"/>
            <w:tcBorders>
              <w:top w:val="single" w:sz="6" w:space="0" w:color="auto"/>
              <w:left w:val="single" w:sz="6" w:space="0" w:color="auto"/>
              <w:right w:val="single" w:sz="6" w:space="0" w:color="auto"/>
            </w:tcBorders>
            <w:vAlign w:val="center"/>
          </w:tcPr>
          <w:p w:rsidR="00496525" w:rsidRPr="00496525" w:rsidRDefault="00496525" w:rsidP="00496525">
            <w:pPr>
              <w:jc w:val="center"/>
              <w:rPr>
                <w:bCs/>
                <w:lang w:val="fr-FR"/>
              </w:rPr>
            </w:pPr>
            <w:r w:rsidRPr="00496525">
              <w:rPr>
                <w:bCs/>
                <w:lang w:val="fr-FR"/>
              </w:rPr>
              <w:t>Fonction</w:t>
            </w:r>
          </w:p>
        </w:tc>
        <w:tc>
          <w:tcPr>
            <w:tcW w:w="1543" w:type="dxa"/>
            <w:tcBorders>
              <w:top w:val="single" w:sz="6" w:space="0" w:color="auto"/>
              <w:left w:val="single" w:sz="6" w:space="0" w:color="auto"/>
              <w:right w:val="single" w:sz="6" w:space="0" w:color="auto"/>
            </w:tcBorders>
            <w:vAlign w:val="center"/>
          </w:tcPr>
          <w:p w:rsidR="00496525" w:rsidRPr="00496525" w:rsidRDefault="00496525" w:rsidP="00496525">
            <w:pPr>
              <w:jc w:val="center"/>
              <w:outlineLvl w:val="4"/>
              <w:rPr>
                <w:bCs/>
                <w:lang w:val="fr-FR"/>
              </w:rPr>
            </w:pPr>
            <w:r w:rsidRPr="00496525">
              <w:rPr>
                <w:bCs/>
                <w:lang w:val="fr-FR"/>
              </w:rPr>
              <w:t>Éclairage</w:t>
            </w:r>
          </w:p>
        </w:tc>
        <w:tc>
          <w:tcPr>
            <w:tcW w:w="1271" w:type="dxa"/>
            <w:tcBorders>
              <w:top w:val="single" w:sz="6" w:space="0" w:color="auto"/>
              <w:left w:val="single" w:sz="6" w:space="0" w:color="auto"/>
              <w:right w:val="single" w:sz="6" w:space="0" w:color="auto"/>
            </w:tcBorders>
            <w:vAlign w:val="center"/>
          </w:tcPr>
          <w:p w:rsidR="00496525" w:rsidRPr="00496525" w:rsidRDefault="00496525" w:rsidP="00496525">
            <w:pPr>
              <w:jc w:val="center"/>
              <w:rPr>
                <w:bCs/>
                <w:lang w:val="fr-FR"/>
              </w:rPr>
            </w:pPr>
            <w:r w:rsidRPr="00496525">
              <w:rPr>
                <w:bCs/>
                <w:lang w:val="fr-FR"/>
              </w:rPr>
              <w:t>Couleur</w:t>
            </w:r>
          </w:p>
        </w:tc>
      </w:tr>
      <w:tr w:rsidR="00496525" w:rsidRPr="00496525" w:rsidTr="00517141">
        <w:trPr>
          <w:cantSplit/>
          <w:trHeight w:val="411"/>
        </w:trPr>
        <w:tc>
          <w:tcPr>
            <w:tcW w:w="460" w:type="dxa"/>
            <w:tcBorders>
              <w:top w:val="single" w:sz="6" w:space="0" w:color="auto"/>
              <w:left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w:t>
            </w:r>
          </w:p>
        </w:tc>
        <w:tc>
          <w:tcPr>
            <w:tcW w:w="2419" w:type="dxa"/>
            <w:tcBorders>
              <w:top w:val="single" w:sz="6" w:space="0" w:color="auto"/>
              <w:left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w:t>
            </w:r>
          </w:p>
        </w:tc>
        <w:tc>
          <w:tcPr>
            <w:tcW w:w="1744" w:type="dxa"/>
            <w:tcBorders>
              <w:top w:val="single" w:sz="6" w:space="0" w:color="auto"/>
              <w:left w:val="single" w:sz="6" w:space="0" w:color="auto"/>
              <w:right w:val="single" w:sz="6" w:space="0" w:color="auto"/>
            </w:tcBorders>
          </w:tcPr>
          <w:p w:rsidR="00496525" w:rsidRPr="00496525" w:rsidRDefault="00496525" w:rsidP="00496525">
            <w:pPr>
              <w:suppressAutoHyphens w:val="0"/>
              <w:spacing w:before="80" w:after="80"/>
              <w:jc w:val="center"/>
              <w:rPr>
                <w:rFonts w:eastAsia="Arial Unicode MS"/>
                <w:lang w:val="fr-FR"/>
              </w:rPr>
            </w:pPr>
            <w:r w:rsidRPr="00496525">
              <w:rPr>
                <w:rFonts w:eastAsia="Arial Unicode MS"/>
                <w:lang w:val="fr-FR"/>
              </w:rPr>
              <w:t>…</w:t>
            </w:r>
          </w:p>
        </w:tc>
        <w:tc>
          <w:tcPr>
            <w:tcW w:w="1068" w:type="dxa"/>
            <w:tcBorders>
              <w:top w:val="single" w:sz="6" w:space="0" w:color="auto"/>
              <w:left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w:t>
            </w:r>
          </w:p>
        </w:tc>
        <w:tc>
          <w:tcPr>
            <w:tcW w:w="1543" w:type="dxa"/>
            <w:tcBorders>
              <w:top w:val="single" w:sz="6" w:space="0" w:color="auto"/>
              <w:left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w:t>
            </w:r>
          </w:p>
        </w:tc>
        <w:tc>
          <w:tcPr>
            <w:tcW w:w="1271" w:type="dxa"/>
            <w:tcBorders>
              <w:top w:val="single" w:sz="6" w:space="0" w:color="auto"/>
              <w:left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w:t>
            </w:r>
          </w:p>
        </w:tc>
      </w:tr>
      <w:tr w:rsidR="00496525" w:rsidRPr="00496525" w:rsidTr="00517141">
        <w:trPr>
          <w:cantSplit/>
          <w:trHeight w:val="1712"/>
        </w:trPr>
        <w:tc>
          <w:tcPr>
            <w:tcW w:w="460" w:type="dxa"/>
            <w:tcBorders>
              <w:top w:val="single" w:sz="6" w:space="0" w:color="auto"/>
              <w:left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43.</w:t>
            </w:r>
          </w:p>
        </w:tc>
        <w:tc>
          <w:tcPr>
            <w:tcW w:w="2419" w:type="dxa"/>
            <w:tcBorders>
              <w:top w:val="single" w:sz="6" w:space="0" w:color="auto"/>
              <w:left w:val="single" w:sz="6" w:space="0" w:color="auto"/>
              <w:right w:val="single" w:sz="6" w:space="0" w:color="auto"/>
            </w:tcBorders>
          </w:tcPr>
          <w:p w:rsidR="00496525" w:rsidRPr="00496525" w:rsidRDefault="00496525" w:rsidP="00496525">
            <w:pPr>
              <w:spacing w:before="80" w:after="80"/>
              <w:ind w:left="57"/>
              <w:rPr>
                <w:lang w:val="fr-FR"/>
              </w:rPr>
            </w:pPr>
            <w:r w:rsidRPr="00496525">
              <w:rPr>
                <w:lang w:val="fr-FR"/>
              </w:rPr>
              <w:t>Système de contrôle électronique de la stabilité</w:t>
            </w:r>
          </w:p>
        </w:tc>
        <w:tc>
          <w:tcPr>
            <w:tcW w:w="1744" w:type="dxa"/>
            <w:tcBorders>
              <w:top w:val="single" w:sz="6" w:space="0" w:color="auto"/>
              <w:left w:val="single" w:sz="6" w:space="0" w:color="auto"/>
              <w:right w:val="single" w:sz="6" w:space="0" w:color="auto"/>
            </w:tcBorders>
          </w:tcPr>
          <w:p w:rsidR="00496525" w:rsidRPr="00496525" w:rsidRDefault="00351FF6" w:rsidP="00496525">
            <w:pPr>
              <w:suppressAutoHyphens w:val="0"/>
              <w:spacing w:before="80" w:after="80"/>
              <w:jc w:val="center"/>
              <w:rPr>
                <w:rFonts w:eastAsia="Arial Unicode MS"/>
                <w:lang w:val="fr-FR"/>
              </w:rPr>
            </w:pPr>
            <w:r>
              <w:rPr>
                <w:rFonts w:eastAsia="Arial Unicode MS"/>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8.4pt">
                  <v:imagedata r:id="rId8" o:title=""/>
                </v:shape>
              </w:pict>
            </w:r>
          </w:p>
          <w:p w:rsidR="00496525" w:rsidRPr="00496525" w:rsidRDefault="00496525" w:rsidP="00496525">
            <w:pPr>
              <w:suppressAutoHyphens w:val="0"/>
              <w:spacing w:before="80" w:after="80"/>
              <w:jc w:val="center"/>
              <w:rPr>
                <w:rFonts w:eastAsia="Arial Unicode MS"/>
                <w:lang w:val="fr-FR"/>
              </w:rPr>
            </w:pPr>
            <w:r w:rsidRPr="00496525">
              <w:rPr>
                <w:rFonts w:eastAsia="Arial Unicode MS"/>
                <w:lang w:val="fr-FR"/>
              </w:rPr>
              <w:t>ou ESC</w:t>
            </w:r>
          </w:p>
          <w:p w:rsidR="00496525" w:rsidRPr="00496525" w:rsidRDefault="00496525" w:rsidP="00496525">
            <w:pPr>
              <w:suppressAutoHyphens w:val="0"/>
              <w:spacing w:before="80" w:after="80"/>
              <w:jc w:val="center"/>
              <w:rPr>
                <w:rFonts w:eastAsia="Arial Unicode MS"/>
                <w:lang w:val="fr-FR"/>
              </w:rPr>
            </w:pPr>
            <w:r w:rsidRPr="00496525">
              <w:rPr>
                <w:rFonts w:eastAsia="Arial Unicode MS"/>
                <w:u w:val="single"/>
                <w:lang w:val="fr-FR"/>
              </w:rPr>
              <w:t>17</w:t>
            </w:r>
            <w:r w:rsidRPr="00496525">
              <w:rPr>
                <w:rFonts w:eastAsia="Arial Unicode MS"/>
                <w:lang w:val="fr-FR"/>
              </w:rPr>
              <w:t>/</w:t>
            </w:r>
          </w:p>
        </w:tc>
        <w:tc>
          <w:tcPr>
            <w:tcW w:w="1068" w:type="dxa"/>
            <w:tcBorders>
              <w:top w:val="single" w:sz="6" w:space="0" w:color="auto"/>
              <w:left w:val="single" w:sz="6" w:space="0" w:color="auto"/>
              <w:right w:val="single" w:sz="6" w:space="0" w:color="auto"/>
            </w:tcBorders>
          </w:tcPr>
          <w:p w:rsidR="00496525" w:rsidRPr="00496525" w:rsidRDefault="00496525" w:rsidP="00496525">
            <w:pPr>
              <w:spacing w:before="80" w:after="80"/>
              <w:ind w:left="57"/>
              <w:rPr>
                <w:lang w:val="fr-FR"/>
              </w:rPr>
            </w:pPr>
            <w:r w:rsidRPr="00496525">
              <w:rPr>
                <w:lang w:val="fr-FR"/>
              </w:rPr>
              <w:t>Témoin</w:t>
            </w:r>
          </w:p>
        </w:tc>
        <w:tc>
          <w:tcPr>
            <w:tcW w:w="1543" w:type="dxa"/>
            <w:tcBorders>
              <w:top w:val="single" w:sz="6" w:space="0" w:color="auto"/>
              <w:left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Oui</w:t>
            </w:r>
          </w:p>
        </w:tc>
        <w:tc>
          <w:tcPr>
            <w:tcW w:w="1271" w:type="dxa"/>
            <w:tcBorders>
              <w:top w:val="single" w:sz="6" w:space="0" w:color="auto"/>
              <w:left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Jaune</w:t>
            </w:r>
          </w:p>
        </w:tc>
      </w:tr>
      <w:tr w:rsidR="00496525" w:rsidRPr="00496525" w:rsidTr="00517141">
        <w:trPr>
          <w:cantSplit/>
          <w:trHeight w:val="847"/>
        </w:trPr>
        <w:tc>
          <w:tcPr>
            <w:tcW w:w="460" w:type="dxa"/>
            <w:vMerge w:val="restart"/>
            <w:tcBorders>
              <w:top w:val="single" w:sz="6" w:space="0" w:color="auto"/>
              <w:left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44.</w:t>
            </w:r>
          </w:p>
        </w:tc>
        <w:tc>
          <w:tcPr>
            <w:tcW w:w="2419" w:type="dxa"/>
            <w:vMerge w:val="restart"/>
            <w:tcBorders>
              <w:top w:val="single" w:sz="6" w:space="0" w:color="auto"/>
              <w:left w:val="single" w:sz="6" w:space="0" w:color="auto"/>
              <w:right w:val="single" w:sz="6" w:space="0" w:color="auto"/>
            </w:tcBorders>
          </w:tcPr>
          <w:p w:rsidR="00496525" w:rsidRPr="00496525" w:rsidRDefault="00496525" w:rsidP="00496525">
            <w:pPr>
              <w:spacing w:before="80" w:after="80"/>
              <w:ind w:left="57"/>
              <w:rPr>
                <w:lang w:val="fr-FR"/>
              </w:rPr>
            </w:pPr>
            <w:r w:rsidRPr="00496525">
              <w:rPr>
                <w:lang w:val="fr-FR"/>
              </w:rPr>
              <w:t>Système désactivé de contrôle électronique de la stabilité</w:t>
            </w:r>
          </w:p>
        </w:tc>
        <w:tc>
          <w:tcPr>
            <w:tcW w:w="1744" w:type="dxa"/>
            <w:vMerge w:val="restart"/>
            <w:tcBorders>
              <w:top w:val="single" w:sz="6" w:space="0" w:color="auto"/>
              <w:left w:val="single" w:sz="6" w:space="0" w:color="auto"/>
              <w:right w:val="single" w:sz="6" w:space="0" w:color="auto"/>
            </w:tcBorders>
          </w:tcPr>
          <w:p w:rsidR="00496525" w:rsidRPr="00496525" w:rsidRDefault="00351FF6" w:rsidP="00496525">
            <w:pPr>
              <w:suppressAutoHyphens w:val="0"/>
              <w:spacing w:before="80" w:after="80"/>
              <w:jc w:val="center"/>
              <w:rPr>
                <w:lang w:val="fr-FR"/>
              </w:rPr>
            </w:pPr>
            <w:r>
              <w:rPr>
                <w:rFonts w:eastAsia="Arial Unicode MS"/>
                <w:lang w:val="fr-FR"/>
              </w:rPr>
              <w:pict>
                <v:shape id="_x0000_i1026" type="#_x0000_t75" style="width:35.4pt;height:45.6pt">
                  <v:imagedata r:id="rId9" o:title=""/>
                </v:shape>
              </w:pict>
            </w:r>
          </w:p>
          <w:p w:rsidR="00496525" w:rsidRPr="00496525" w:rsidRDefault="00496525" w:rsidP="00496525">
            <w:pPr>
              <w:suppressAutoHyphens w:val="0"/>
              <w:spacing w:before="80" w:after="80"/>
              <w:jc w:val="center"/>
              <w:rPr>
                <w:bCs/>
                <w:lang w:val="fr-FR"/>
              </w:rPr>
            </w:pPr>
            <w:r w:rsidRPr="00496525">
              <w:rPr>
                <w:lang w:val="fr-FR"/>
              </w:rPr>
              <w:t xml:space="preserve">ou </w:t>
            </w:r>
            <w:r w:rsidRPr="00496525">
              <w:rPr>
                <w:bCs/>
                <w:lang w:val="fr-FR"/>
              </w:rPr>
              <w:t>ESC OFF</w:t>
            </w:r>
          </w:p>
          <w:p w:rsidR="00496525" w:rsidRPr="00496525" w:rsidRDefault="00496525" w:rsidP="00496525">
            <w:pPr>
              <w:suppressAutoHyphens w:val="0"/>
              <w:spacing w:before="80" w:after="80"/>
              <w:jc w:val="center"/>
              <w:rPr>
                <w:lang w:val="fr-FR"/>
              </w:rPr>
            </w:pPr>
            <w:r w:rsidRPr="00496525">
              <w:rPr>
                <w:rFonts w:eastAsia="Arial Unicode MS"/>
                <w:u w:val="single"/>
                <w:lang w:val="fr-FR"/>
              </w:rPr>
              <w:t>17</w:t>
            </w:r>
            <w:r w:rsidRPr="00496525">
              <w:rPr>
                <w:rFonts w:eastAsia="Arial Unicode MS"/>
                <w:lang w:val="fr-FR"/>
              </w:rPr>
              <w:t xml:space="preserve">/ </w:t>
            </w:r>
            <w:r w:rsidRPr="00496525">
              <w:rPr>
                <w:rFonts w:eastAsia="Arial Unicode MS"/>
                <w:u w:val="single"/>
                <w:lang w:val="fr-FR"/>
              </w:rPr>
              <w:t>21</w:t>
            </w:r>
            <w:r w:rsidRPr="00496525">
              <w:rPr>
                <w:rFonts w:eastAsia="Arial Unicode MS"/>
                <w:lang w:val="fr-FR"/>
              </w:rPr>
              <w:t>/</w:t>
            </w:r>
          </w:p>
        </w:tc>
        <w:tc>
          <w:tcPr>
            <w:tcW w:w="1068" w:type="dxa"/>
            <w:tcBorders>
              <w:top w:val="single" w:sz="6" w:space="0" w:color="auto"/>
              <w:left w:val="single" w:sz="6" w:space="0" w:color="auto"/>
              <w:bottom w:val="single" w:sz="6" w:space="0" w:color="auto"/>
              <w:right w:val="single" w:sz="6" w:space="0" w:color="auto"/>
            </w:tcBorders>
          </w:tcPr>
          <w:p w:rsidR="00496525" w:rsidRPr="00496525" w:rsidRDefault="00496525" w:rsidP="00496525">
            <w:pPr>
              <w:spacing w:before="80" w:after="80"/>
              <w:ind w:left="57"/>
              <w:rPr>
                <w:lang w:val="fr-FR"/>
              </w:rPr>
            </w:pPr>
            <w:r w:rsidRPr="00496525">
              <w:rPr>
                <w:lang w:val="fr-FR"/>
              </w:rPr>
              <w:t>Commande</w:t>
            </w:r>
          </w:p>
        </w:tc>
        <w:tc>
          <w:tcPr>
            <w:tcW w:w="1543" w:type="dxa"/>
            <w:tcBorders>
              <w:top w:val="single" w:sz="6" w:space="0" w:color="auto"/>
              <w:left w:val="single" w:sz="6" w:space="0" w:color="auto"/>
              <w:bottom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Oui</w:t>
            </w:r>
          </w:p>
        </w:tc>
        <w:tc>
          <w:tcPr>
            <w:tcW w:w="1271" w:type="dxa"/>
            <w:tcBorders>
              <w:top w:val="single" w:sz="6" w:space="0" w:color="auto"/>
              <w:left w:val="single" w:sz="6" w:space="0" w:color="auto"/>
              <w:bottom w:val="single" w:sz="6" w:space="0" w:color="auto"/>
              <w:right w:val="single" w:sz="6" w:space="0" w:color="auto"/>
            </w:tcBorders>
          </w:tcPr>
          <w:p w:rsidR="00496525" w:rsidRPr="00496525" w:rsidRDefault="00496525" w:rsidP="00496525">
            <w:pPr>
              <w:spacing w:before="80" w:after="80"/>
              <w:jc w:val="center"/>
              <w:rPr>
                <w:lang w:val="fr-FR"/>
              </w:rPr>
            </w:pPr>
          </w:p>
        </w:tc>
      </w:tr>
      <w:tr w:rsidR="00496525" w:rsidRPr="00496525" w:rsidTr="00517141">
        <w:trPr>
          <w:cantSplit/>
        </w:trPr>
        <w:tc>
          <w:tcPr>
            <w:tcW w:w="460" w:type="dxa"/>
            <w:vMerge/>
            <w:tcBorders>
              <w:left w:val="single" w:sz="6" w:space="0" w:color="auto"/>
              <w:bottom w:val="single" w:sz="6" w:space="0" w:color="auto"/>
              <w:right w:val="single" w:sz="6" w:space="0" w:color="auto"/>
            </w:tcBorders>
          </w:tcPr>
          <w:p w:rsidR="00496525" w:rsidRPr="00496525" w:rsidRDefault="00496525" w:rsidP="00496525">
            <w:pPr>
              <w:spacing w:before="80" w:after="80"/>
              <w:jc w:val="center"/>
              <w:rPr>
                <w:lang w:val="fr-FR"/>
              </w:rPr>
            </w:pPr>
          </w:p>
        </w:tc>
        <w:tc>
          <w:tcPr>
            <w:tcW w:w="2419" w:type="dxa"/>
            <w:vMerge/>
            <w:tcBorders>
              <w:left w:val="single" w:sz="6" w:space="0" w:color="auto"/>
              <w:bottom w:val="single" w:sz="6" w:space="0" w:color="auto"/>
              <w:right w:val="single" w:sz="6" w:space="0" w:color="auto"/>
            </w:tcBorders>
          </w:tcPr>
          <w:p w:rsidR="00496525" w:rsidRPr="00496525" w:rsidRDefault="00496525" w:rsidP="00496525">
            <w:pPr>
              <w:spacing w:before="80" w:after="80"/>
              <w:rPr>
                <w:lang w:val="fr-FR"/>
              </w:rPr>
            </w:pPr>
          </w:p>
        </w:tc>
        <w:tc>
          <w:tcPr>
            <w:tcW w:w="1744" w:type="dxa"/>
            <w:vMerge/>
            <w:tcBorders>
              <w:left w:val="single" w:sz="6" w:space="0" w:color="auto"/>
              <w:bottom w:val="single" w:sz="6" w:space="0" w:color="auto"/>
              <w:right w:val="single" w:sz="6" w:space="0" w:color="auto"/>
            </w:tcBorders>
          </w:tcPr>
          <w:p w:rsidR="00496525" w:rsidRPr="00496525" w:rsidRDefault="00496525" w:rsidP="00496525">
            <w:pPr>
              <w:spacing w:before="80" w:after="80"/>
              <w:jc w:val="center"/>
              <w:rPr>
                <w:lang w:val="fr-FR"/>
              </w:rPr>
            </w:pPr>
          </w:p>
        </w:tc>
        <w:tc>
          <w:tcPr>
            <w:tcW w:w="1068" w:type="dxa"/>
            <w:tcBorders>
              <w:top w:val="single" w:sz="6" w:space="0" w:color="auto"/>
              <w:left w:val="single" w:sz="6" w:space="0" w:color="auto"/>
              <w:bottom w:val="single" w:sz="6" w:space="0" w:color="auto"/>
              <w:right w:val="single" w:sz="6" w:space="0" w:color="auto"/>
            </w:tcBorders>
          </w:tcPr>
          <w:p w:rsidR="00496525" w:rsidRPr="00496525" w:rsidRDefault="00496525" w:rsidP="00496525">
            <w:pPr>
              <w:spacing w:before="80" w:after="80"/>
              <w:ind w:left="57"/>
              <w:rPr>
                <w:lang w:val="fr-FR"/>
              </w:rPr>
            </w:pPr>
            <w:r w:rsidRPr="00496525">
              <w:rPr>
                <w:lang w:val="fr-FR"/>
              </w:rPr>
              <w:t>Témoin</w:t>
            </w:r>
          </w:p>
        </w:tc>
        <w:tc>
          <w:tcPr>
            <w:tcW w:w="1543" w:type="dxa"/>
            <w:tcBorders>
              <w:top w:val="single" w:sz="6" w:space="0" w:color="auto"/>
              <w:left w:val="single" w:sz="6" w:space="0" w:color="auto"/>
              <w:bottom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Oui</w:t>
            </w:r>
          </w:p>
        </w:tc>
        <w:tc>
          <w:tcPr>
            <w:tcW w:w="1271" w:type="dxa"/>
            <w:tcBorders>
              <w:top w:val="single" w:sz="6" w:space="0" w:color="auto"/>
              <w:left w:val="single" w:sz="6" w:space="0" w:color="auto"/>
              <w:bottom w:val="single" w:sz="6" w:space="0" w:color="auto"/>
              <w:right w:val="single" w:sz="6" w:space="0" w:color="auto"/>
            </w:tcBorders>
          </w:tcPr>
          <w:p w:rsidR="00496525" w:rsidRPr="00496525" w:rsidRDefault="00496525" w:rsidP="00496525">
            <w:pPr>
              <w:spacing w:before="80" w:after="80"/>
              <w:jc w:val="center"/>
              <w:rPr>
                <w:lang w:val="fr-FR"/>
              </w:rPr>
            </w:pPr>
            <w:r w:rsidRPr="00496525">
              <w:rPr>
                <w:lang w:val="fr-FR"/>
              </w:rPr>
              <w:t>Jaune</w:t>
            </w:r>
          </w:p>
        </w:tc>
      </w:tr>
    </w:tbl>
    <w:p w:rsidR="00496525" w:rsidRPr="00496525" w:rsidRDefault="00496525" w:rsidP="00496525">
      <w:pPr>
        <w:spacing w:before="120" w:after="120"/>
        <w:ind w:left="2268" w:right="1134" w:hanging="1134"/>
        <w:jc w:val="both"/>
        <w:rPr>
          <w:u w:val="single"/>
        </w:rPr>
      </w:pPr>
      <w:r w:rsidRPr="00496525">
        <w:separator/>
      </w:r>
    </w:p>
    <w:p w:rsidR="00496525" w:rsidRPr="00496525" w:rsidRDefault="00496525" w:rsidP="00496525">
      <w:pPr>
        <w:spacing w:after="120"/>
        <w:ind w:left="1134" w:right="1134"/>
        <w:jc w:val="both"/>
        <w:rPr>
          <w:lang w:val="fr-FR"/>
        </w:rPr>
      </w:pPr>
      <w:r w:rsidRPr="00496525">
        <w:rPr>
          <w:sz w:val="18"/>
          <w:szCs w:val="18"/>
          <w:u w:val="single"/>
          <w:lang w:val="fr-FR"/>
        </w:rPr>
        <w:t>21</w:t>
      </w:r>
      <w:r w:rsidRPr="00496525">
        <w:rPr>
          <w:sz w:val="18"/>
          <w:szCs w:val="18"/>
          <w:lang w:val="fr-FR"/>
        </w:rPr>
        <w:t>/</w:t>
      </w:r>
      <w:r w:rsidRPr="00496525">
        <w:rPr>
          <w:sz w:val="18"/>
          <w:szCs w:val="18"/>
          <w:lang w:val="fr-FR"/>
        </w:rPr>
        <w:tab/>
        <w:t xml:space="preserve">La mention complémentaire “OFF” peut être ajoutée sur le pictogramme correspondant à l’équipement </w:t>
      </w:r>
      <w:r w:rsidRPr="00496525">
        <w:rPr>
          <w:rFonts w:eastAsia="MS Mincho"/>
          <w:sz w:val="18"/>
          <w:szCs w:val="18"/>
          <w:lang w:val="fr-FR"/>
        </w:rPr>
        <w:t>n</w:t>
      </w:r>
      <w:r w:rsidRPr="00496525">
        <w:rPr>
          <w:rFonts w:eastAsia="MS Mincho"/>
          <w:sz w:val="18"/>
          <w:szCs w:val="18"/>
          <w:vertAlign w:val="superscript"/>
          <w:lang w:val="fr-FR"/>
        </w:rPr>
        <w:t>o</w:t>
      </w:r>
      <w:r w:rsidRPr="00496525">
        <w:rPr>
          <w:rFonts w:eastAsia="MS Mincho"/>
          <w:sz w:val="18"/>
          <w:szCs w:val="18"/>
          <w:lang w:val="fr-FR"/>
        </w:rPr>
        <w:t> </w:t>
      </w:r>
      <w:r w:rsidRPr="00496525">
        <w:rPr>
          <w:sz w:val="18"/>
          <w:szCs w:val="18"/>
          <w:lang w:val="fr-FR"/>
        </w:rPr>
        <w:t>43 ou à proximité immédiate de celui-ci. La police de caractères utilisée pour la mention “OFF” ou “ESC OFF” n’est pas restrictive (Note: les mentions “OFF” et “ESC OFF” doivent rester en anglais, sans être traduites).».</w:t>
      </w:r>
    </w:p>
    <w:p w:rsidR="00496525" w:rsidRDefault="00496525" w:rsidP="00496525">
      <w:pPr>
        <w:spacing w:after="120"/>
        <w:ind w:left="1134" w:right="1134"/>
        <w:jc w:val="both"/>
        <w:rPr>
          <w:lang w:val="fr-FR"/>
        </w:rPr>
      </w:pPr>
      <w:r w:rsidRPr="00496525">
        <w:rPr>
          <w:i/>
          <w:lang w:val="fr-FR"/>
        </w:rPr>
        <w:br w:type="page"/>
      </w:r>
      <w:r w:rsidRPr="00496525">
        <w:rPr>
          <w:i/>
          <w:lang w:val="fr-FR"/>
        </w:rPr>
        <w:lastRenderedPageBreak/>
        <w:t>Annexe 2</w:t>
      </w:r>
      <w:r w:rsidRPr="00496525">
        <w:rPr>
          <w:lang w:val="fr-FR"/>
        </w:rPr>
        <w:t xml:space="preserve">, </w:t>
      </w:r>
    </w:p>
    <w:p w:rsidR="00496525" w:rsidRPr="00496525" w:rsidRDefault="00496525" w:rsidP="00496525">
      <w:pPr>
        <w:spacing w:after="120"/>
        <w:ind w:left="1134" w:right="1134"/>
        <w:jc w:val="both"/>
        <w:rPr>
          <w:lang w:val="fr-FR"/>
        </w:rPr>
      </w:pPr>
      <w:r>
        <w:rPr>
          <w:i/>
          <w:lang w:val="fr-FR"/>
        </w:rPr>
        <w:t>M</w:t>
      </w:r>
      <w:r w:rsidRPr="00496525">
        <w:rPr>
          <w:i/>
          <w:lang w:val="fr-FR"/>
        </w:rPr>
        <w:t>odèles de marque d’homologation A et B,</w:t>
      </w:r>
      <w:r w:rsidRPr="00496525">
        <w:rPr>
          <w:lang w:val="fr-FR"/>
        </w:rPr>
        <w:t xml:space="preserve"> modifier comme suit (la note de bas de page 1 existante demeure inchangée):</w:t>
      </w:r>
    </w:p>
    <w:p w:rsidR="00496525" w:rsidRPr="00496525" w:rsidRDefault="00496525" w:rsidP="00496525">
      <w:pPr>
        <w:spacing w:after="120"/>
        <w:ind w:left="1134" w:right="1134"/>
        <w:jc w:val="both"/>
        <w:rPr>
          <w:lang w:val="fr-FR"/>
        </w:rPr>
      </w:pPr>
      <w:r w:rsidRPr="00496525">
        <w:rPr>
          <w:lang w:val="fr-FR"/>
        </w:rPr>
        <w:t>«Modèle A</w:t>
      </w:r>
    </w:p>
    <w:p w:rsidR="00496525" w:rsidRPr="00496525" w:rsidRDefault="00496525" w:rsidP="00496525">
      <w:pPr>
        <w:spacing w:after="120"/>
        <w:ind w:left="1134" w:right="1134"/>
        <w:jc w:val="both"/>
        <w:rPr>
          <w:lang w:val="fr-FR"/>
        </w:rPr>
      </w:pPr>
      <w:r w:rsidRPr="00496525">
        <w:rPr>
          <w:lang w:val="fr-FR"/>
        </w:rPr>
        <w:t>(Voir le paragraphe 4.4 du présent Règlement)</w:t>
      </w:r>
    </w:p>
    <w:p w:rsidR="00496525" w:rsidRPr="00496525" w:rsidRDefault="00351FF6" w:rsidP="00496525">
      <w:pPr>
        <w:jc w:val="center"/>
        <w:rPr>
          <w:lang w:val="fr-FR"/>
        </w:rPr>
      </w:pPr>
      <w:r>
        <w:rPr>
          <w:lang w:val="fr-FR"/>
        </w:rPr>
        <w:pict>
          <v:shape id="_x0000_i1027" type="#_x0000_t75" style="width:362.4pt;height:85.8pt">
            <v:imagedata r:id="rId10" o:title=""/>
          </v:shape>
        </w:pict>
      </w:r>
    </w:p>
    <w:p w:rsidR="00496525" w:rsidRPr="00496525" w:rsidRDefault="00496525" w:rsidP="00496525">
      <w:pPr>
        <w:tabs>
          <w:tab w:val="left" w:pos="-1246"/>
          <w:tab w:val="left" w:pos="-720"/>
          <w:tab w:val="left" w:pos="0"/>
          <w:tab w:val="left" w:pos="720"/>
          <w:tab w:val="left" w:pos="1530"/>
          <w:tab w:val="left" w:pos="2160"/>
          <w:tab w:val="left" w:pos="2880"/>
          <w:tab w:val="left" w:pos="5040"/>
          <w:tab w:val="left" w:pos="5554"/>
          <w:tab w:val="left" w:pos="6804"/>
          <w:tab w:val="left" w:pos="7200"/>
          <w:tab w:val="left" w:pos="7920"/>
          <w:tab w:val="left" w:pos="8640"/>
          <w:tab w:val="left" w:pos="9360"/>
        </w:tabs>
        <w:spacing w:after="120"/>
        <w:ind w:right="1139"/>
        <w:jc w:val="right"/>
        <w:rPr>
          <w:lang w:val="fr-FR"/>
        </w:rPr>
      </w:pPr>
      <w:r w:rsidRPr="00496525">
        <w:rPr>
          <w:lang w:val="fr-FR"/>
        </w:rPr>
        <w:t>a = 8 mm min.</w:t>
      </w:r>
    </w:p>
    <w:p w:rsidR="00496525" w:rsidRPr="00496525" w:rsidRDefault="00496525" w:rsidP="006B7914">
      <w:pPr>
        <w:spacing w:after="240"/>
        <w:ind w:left="1134" w:right="1134" w:firstLine="567"/>
        <w:jc w:val="both"/>
        <w:rPr>
          <w:lang w:val="fr-FR"/>
        </w:rPr>
      </w:pPr>
      <w:r w:rsidRPr="00496525">
        <w:rPr>
          <w:lang w:val="fr-FR"/>
        </w:rPr>
        <w:t xml:space="preserve">La marque d’homologation ci-dessus, apposée sur un véhicule, indique que le type de ce véhicule a été homologué aux Pays-Bas (E4) en ce qui concerne l’emplacement et les moyens d’identification des commandes manuelles, des témoins et des indicateurs, en vertu du Règlement </w:t>
      </w:r>
      <w:r w:rsidRPr="00496525">
        <w:rPr>
          <w:rFonts w:eastAsia="MS Mincho"/>
          <w:lang w:val="fr-FR"/>
        </w:rPr>
        <w:t>n</w:t>
      </w:r>
      <w:r w:rsidRPr="00496525">
        <w:rPr>
          <w:rFonts w:eastAsia="MS Mincho"/>
          <w:vertAlign w:val="superscript"/>
          <w:lang w:val="fr-FR"/>
        </w:rPr>
        <w:t>o</w:t>
      </w:r>
      <w:r w:rsidRPr="00496525">
        <w:rPr>
          <w:lang w:val="fr-FR"/>
        </w:rPr>
        <w:t xml:space="preserve"> 121, sous le numéro 011234. Les deux premiers chiffres du numéro d’homologation (01) indiquent que l’homologation a été délivrée conformément aux dispositions du Règlement </w:t>
      </w:r>
      <w:r w:rsidRPr="00496525">
        <w:rPr>
          <w:rFonts w:eastAsia="MS Mincho"/>
          <w:lang w:val="fr-FR"/>
        </w:rPr>
        <w:t>n</w:t>
      </w:r>
      <w:r w:rsidRPr="00496525">
        <w:rPr>
          <w:rFonts w:eastAsia="MS Mincho"/>
          <w:vertAlign w:val="superscript"/>
          <w:lang w:val="fr-FR"/>
        </w:rPr>
        <w:t>o</w:t>
      </w:r>
      <w:r w:rsidRPr="00496525">
        <w:rPr>
          <w:lang w:val="fr-FR"/>
        </w:rPr>
        <w:t> 121 tel qu’il a été modifié par la série 01 d’amendements.</w:t>
      </w:r>
    </w:p>
    <w:p w:rsidR="00496525" w:rsidRPr="00496525" w:rsidRDefault="00496525" w:rsidP="00496525">
      <w:pPr>
        <w:spacing w:after="120"/>
        <w:ind w:left="1134" w:right="1134"/>
        <w:jc w:val="both"/>
        <w:rPr>
          <w:lang w:val="fr-FR"/>
        </w:rPr>
      </w:pPr>
      <w:r w:rsidRPr="00496525">
        <w:rPr>
          <w:lang w:val="fr-FR"/>
        </w:rPr>
        <w:t>Modèle B</w:t>
      </w:r>
    </w:p>
    <w:p w:rsidR="00496525" w:rsidRPr="00496525" w:rsidRDefault="00496525" w:rsidP="00496525">
      <w:pPr>
        <w:spacing w:after="120"/>
        <w:ind w:left="1134" w:right="1134"/>
        <w:jc w:val="both"/>
        <w:rPr>
          <w:lang w:val="fr-FR"/>
        </w:rPr>
      </w:pPr>
      <w:r w:rsidRPr="00496525">
        <w:rPr>
          <w:lang w:val="fr-FR"/>
        </w:rPr>
        <w:t>(Voir le paragraphe 4.5 du présent Règlement)</w:t>
      </w:r>
    </w:p>
    <w:p w:rsidR="00496525" w:rsidRPr="00496525" w:rsidRDefault="00351FF6" w:rsidP="00496525">
      <w:pPr>
        <w:tabs>
          <w:tab w:val="left" w:pos="-1246"/>
          <w:tab w:val="left" w:pos="-720"/>
        </w:tabs>
        <w:ind w:left="1134"/>
        <w:rPr>
          <w:lang w:val="fr-FR"/>
        </w:rPr>
      </w:pPr>
      <w:r>
        <w:rPr>
          <w:lang w:val="fr-FR"/>
        </w:rPr>
        <w:pict>
          <v:shape id="_x0000_i1028" type="#_x0000_t75" style="width:373.2pt;height:75pt">
            <v:imagedata r:id="rId11" o:title=""/>
          </v:shape>
        </w:pict>
      </w:r>
    </w:p>
    <w:p w:rsidR="00496525" w:rsidRPr="00496525" w:rsidRDefault="00496525" w:rsidP="00496525">
      <w:pPr>
        <w:tabs>
          <w:tab w:val="left" w:pos="6946"/>
          <w:tab w:val="right" w:pos="9900"/>
        </w:tabs>
        <w:spacing w:after="120"/>
        <w:ind w:right="1139"/>
        <w:jc w:val="right"/>
        <w:rPr>
          <w:lang w:val="fr-FR"/>
        </w:rPr>
      </w:pPr>
      <w:r w:rsidRPr="00496525">
        <w:rPr>
          <w:lang w:val="fr-FR"/>
        </w:rPr>
        <w:tab/>
        <w:t>a = 8 mm min.</w:t>
      </w:r>
    </w:p>
    <w:p w:rsidR="00496525" w:rsidRPr="00496525" w:rsidRDefault="00496525" w:rsidP="006B7914">
      <w:pPr>
        <w:spacing w:after="240"/>
        <w:ind w:left="1134" w:right="1134" w:firstLine="567"/>
        <w:jc w:val="both"/>
        <w:rPr>
          <w:lang w:val="fr-FR"/>
        </w:rPr>
      </w:pPr>
      <w:r w:rsidRPr="00496525">
        <w:rPr>
          <w:lang w:val="fr-FR"/>
        </w:rPr>
        <w:t xml:space="preserve">La marque d’homologation ci-dessus, apposée sur un véhicule, indique que le type de ce véhicule a été homologué aux Pays-Bas (E4) en vertu des Règlements </w:t>
      </w:r>
      <w:r w:rsidRPr="00496525">
        <w:rPr>
          <w:rFonts w:eastAsia="MS Mincho"/>
          <w:lang w:val="fr-FR"/>
        </w:rPr>
        <w:t>n</w:t>
      </w:r>
      <w:r w:rsidRPr="00496525">
        <w:rPr>
          <w:rFonts w:eastAsia="MS Mincho"/>
          <w:vertAlign w:val="superscript"/>
          <w:lang w:val="fr-FR"/>
        </w:rPr>
        <w:t>o</w:t>
      </w:r>
      <w:r w:rsidRPr="00496525">
        <w:rPr>
          <w:vertAlign w:val="superscript"/>
          <w:lang w:val="fr-FR"/>
        </w:rPr>
        <w:t>s</w:t>
      </w:r>
      <w:r w:rsidRPr="00496525">
        <w:rPr>
          <w:lang w:val="fr-FR"/>
        </w:rPr>
        <w:t> 121 et 33</w:t>
      </w:r>
      <w:r w:rsidRPr="00496525">
        <w:rPr>
          <w:sz w:val="18"/>
          <w:szCs w:val="18"/>
          <w:vertAlign w:val="superscript"/>
          <w:lang w:val="fr-FR"/>
        </w:rPr>
        <w:t>1</w:t>
      </w:r>
      <w:r w:rsidRPr="00496525">
        <w:rPr>
          <w:lang w:val="fr-FR"/>
        </w:rPr>
        <w:t xml:space="preserve">. Le numéro d’homologation indique que, à la date où les homologations correspondantes ont été délivrées, le Règlement </w:t>
      </w:r>
      <w:r w:rsidRPr="00496525">
        <w:rPr>
          <w:rFonts w:eastAsia="MS Mincho"/>
          <w:lang w:val="fr-FR"/>
        </w:rPr>
        <w:t>n</w:t>
      </w:r>
      <w:r w:rsidRPr="00496525">
        <w:rPr>
          <w:rFonts w:eastAsia="MS Mincho"/>
          <w:vertAlign w:val="superscript"/>
          <w:lang w:val="fr-FR"/>
        </w:rPr>
        <w:t>o</w:t>
      </w:r>
      <w:r w:rsidRPr="00496525">
        <w:rPr>
          <w:lang w:val="fr-FR"/>
        </w:rPr>
        <w:t xml:space="preserve"> 121 était tel que modifié par la série 01 d’amendements tandis que le Règlement </w:t>
      </w:r>
      <w:r w:rsidRPr="00496525">
        <w:rPr>
          <w:rFonts w:eastAsia="MS Mincho"/>
          <w:lang w:val="fr-FR"/>
        </w:rPr>
        <w:t>n</w:t>
      </w:r>
      <w:r w:rsidRPr="00496525">
        <w:rPr>
          <w:rFonts w:eastAsia="MS Mincho"/>
          <w:vertAlign w:val="superscript"/>
          <w:lang w:val="fr-FR"/>
        </w:rPr>
        <w:t>o</w:t>
      </w:r>
      <w:r w:rsidRPr="00496525">
        <w:rPr>
          <w:lang w:val="fr-FR"/>
        </w:rPr>
        <w:t> 33 était toujours dans sa forme originelle.».</w:t>
      </w:r>
    </w:p>
    <w:p w:rsidR="00496525" w:rsidRPr="00496525" w:rsidRDefault="00496525" w:rsidP="00496525">
      <w:pPr>
        <w:spacing w:before="240"/>
        <w:ind w:left="1134" w:right="1134"/>
        <w:jc w:val="center"/>
        <w:rPr>
          <w:u w:val="single"/>
        </w:rPr>
      </w:pPr>
      <w:r w:rsidRPr="00496525">
        <w:rPr>
          <w:u w:val="single"/>
        </w:rPr>
        <w:tab/>
      </w:r>
      <w:r w:rsidRPr="00496525">
        <w:rPr>
          <w:u w:val="single"/>
        </w:rPr>
        <w:tab/>
      </w:r>
      <w:r w:rsidRPr="00496525">
        <w:rPr>
          <w:u w:val="single"/>
        </w:rPr>
        <w:tab/>
      </w:r>
    </w:p>
    <w:p w:rsidR="00FC2CA9" w:rsidRPr="00972C55" w:rsidRDefault="00FC2CA9" w:rsidP="00EF5EBC">
      <w:pPr>
        <w:pStyle w:val="SingleTxtG"/>
        <w:rPr>
          <w:u w:val="single"/>
        </w:rPr>
      </w:pPr>
    </w:p>
    <w:sectPr w:rsidR="00FC2CA9" w:rsidRPr="00972C55" w:rsidSect="000314C7">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17" w:rsidRDefault="008C4917"/>
  </w:endnote>
  <w:endnote w:type="continuationSeparator" w:id="0">
    <w:p w:rsidR="008C4917" w:rsidRDefault="008C4917">
      <w:pPr>
        <w:pStyle w:val="Footer"/>
      </w:pPr>
    </w:p>
  </w:endnote>
  <w:endnote w:type="continuationNotice" w:id="1">
    <w:p w:rsidR="008C4917" w:rsidRPr="00C451B9" w:rsidRDefault="008C491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351FF6">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351FF6">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351FF6" w:rsidP="00E97E2C">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0.15pt;margin-top:651.95pt;width:86.95pt;height:18.35pt;z-index:251657728;mso-position-horizontal-relative:margin;mso-position-vertical-relative:margin">
          <v:imagedata r:id="rId1" o:title="recycle_French"/>
          <w10:wrap anchorx="margin" anchory="margin"/>
        </v:shape>
      </w:pict>
    </w:r>
    <w:r w:rsidR="00710974">
      <w:t>_______________</w:t>
    </w:r>
  </w:p>
  <w:p w:rsidR="00710974" w:rsidRDefault="00351FF6" w:rsidP="00E97E2C">
    <w:pPr>
      <w:jc w:val="center"/>
      <w:rPr>
        <w:b/>
        <w:bCs/>
        <w:sz w:val="22"/>
      </w:rPr>
    </w:pPr>
    <w:r>
      <w:pict>
        <v:shape id="_x0000_i1029" type="#_x0000_t75" style="width:1in;height:60.6pt;mso-wrap-distance-bottom:10.8pt" o:allowoverlap="f" fillcolor="window">
          <v:imagedata r:id="rId2"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10974" w:rsidRPr="000314C7" w:rsidRDefault="00710974" w:rsidP="000314C7">
    <w:pPr>
      <w:pStyle w:val="Footer"/>
      <w:spacing w:before="120"/>
      <w:rPr>
        <w:sz w:val="20"/>
      </w:rPr>
    </w:pPr>
    <w:r>
      <w:rPr>
        <w:sz w:val="20"/>
      </w:rPr>
      <w:t>GE</w:t>
    </w:r>
    <w:r w:rsidR="004750C7">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17" w:rsidRPr="00D27D5E" w:rsidRDefault="008C4917" w:rsidP="00D27D5E">
      <w:pPr>
        <w:tabs>
          <w:tab w:val="right" w:pos="2155"/>
        </w:tabs>
        <w:spacing w:after="80"/>
        <w:ind w:left="680"/>
        <w:rPr>
          <w:u w:val="single"/>
        </w:rPr>
      </w:pPr>
      <w:r>
        <w:rPr>
          <w:u w:val="single"/>
        </w:rPr>
        <w:tab/>
      </w:r>
    </w:p>
  </w:footnote>
  <w:footnote w:type="continuationSeparator" w:id="0">
    <w:p w:rsidR="008C4917" w:rsidRPr="00D171D4" w:rsidRDefault="008C4917" w:rsidP="00D171D4">
      <w:pPr>
        <w:tabs>
          <w:tab w:val="right" w:pos="2155"/>
        </w:tabs>
        <w:spacing w:after="80"/>
        <w:ind w:left="680"/>
        <w:rPr>
          <w:u w:val="single"/>
        </w:rPr>
      </w:pPr>
      <w:r w:rsidRPr="00D171D4">
        <w:rPr>
          <w:u w:val="single"/>
        </w:rPr>
        <w:tab/>
      </w:r>
    </w:p>
  </w:footnote>
  <w:footnote w:type="continuationNotice" w:id="1">
    <w:p w:rsidR="008C4917" w:rsidRPr="00C451B9" w:rsidRDefault="008C4917"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E/ECE/324</w:t>
    </w:r>
    <w:r w:rsidR="00496525">
      <w:t>/Rev.2/Add.120/Rev.1/Amend.5</w:t>
    </w:r>
    <w:r>
      <w:br/>
      <w:t>E/ECE/TRANS/505</w:t>
    </w:r>
    <w:r w:rsidR="00496525">
      <w:t>/Rev.2/Add.120/Rev.1/Amend.5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E/ECE/324/Rev.2/Add.1</w:t>
    </w:r>
    <w:r w:rsidR="00496525">
      <w:t>20</w:t>
    </w:r>
    <w:r>
      <w:t>/Rev.1/Amend.</w:t>
    </w:r>
    <w:r w:rsidR="00496525">
      <w:t>5</w:t>
    </w:r>
    <w:r>
      <w:br/>
      <w:t>E/ECE/TRANS/505/Rev.2/Add.1</w:t>
    </w:r>
    <w:r w:rsidR="00496525">
      <w:t>20</w:t>
    </w:r>
    <w:r>
      <w:t>/Rev.1/Amend.</w:t>
    </w:r>
    <w:r w:rsidR="0049652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CC9"/>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10AD"/>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51FF6"/>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96525"/>
    <w:rsid w:val="004A49A5"/>
    <w:rsid w:val="004A66A2"/>
    <w:rsid w:val="004B261D"/>
    <w:rsid w:val="004B51CD"/>
    <w:rsid w:val="004B576C"/>
    <w:rsid w:val="004C54C0"/>
    <w:rsid w:val="004C56B2"/>
    <w:rsid w:val="004D00B2"/>
    <w:rsid w:val="004E4963"/>
    <w:rsid w:val="004E6809"/>
    <w:rsid w:val="004E7F24"/>
    <w:rsid w:val="005111B1"/>
    <w:rsid w:val="0051457E"/>
    <w:rsid w:val="00517141"/>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B7914"/>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917"/>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4CBB"/>
    <w:rsid w:val="00A05DD1"/>
    <w:rsid w:val="00A077E9"/>
    <w:rsid w:val="00A2490E"/>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0571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A7CC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03</dc:creator>
  <cp:lastModifiedBy>04</cp:lastModifiedBy>
  <cp:revision>3</cp:revision>
  <cp:lastPrinted>2015-06-05T09:57:00Z</cp:lastPrinted>
  <dcterms:created xsi:type="dcterms:W3CDTF">2015-06-15T09:15:00Z</dcterms:created>
  <dcterms:modified xsi:type="dcterms:W3CDTF">2015-06-22T09:43:00Z</dcterms:modified>
</cp:coreProperties>
</file>