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017FB0" w:rsidP="002C5B16">
            <w:pPr>
              <w:jc w:val="right"/>
            </w:pPr>
            <w:r w:rsidRPr="00014D07">
              <w:rPr>
                <w:sz w:val="40"/>
              </w:rPr>
              <w:t>E</w:t>
            </w:r>
            <w:r>
              <w:t>/ECE/324/Rev.2/Add.111/Rev.3/Amend.3−</w:t>
            </w:r>
            <w:r w:rsidRPr="00014D07">
              <w:rPr>
                <w:sz w:val="40"/>
              </w:rPr>
              <w:t>E</w:t>
            </w:r>
            <w:r>
              <w:t>/ECE/TRANS/505/Rev.2/Add.111/Rev.3/Amend.3</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763383" w:rsidP="00495A7B">
            <w:pPr>
              <w:spacing w:before="480" w:line="240" w:lineRule="exact"/>
            </w:pPr>
            <w:r>
              <w:rPr>
                <w:lang w:val="en-GB" w:eastAsia="en-GB"/>
              </w:rPr>
              <w:t>9 novembre 2015</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E15F88">
      <w:pPr>
        <w:pStyle w:val="H1G"/>
        <w:spacing w:before="220" w:after="100" w:line="240" w:lineRule="exact"/>
      </w:pPr>
      <w:r>
        <w:tab/>
      </w:r>
      <w:r>
        <w:tab/>
      </w:r>
      <w:r w:rsidR="00421A10" w:rsidRPr="006549FF">
        <w:t xml:space="preserve">Additif </w:t>
      </w:r>
      <w:r w:rsidR="00017FB0">
        <w:t>111</w:t>
      </w:r>
      <w:r w:rsidR="00421A10" w:rsidRPr="006549FF">
        <w:t>: Règlement</w:t>
      </w:r>
      <w:r w:rsidR="00421A10">
        <w:t xml:space="preserve"> </w:t>
      </w:r>
      <w:r w:rsidR="00421A10" w:rsidRPr="00B371BF">
        <w:t>n</w:t>
      </w:r>
      <w:r w:rsidR="00421A10" w:rsidRPr="00E15F88">
        <w:t>o</w:t>
      </w:r>
      <w:r w:rsidR="00421A10">
        <w:t> </w:t>
      </w:r>
      <w:r w:rsidR="00017FB0">
        <w:t>112</w:t>
      </w:r>
    </w:p>
    <w:p w:rsidR="00421A10" w:rsidRPr="006549FF" w:rsidRDefault="0029791D" w:rsidP="00242268">
      <w:pPr>
        <w:pStyle w:val="H1G"/>
        <w:spacing w:before="220" w:after="100" w:line="240" w:lineRule="exact"/>
      </w:pPr>
      <w:r>
        <w:tab/>
      </w:r>
      <w:r>
        <w:tab/>
      </w:r>
      <w:r w:rsidR="00421A10" w:rsidRPr="006549FF">
        <w:t xml:space="preserve">Révision </w:t>
      </w:r>
      <w:r w:rsidR="00017FB0">
        <w:t>3</w:t>
      </w:r>
      <w:r w:rsidR="000314C7">
        <w:t xml:space="preserve"> − Amendement </w:t>
      </w:r>
      <w:r w:rsidR="00017FB0">
        <w:t>3</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017FB0">
        <w:rPr>
          <w:spacing w:val="-2"/>
        </w:rPr>
        <w:t>6</w:t>
      </w:r>
      <w:r w:rsidR="00FC2CA9" w:rsidRPr="00FC2CA9">
        <w:rPr>
          <w:spacing w:val="-2"/>
        </w:rPr>
        <w:t xml:space="preserve"> </w:t>
      </w:r>
      <w:r w:rsidRPr="00FC2CA9">
        <w:rPr>
          <w:spacing w:val="-2"/>
        </w:rPr>
        <w:t>à la</w:t>
      </w:r>
      <w:r w:rsidR="00FC2CA9" w:rsidRPr="00FC2CA9">
        <w:rPr>
          <w:spacing w:val="-2"/>
        </w:rPr>
        <w:t xml:space="preserve"> </w:t>
      </w:r>
      <w:r w:rsidR="00EF5EBC">
        <w:rPr>
          <w:spacing w:val="-2"/>
        </w:rPr>
        <w:t xml:space="preserve">série </w:t>
      </w:r>
      <w:r w:rsidR="00017FB0">
        <w:rPr>
          <w:spacing w:val="-2"/>
        </w:rPr>
        <w:t>01</w:t>
      </w:r>
      <w:r w:rsidR="00EF5EBC">
        <w:rPr>
          <w:spacing w:val="-2"/>
        </w:rPr>
        <w:t xml:space="preserve"> d'amendements a</w:t>
      </w:r>
      <w:r w:rsidR="00FC2CA9" w:rsidRPr="00FC2CA9">
        <w:rPr>
          <w:spacing w:val="-2"/>
        </w:rPr>
        <w:t>u</w:t>
      </w:r>
      <w:r w:rsidR="00015650" w:rsidRPr="00FC2CA9">
        <w:rPr>
          <w:spacing w:val="-2"/>
        </w:rPr>
        <w:t xml:space="preserve"> Règlement − Date d’entrée en vigueur:</w:t>
      </w:r>
      <w:r w:rsidR="00017FB0">
        <w:rPr>
          <w:spacing w:val="-2"/>
        </w:rPr>
        <w:br/>
        <w:t>8 octobre 2015</w:t>
      </w:r>
      <w:r w:rsidR="00015650" w:rsidRPr="00FC2CA9">
        <w:rPr>
          <w:spacing w:val="-2"/>
        </w:rPr>
        <w:t xml:space="preserve"> </w:t>
      </w:r>
    </w:p>
    <w:p w:rsidR="00DD1ED8" w:rsidRPr="00242268" w:rsidRDefault="00DD1ED8" w:rsidP="00242268">
      <w:pPr>
        <w:pStyle w:val="H1G"/>
        <w:spacing w:line="260" w:lineRule="exact"/>
        <w:rPr>
          <w:spacing w:val="-2"/>
        </w:rPr>
      </w:pPr>
      <w:r>
        <w:tab/>
      </w:r>
      <w:r>
        <w:tab/>
      </w:r>
      <w:r w:rsidR="00017FB0" w:rsidRPr="00017FB0">
        <w:rPr>
          <w:spacing w:val="-2"/>
        </w:rPr>
        <w:t>Prescriptions uniformes relatives à l'homologation des projecteurs pour véhicules automobiles émettant un faisceau de croisement asymétrique ou un faisceau de route ou les deux à la fois et équipés de lampes à incandescence et/ou de modules à diode électroluminescente (DEL)</w:t>
      </w:r>
    </w:p>
    <w:p w:rsidR="00D5218B" w:rsidRDefault="001D3393" w:rsidP="00017FB0">
      <w:pPr>
        <w:pStyle w:val="SingleTxtG"/>
        <w:rPr>
          <w:lang w:val="en-GB" w:eastAsia="en-GB"/>
        </w:rPr>
      </w:pPr>
      <w:r w:rsidRPr="001D3393">
        <w:rPr>
          <w:lang w:val="en-GB" w:eastAsia="en-GB"/>
        </w:rPr>
        <w:t>Ce document constitue un outil de documentation. Le texte authentique et contraignant juridique est</w:t>
      </w:r>
      <w:r w:rsidR="00017FB0" w:rsidRPr="00B32121">
        <w:rPr>
          <w:spacing w:val="-4"/>
          <w:lang w:eastAsia="en-GB"/>
        </w:rPr>
        <w:t>:</w:t>
      </w:r>
      <w:r w:rsidR="00017FB0">
        <w:rPr>
          <w:lang w:eastAsia="en-GB"/>
        </w:rPr>
        <w:t xml:space="preserve"> </w:t>
      </w:r>
      <w:r w:rsidR="00017FB0">
        <w:rPr>
          <w:spacing w:val="-6"/>
          <w:lang w:eastAsia="en-GB"/>
        </w:rPr>
        <w:t>ECE/TRANS/WP.29/2015/29.</w:t>
      </w:r>
    </w:p>
    <w:p w:rsidR="00017FB0" w:rsidRDefault="00DD1ED8" w:rsidP="00017FB0">
      <w:pPr>
        <w:pStyle w:val="SingleTxtG"/>
        <w:keepNext/>
        <w:rPr>
          <w:i/>
        </w:rPr>
      </w:pPr>
      <w:r>
        <w:br w:type="page"/>
      </w:r>
      <w:r w:rsidR="00017FB0" w:rsidRPr="00017FB0">
        <w:rPr>
          <w:i/>
        </w:rPr>
        <w:lastRenderedPageBreak/>
        <w:t xml:space="preserve">Annexe 4, </w:t>
      </w:r>
    </w:p>
    <w:p w:rsidR="00017FB0" w:rsidRPr="00017FB0" w:rsidRDefault="00017FB0" w:rsidP="00017FB0">
      <w:pPr>
        <w:pStyle w:val="SingleTxtG"/>
        <w:keepNext/>
      </w:pPr>
      <w:r>
        <w:rPr>
          <w:i/>
        </w:rPr>
        <w:t>P</w:t>
      </w:r>
      <w:r w:rsidRPr="00017FB0">
        <w:rPr>
          <w:i/>
        </w:rPr>
        <w:t>aragraphes 1.2.1.1 à 1.2.1.1.2</w:t>
      </w:r>
      <w:r w:rsidRPr="00017FB0">
        <w:t>, modifier comme suit:</w:t>
      </w:r>
    </w:p>
    <w:p w:rsidR="00017FB0" w:rsidRPr="00017FB0" w:rsidRDefault="00017FB0" w:rsidP="00017FB0">
      <w:pPr>
        <w:keepNext/>
        <w:kinsoku w:val="0"/>
        <w:overflowPunct w:val="0"/>
        <w:autoSpaceDE w:val="0"/>
        <w:autoSpaceDN w:val="0"/>
        <w:adjustRightInd w:val="0"/>
        <w:snapToGrid w:val="0"/>
        <w:spacing w:after="120"/>
        <w:ind w:left="1134" w:right="1134"/>
      </w:pPr>
      <w:r w:rsidRPr="00017FB0">
        <w:t>«1.2.1.1</w:t>
      </w:r>
      <w:r w:rsidRPr="00017FB0">
        <w:tab/>
        <w:t>Mélange d’essai</w:t>
      </w:r>
    </w:p>
    <w:p w:rsidR="00017FB0" w:rsidRPr="00017FB0" w:rsidRDefault="00017FB0" w:rsidP="00017FB0">
      <w:pPr>
        <w:kinsoku w:val="0"/>
        <w:overflowPunct w:val="0"/>
        <w:autoSpaceDE w:val="0"/>
        <w:autoSpaceDN w:val="0"/>
        <w:adjustRightInd w:val="0"/>
        <w:snapToGrid w:val="0"/>
        <w:spacing w:after="120"/>
        <w:ind w:left="1134" w:right="1134"/>
        <w:jc w:val="both"/>
        <w:rPr>
          <w:szCs w:val="24"/>
        </w:rPr>
      </w:pPr>
      <w:r w:rsidRPr="00017FB0">
        <w:rPr>
          <w:szCs w:val="24"/>
        </w:rPr>
        <w:t>1.2.1.1.1</w:t>
      </w:r>
      <w:r w:rsidRPr="00017FB0">
        <w:rPr>
          <w:szCs w:val="24"/>
        </w:rPr>
        <w:tab/>
        <w:t>Pour projecteur avec glace extérieure en verre:</w:t>
      </w:r>
    </w:p>
    <w:p w:rsidR="00017FB0" w:rsidRPr="00017FB0" w:rsidRDefault="00017FB0" w:rsidP="00017FB0">
      <w:pPr>
        <w:kinsoku w:val="0"/>
        <w:overflowPunct w:val="0"/>
        <w:autoSpaceDE w:val="0"/>
        <w:autoSpaceDN w:val="0"/>
        <w:adjustRightInd w:val="0"/>
        <w:snapToGrid w:val="0"/>
        <w:spacing w:after="120"/>
        <w:ind w:left="2268" w:right="1134"/>
        <w:jc w:val="both"/>
      </w:pPr>
      <w:r w:rsidRPr="00017FB0">
        <w:t xml:space="preserve">Le mélange d’eau et de polluant à appliquer sur le projecteur doit être constitué de: </w:t>
      </w:r>
    </w:p>
    <w:p w:rsidR="00017FB0" w:rsidRPr="00017FB0" w:rsidRDefault="00017FB0" w:rsidP="00017FB0">
      <w:pPr>
        <w:kinsoku w:val="0"/>
        <w:overflowPunct w:val="0"/>
        <w:autoSpaceDE w:val="0"/>
        <w:autoSpaceDN w:val="0"/>
        <w:adjustRightInd w:val="0"/>
        <w:snapToGrid w:val="0"/>
        <w:spacing w:after="120"/>
        <w:ind w:left="2268" w:right="1134"/>
        <w:jc w:val="both"/>
      </w:pPr>
      <w:r w:rsidRPr="00017FB0">
        <w:t xml:space="preserve">9 parties (en poids) de sable de silice dont la granulométrie est comprise entre 0 et 100 </w:t>
      </w:r>
      <w:r w:rsidRPr="00017FB0">
        <w:rPr>
          <w:lang w:val="en-GB"/>
        </w:rPr>
        <w:t>μ</w:t>
      </w:r>
      <w:r w:rsidRPr="00017FB0">
        <w:t xml:space="preserve">m, </w:t>
      </w:r>
    </w:p>
    <w:p w:rsidR="00017FB0" w:rsidRPr="00017FB0" w:rsidRDefault="00017FB0" w:rsidP="00017FB0">
      <w:pPr>
        <w:kinsoku w:val="0"/>
        <w:overflowPunct w:val="0"/>
        <w:autoSpaceDE w:val="0"/>
        <w:autoSpaceDN w:val="0"/>
        <w:adjustRightInd w:val="0"/>
        <w:snapToGrid w:val="0"/>
        <w:spacing w:after="120"/>
        <w:ind w:left="2268" w:right="1134"/>
        <w:jc w:val="both"/>
      </w:pPr>
      <w:r w:rsidRPr="00017FB0">
        <w:t xml:space="preserve">1 partie (en poids) de poussière de charbon végétal produit à partir de bois de hêtre, de granulométrie comprise entre 0 et 100 </w:t>
      </w:r>
      <w:r w:rsidRPr="00017FB0">
        <w:rPr>
          <w:lang w:val="en-GB"/>
        </w:rPr>
        <w:t>μ</w:t>
      </w:r>
      <w:r w:rsidRPr="00017FB0">
        <w:t>m,</w:t>
      </w:r>
    </w:p>
    <w:p w:rsidR="00017FB0" w:rsidRPr="00017FB0" w:rsidRDefault="00017FB0" w:rsidP="00017FB0">
      <w:pPr>
        <w:kinsoku w:val="0"/>
        <w:overflowPunct w:val="0"/>
        <w:autoSpaceDE w:val="0"/>
        <w:autoSpaceDN w:val="0"/>
        <w:adjustRightInd w:val="0"/>
        <w:snapToGrid w:val="0"/>
        <w:spacing w:after="120"/>
        <w:ind w:left="1134" w:right="1134" w:firstLine="1134"/>
        <w:jc w:val="both"/>
      </w:pPr>
      <w:r w:rsidRPr="00017FB0">
        <w:t>0,2 partie (en poids) de NaCMC</w:t>
      </w:r>
      <w:r w:rsidRPr="00017FB0">
        <w:rPr>
          <w:vertAlign w:val="superscript"/>
        </w:rPr>
        <w:t>3</w:t>
      </w:r>
      <w:r w:rsidRPr="00017FB0">
        <w:t xml:space="preserve">, </w:t>
      </w:r>
    </w:p>
    <w:p w:rsidR="00017FB0" w:rsidRPr="00017FB0" w:rsidRDefault="00017FB0" w:rsidP="00017FB0">
      <w:pPr>
        <w:kinsoku w:val="0"/>
        <w:overflowPunct w:val="0"/>
        <w:autoSpaceDE w:val="0"/>
        <w:autoSpaceDN w:val="0"/>
        <w:adjustRightInd w:val="0"/>
        <w:snapToGrid w:val="0"/>
        <w:spacing w:after="120"/>
        <w:ind w:left="1134" w:right="1134" w:firstLine="1134"/>
        <w:jc w:val="both"/>
      </w:pPr>
      <w:r w:rsidRPr="00017FB0">
        <w:t>5 parties (en poids) de chlorure de sodium (pur à 99 %), et</w:t>
      </w:r>
    </w:p>
    <w:p w:rsidR="00017FB0" w:rsidRPr="00017FB0" w:rsidRDefault="00017FB0" w:rsidP="00017FB0">
      <w:pPr>
        <w:kinsoku w:val="0"/>
        <w:overflowPunct w:val="0"/>
        <w:autoSpaceDE w:val="0"/>
        <w:autoSpaceDN w:val="0"/>
        <w:adjustRightInd w:val="0"/>
        <w:snapToGrid w:val="0"/>
        <w:spacing w:after="120"/>
        <w:ind w:left="1134" w:right="1134" w:firstLine="1134"/>
        <w:jc w:val="both"/>
      </w:pPr>
      <w:r w:rsidRPr="00017FB0">
        <w:t>une quantité appropriée d’eau distillée de conductivité ≤ 1 µS/m.</w:t>
      </w:r>
    </w:p>
    <w:p w:rsidR="00017FB0" w:rsidRPr="00017FB0" w:rsidRDefault="00017FB0" w:rsidP="00017FB0">
      <w:pPr>
        <w:kinsoku w:val="0"/>
        <w:overflowPunct w:val="0"/>
        <w:autoSpaceDE w:val="0"/>
        <w:autoSpaceDN w:val="0"/>
        <w:adjustRightInd w:val="0"/>
        <w:snapToGrid w:val="0"/>
        <w:spacing w:after="120"/>
        <w:ind w:left="1134" w:right="1134" w:firstLine="1134"/>
        <w:jc w:val="both"/>
      </w:pPr>
      <w:r w:rsidRPr="00017FB0">
        <w:t>Le mélange ne doit pas dater de plus de 14 jours.</w:t>
      </w:r>
    </w:p>
    <w:p w:rsidR="00017FB0" w:rsidRPr="00017FB0" w:rsidRDefault="00017FB0" w:rsidP="00017FB0">
      <w:pPr>
        <w:kinsoku w:val="0"/>
        <w:overflowPunct w:val="0"/>
        <w:autoSpaceDE w:val="0"/>
        <w:autoSpaceDN w:val="0"/>
        <w:adjustRightInd w:val="0"/>
        <w:snapToGrid w:val="0"/>
        <w:spacing w:after="120"/>
        <w:ind w:left="1134" w:right="1134"/>
        <w:jc w:val="both"/>
        <w:rPr>
          <w:szCs w:val="24"/>
        </w:rPr>
      </w:pPr>
      <w:r w:rsidRPr="00017FB0">
        <w:rPr>
          <w:szCs w:val="24"/>
        </w:rPr>
        <w:t>1.2.1.1.2</w:t>
      </w:r>
      <w:r w:rsidRPr="00017FB0">
        <w:rPr>
          <w:szCs w:val="24"/>
        </w:rPr>
        <w:tab/>
        <w:t>Pour projecteur avec glace extérieure en plastique:</w:t>
      </w:r>
    </w:p>
    <w:p w:rsidR="00017FB0" w:rsidRPr="00017FB0" w:rsidRDefault="00017FB0" w:rsidP="00017FB0">
      <w:pPr>
        <w:kinsoku w:val="0"/>
        <w:overflowPunct w:val="0"/>
        <w:autoSpaceDE w:val="0"/>
        <w:autoSpaceDN w:val="0"/>
        <w:adjustRightInd w:val="0"/>
        <w:snapToGrid w:val="0"/>
        <w:spacing w:after="120"/>
        <w:ind w:left="2268" w:right="1134"/>
        <w:jc w:val="both"/>
        <w:rPr>
          <w:szCs w:val="24"/>
        </w:rPr>
      </w:pPr>
      <w:r w:rsidRPr="00017FB0">
        <w:rPr>
          <w:szCs w:val="24"/>
        </w:rPr>
        <w:t xml:space="preserve">Le mélange d’eau et de polluant à appliquer sur le projecteur doit être constitué de: </w:t>
      </w:r>
    </w:p>
    <w:p w:rsidR="00017FB0" w:rsidRPr="00017FB0" w:rsidRDefault="00017FB0" w:rsidP="00017FB0">
      <w:pPr>
        <w:kinsoku w:val="0"/>
        <w:overflowPunct w:val="0"/>
        <w:autoSpaceDE w:val="0"/>
        <w:autoSpaceDN w:val="0"/>
        <w:adjustRightInd w:val="0"/>
        <w:snapToGrid w:val="0"/>
        <w:spacing w:after="120"/>
        <w:ind w:left="2268" w:right="1134"/>
        <w:jc w:val="both"/>
        <w:rPr>
          <w:szCs w:val="24"/>
        </w:rPr>
      </w:pPr>
      <w:r w:rsidRPr="00017FB0">
        <w:rPr>
          <w:szCs w:val="24"/>
        </w:rPr>
        <w:t xml:space="preserve">9 parties (en poids) de sable de silice dont la granulométrie est comprise entre 0 et 100 </w:t>
      </w:r>
      <w:r w:rsidRPr="00017FB0">
        <w:rPr>
          <w:szCs w:val="24"/>
          <w:lang w:val="en-GB"/>
        </w:rPr>
        <w:t>μ</w:t>
      </w:r>
      <w:r w:rsidRPr="00017FB0">
        <w:rPr>
          <w:szCs w:val="24"/>
        </w:rPr>
        <w:t xml:space="preserve">m, </w:t>
      </w:r>
    </w:p>
    <w:p w:rsidR="00017FB0" w:rsidRPr="00017FB0" w:rsidRDefault="00017FB0" w:rsidP="00017FB0">
      <w:pPr>
        <w:kinsoku w:val="0"/>
        <w:overflowPunct w:val="0"/>
        <w:autoSpaceDE w:val="0"/>
        <w:autoSpaceDN w:val="0"/>
        <w:adjustRightInd w:val="0"/>
        <w:snapToGrid w:val="0"/>
        <w:spacing w:after="120"/>
        <w:ind w:left="2268" w:right="1134"/>
        <w:jc w:val="both"/>
        <w:rPr>
          <w:szCs w:val="24"/>
        </w:rPr>
      </w:pPr>
      <w:r w:rsidRPr="00017FB0">
        <w:rPr>
          <w:szCs w:val="24"/>
        </w:rPr>
        <w:t xml:space="preserve">1 partie (en poids) de poussière de charbon végétal produit à partir de bois de hêtre, de granulométrie comprise entre 0 et 100 </w:t>
      </w:r>
      <w:r w:rsidRPr="00017FB0">
        <w:rPr>
          <w:szCs w:val="24"/>
          <w:lang w:val="en-GB"/>
        </w:rPr>
        <w:t>μ</w:t>
      </w:r>
      <w:r w:rsidRPr="00017FB0">
        <w:rPr>
          <w:szCs w:val="24"/>
        </w:rPr>
        <w:t xml:space="preserve">m, </w:t>
      </w:r>
    </w:p>
    <w:p w:rsidR="00017FB0" w:rsidRPr="00017FB0" w:rsidRDefault="00017FB0" w:rsidP="00017FB0">
      <w:pPr>
        <w:kinsoku w:val="0"/>
        <w:overflowPunct w:val="0"/>
        <w:autoSpaceDE w:val="0"/>
        <w:autoSpaceDN w:val="0"/>
        <w:adjustRightInd w:val="0"/>
        <w:snapToGrid w:val="0"/>
        <w:spacing w:after="120"/>
        <w:ind w:left="2268" w:right="1134"/>
        <w:jc w:val="both"/>
        <w:rPr>
          <w:szCs w:val="24"/>
        </w:rPr>
      </w:pPr>
      <w:r w:rsidRPr="00017FB0">
        <w:rPr>
          <w:szCs w:val="24"/>
        </w:rPr>
        <w:t>0,2 partie (en poids) de NaCMC</w:t>
      </w:r>
      <w:r w:rsidRPr="00017FB0">
        <w:rPr>
          <w:szCs w:val="24"/>
          <w:vertAlign w:val="superscript"/>
        </w:rPr>
        <w:t>3</w:t>
      </w:r>
      <w:r w:rsidRPr="00017FB0">
        <w:rPr>
          <w:szCs w:val="24"/>
        </w:rPr>
        <w:t>,</w:t>
      </w:r>
    </w:p>
    <w:p w:rsidR="00017FB0" w:rsidRPr="00017FB0" w:rsidRDefault="00017FB0" w:rsidP="00017FB0">
      <w:pPr>
        <w:kinsoku w:val="0"/>
        <w:overflowPunct w:val="0"/>
        <w:autoSpaceDE w:val="0"/>
        <w:autoSpaceDN w:val="0"/>
        <w:adjustRightInd w:val="0"/>
        <w:snapToGrid w:val="0"/>
        <w:spacing w:after="120"/>
        <w:ind w:left="2268" w:right="1134"/>
        <w:jc w:val="both"/>
        <w:rPr>
          <w:szCs w:val="24"/>
        </w:rPr>
      </w:pPr>
      <w:r w:rsidRPr="00017FB0">
        <w:rPr>
          <w:szCs w:val="24"/>
        </w:rPr>
        <w:t>5 parties (en poids) de chlorure de sodium (pur à 99 %),</w:t>
      </w:r>
    </w:p>
    <w:p w:rsidR="00017FB0" w:rsidRPr="00017FB0" w:rsidRDefault="00017FB0" w:rsidP="00017FB0">
      <w:pPr>
        <w:kinsoku w:val="0"/>
        <w:overflowPunct w:val="0"/>
        <w:autoSpaceDE w:val="0"/>
        <w:autoSpaceDN w:val="0"/>
        <w:adjustRightInd w:val="0"/>
        <w:snapToGrid w:val="0"/>
        <w:spacing w:after="120"/>
        <w:ind w:left="2268" w:right="1134"/>
        <w:jc w:val="both"/>
        <w:rPr>
          <w:szCs w:val="24"/>
        </w:rPr>
      </w:pPr>
      <w:r w:rsidRPr="00017FB0">
        <w:rPr>
          <w:szCs w:val="24"/>
        </w:rPr>
        <w:t xml:space="preserve">13 parties (en poids) d’eau distillée ayant une conductivité ≤1 </w:t>
      </w:r>
      <w:r w:rsidRPr="00017FB0">
        <w:rPr>
          <w:szCs w:val="24"/>
          <w:lang w:val="en-GB"/>
        </w:rPr>
        <w:t>μ</w:t>
      </w:r>
      <w:r w:rsidRPr="00017FB0">
        <w:rPr>
          <w:szCs w:val="24"/>
        </w:rPr>
        <w:t>S/m et</w:t>
      </w:r>
    </w:p>
    <w:p w:rsidR="00017FB0" w:rsidRPr="00017FB0" w:rsidRDefault="00017FB0" w:rsidP="00017FB0">
      <w:pPr>
        <w:kinsoku w:val="0"/>
        <w:overflowPunct w:val="0"/>
        <w:autoSpaceDE w:val="0"/>
        <w:autoSpaceDN w:val="0"/>
        <w:adjustRightInd w:val="0"/>
        <w:snapToGrid w:val="0"/>
        <w:spacing w:after="120"/>
        <w:ind w:left="2268" w:right="1134"/>
        <w:jc w:val="both"/>
        <w:rPr>
          <w:szCs w:val="24"/>
        </w:rPr>
      </w:pPr>
      <w:r w:rsidRPr="00017FB0">
        <w:rPr>
          <w:szCs w:val="24"/>
        </w:rPr>
        <w:t xml:space="preserve">2 </w:t>
      </w:r>
      <w:r w:rsidRPr="00017FB0">
        <w:rPr>
          <w:szCs w:val="24"/>
          <w:lang w:val="en-GB"/>
        </w:rPr>
        <w:sym w:font="Symbol" w:char="F0B1"/>
      </w:r>
      <w:r w:rsidRPr="00017FB0">
        <w:rPr>
          <w:szCs w:val="24"/>
        </w:rPr>
        <w:t xml:space="preserve"> 1 parties (en poids) d’un agent de surface</w:t>
      </w:r>
      <w:r w:rsidRPr="00017FB0">
        <w:rPr>
          <w:szCs w:val="24"/>
          <w:vertAlign w:val="superscript"/>
        </w:rPr>
        <w:t>4</w:t>
      </w:r>
      <w:r w:rsidRPr="00017FB0">
        <w:rPr>
          <w:szCs w:val="24"/>
        </w:rPr>
        <w:t>.</w:t>
      </w:r>
    </w:p>
    <w:p w:rsidR="00017FB0" w:rsidRPr="00017FB0" w:rsidRDefault="00017FB0" w:rsidP="00017FB0">
      <w:pPr>
        <w:kinsoku w:val="0"/>
        <w:overflowPunct w:val="0"/>
        <w:autoSpaceDE w:val="0"/>
        <w:autoSpaceDN w:val="0"/>
        <w:adjustRightInd w:val="0"/>
        <w:snapToGrid w:val="0"/>
        <w:spacing w:after="120"/>
        <w:ind w:left="2268" w:right="1134"/>
        <w:jc w:val="both"/>
        <w:rPr>
          <w:szCs w:val="24"/>
        </w:rPr>
      </w:pPr>
      <w:r w:rsidRPr="00017FB0">
        <w:rPr>
          <w:szCs w:val="24"/>
        </w:rPr>
        <w:t>Le mélange ne doit pas dater de plus de 14 jours.».</w:t>
      </w:r>
    </w:p>
    <w:p w:rsidR="00017FB0" w:rsidRDefault="00017FB0" w:rsidP="00017FB0">
      <w:pPr>
        <w:keepNext/>
        <w:kinsoku w:val="0"/>
        <w:overflowPunct w:val="0"/>
        <w:autoSpaceDE w:val="0"/>
        <w:autoSpaceDN w:val="0"/>
        <w:adjustRightInd w:val="0"/>
        <w:snapToGrid w:val="0"/>
        <w:spacing w:after="120"/>
        <w:ind w:left="1134" w:right="1134"/>
        <w:jc w:val="both"/>
        <w:rPr>
          <w:i/>
          <w:iCs/>
          <w:szCs w:val="24"/>
        </w:rPr>
      </w:pPr>
      <w:r w:rsidRPr="00017FB0">
        <w:rPr>
          <w:i/>
          <w:iCs/>
          <w:szCs w:val="24"/>
        </w:rPr>
        <w:t xml:space="preserve">Annexe 10, </w:t>
      </w:r>
    </w:p>
    <w:p w:rsidR="00017FB0" w:rsidRPr="00017FB0" w:rsidRDefault="00017FB0" w:rsidP="00017FB0">
      <w:pPr>
        <w:keepNext/>
        <w:kinsoku w:val="0"/>
        <w:overflowPunct w:val="0"/>
        <w:autoSpaceDE w:val="0"/>
        <w:autoSpaceDN w:val="0"/>
        <w:adjustRightInd w:val="0"/>
        <w:snapToGrid w:val="0"/>
        <w:spacing w:after="120"/>
        <w:ind w:left="1134" w:right="1134"/>
        <w:jc w:val="both"/>
        <w:rPr>
          <w:szCs w:val="24"/>
        </w:rPr>
      </w:pPr>
      <w:r>
        <w:rPr>
          <w:i/>
          <w:iCs/>
          <w:szCs w:val="24"/>
        </w:rPr>
        <w:t>P</w:t>
      </w:r>
      <w:r w:rsidRPr="00017FB0">
        <w:rPr>
          <w:i/>
          <w:iCs/>
          <w:szCs w:val="24"/>
        </w:rPr>
        <w:t>aragraphe 5.2</w:t>
      </w:r>
      <w:r w:rsidRPr="00017FB0">
        <w:rPr>
          <w:szCs w:val="24"/>
        </w:rPr>
        <w:t>, modifier comme suit:</w:t>
      </w:r>
    </w:p>
    <w:p w:rsidR="00017FB0" w:rsidRPr="00017FB0" w:rsidRDefault="00017FB0" w:rsidP="00017FB0">
      <w:pPr>
        <w:keepNext/>
        <w:kinsoku w:val="0"/>
        <w:overflowPunct w:val="0"/>
        <w:autoSpaceDE w:val="0"/>
        <w:autoSpaceDN w:val="0"/>
        <w:adjustRightInd w:val="0"/>
        <w:snapToGrid w:val="0"/>
        <w:spacing w:after="120"/>
        <w:ind w:left="2268" w:right="1134" w:hanging="1134"/>
        <w:jc w:val="both"/>
        <w:rPr>
          <w:szCs w:val="24"/>
          <w:lang w:eastAsia="de-DE"/>
        </w:rPr>
      </w:pPr>
      <w:r w:rsidRPr="00017FB0">
        <w:rPr>
          <w:szCs w:val="24"/>
          <w:lang w:eastAsia="de-DE"/>
        </w:rPr>
        <w:t>«5.2</w:t>
      </w:r>
      <w:r w:rsidRPr="00017FB0">
        <w:rPr>
          <w:szCs w:val="24"/>
          <w:lang w:eastAsia="de-DE"/>
        </w:rPr>
        <w:tab/>
        <w:t xml:space="preserve">Un module de chaque type doit être présenté par le fabricant, avec le dispositif de régulation de la source lumineuse, s’il y a lieu, et des </w:t>
      </w:r>
      <w:r w:rsidRPr="00017FB0">
        <w:t>instructions suffisantes.</w:t>
      </w:r>
    </w:p>
    <w:p w:rsidR="00017FB0" w:rsidRPr="00017FB0" w:rsidRDefault="00017FB0" w:rsidP="00017FB0">
      <w:pPr>
        <w:kinsoku w:val="0"/>
        <w:overflowPunct w:val="0"/>
        <w:autoSpaceDE w:val="0"/>
        <w:autoSpaceDN w:val="0"/>
        <w:adjustRightInd w:val="0"/>
        <w:snapToGrid w:val="0"/>
        <w:spacing w:after="120"/>
        <w:ind w:left="2268" w:right="1134"/>
        <w:jc w:val="both"/>
        <w:rPr>
          <w:szCs w:val="24"/>
          <w:lang w:eastAsia="de-DE"/>
        </w:rPr>
      </w:pPr>
      <w:r w:rsidRPr="00017FB0">
        <w:rPr>
          <w:szCs w:val="24"/>
          <w:lang w:eastAsia="de-DE"/>
        </w:rPr>
        <w:t xml:space="preserve">Un système de régulation thermique approprié (par exemple un dissipateur thermique) peut être fourni pour simuler des conditions thermiques identiques aux conditions réelles. </w:t>
      </w:r>
    </w:p>
    <w:p w:rsidR="00017FB0" w:rsidRPr="00017FB0" w:rsidRDefault="00017FB0" w:rsidP="00017FB0">
      <w:pPr>
        <w:kinsoku w:val="0"/>
        <w:overflowPunct w:val="0"/>
        <w:autoSpaceDE w:val="0"/>
        <w:autoSpaceDN w:val="0"/>
        <w:adjustRightInd w:val="0"/>
        <w:snapToGrid w:val="0"/>
        <w:spacing w:after="120"/>
        <w:ind w:left="2268" w:right="1134"/>
        <w:jc w:val="both"/>
        <w:rPr>
          <w:szCs w:val="24"/>
          <w:lang w:eastAsia="de-DE"/>
        </w:rPr>
      </w:pPr>
      <w:r w:rsidRPr="00017FB0">
        <w:rPr>
          <w:szCs w:val="24"/>
          <w:lang w:eastAsia="de-DE"/>
        </w:rPr>
        <w:t>Avant d’être soumis à l’essai, le module DEL doit subir un vieillissement d’au moins 72 h dans des conditions identiques aux conditions réelles.</w:t>
      </w:r>
    </w:p>
    <w:p w:rsidR="00017FB0" w:rsidRPr="00017FB0" w:rsidRDefault="00017FB0" w:rsidP="00017FB0">
      <w:pPr>
        <w:kinsoku w:val="0"/>
        <w:overflowPunct w:val="0"/>
        <w:autoSpaceDE w:val="0"/>
        <w:autoSpaceDN w:val="0"/>
        <w:adjustRightInd w:val="0"/>
        <w:snapToGrid w:val="0"/>
        <w:spacing w:after="120"/>
        <w:ind w:left="2268" w:right="1134"/>
        <w:jc w:val="both"/>
        <w:rPr>
          <w:szCs w:val="24"/>
          <w:lang w:eastAsia="de-DE"/>
        </w:rPr>
      </w:pPr>
      <w:r w:rsidRPr="00017FB0">
        <w:rPr>
          <w:szCs w:val="24"/>
          <w:lang w:eastAsia="de-DE"/>
        </w:rPr>
        <w:t xml:space="preserve">Si l’on utilise une sphère d’Ulbricht, elle doit avoir un diamètre minimal de 1 m ou d’au moins dix fois la dimension maximale du module DEL, la valeur la plus élevée étant retenue. Les mesures du flux peuvent également être effectuées par intégration au moyen d’un goniophotomètre. Les prescriptions </w:t>
      </w:r>
      <w:r w:rsidRPr="00017FB0">
        <w:rPr>
          <w:szCs w:val="24"/>
          <w:lang w:eastAsia="de-DE"/>
        </w:rPr>
        <w:lastRenderedPageBreak/>
        <w:t>figurant dans la Publication 84-1989 de la CIE concernant la température de la pièce, le positionnement, etc., doivent être prises en considération.</w:t>
      </w:r>
    </w:p>
    <w:p w:rsidR="00017FB0" w:rsidRPr="00017FB0" w:rsidRDefault="00017FB0" w:rsidP="00017FB0">
      <w:pPr>
        <w:kinsoku w:val="0"/>
        <w:overflowPunct w:val="0"/>
        <w:autoSpaceDE w:val="0"/>
        <w:autoSpaceDN w:val="0"/>
        <w:adjustRightInd w:val="0"/>
        <w:snapToGrid w:val="0"/>
        <w:spacing w:after="120"/>
        <w:ind w:left="2268" w:right="1134"/>
        <w:jc w:val="both"/>
        <w:rPr>
          <w:szCs w:val="24"/>
          <w:lang w:eastAsia="de-DE"/>
        </w:rPr>
      </w:pPr>
      <w:r w:rsidRPr="00017FB0">
        <w:rPr>
          <w:szCs w:val="24"/>
          <w:lang w:eastAsia="de-DE"/>
        </w:rPr>
        <w:t>Le module DEL doit subir un essai de rodage thermique d’environ 1 h dans la sphère fermée ou le goniophotomètre.</w:t>
      </w:r>
    </w:p>
    <w:p w:rsidR="00017FB0" w:rsidRPr="00017FB0" w:rsidRDefault="00017FB0" w:rsidP="00017FB0">
      <w:pPr>
        <w:kinsoku w:val="0"/>
        <w:overflowPunct w:val="0"/>
        <w:autoSpaceDE w:val="0"/>
        <w:autoSpaceDN w:val="0"/>
        <w:adjustRightInd w:val="0"/>
        <w:snapToGrid w:val="0"/>
        <w:spacing w:after="120"/>
        <w:ind w:left="2268" w:right="1134"/>
        <w:jc w:val="both"/>
        <w:rPr>
          <w:strike/>
          <w:szCs w:val="24"/>
          <w:lang w:eastAsia="de-DE"/>
        </w:rPr>
      </w:pPr>
      <w:r w:rsidRPr="00017FB0">
        <w:rPr>
          <w:szCs w:val="24"/>
          <w:lang w:eastAsia="de-DE"/>
        </w:rPr>
        <w:t>Le flux doit être mesuré une fois la stabilité atteinte, comme il est expliqué au paragraphe 4.3.1.2 de l’annexe 10 du présent Règlement.».</w:t>
      </w:r>
    </w:p>
    <w:p w:rsidR="00017FB0" w:rsidRPr="00017FB0" w:rsidRDefault="00017FB0" w:rsidP="00017FB0">
      <w:pPr>
        <w:suppressAutoHyphens w:val="0"/>
        <w:spacing w:line="240" w:lineRule="auto"/>
        <w:jc w:val="center"/>
        <w:rPr>
          <w:u w:val="single"/>
        </w:rPr>
      </w:pPr>
      <w:r w:rsidRPr="00017FB0">
        <w:rPr>
          <w:u w:val="single"/>
        </w:rPr>
        <w:tab/>
      </w:r>
      <w:r w:rsidRPr="00017FB0">
        <w:rPr>
          <w:u w:val="single"/>
        </w:rPr>
        <w:tab/>
      </w:r>
      <w:r w:rsidRPr="00017FB0">
        <w:rPr>
          <w:u w:val="single"/>
        </w:rPr>
        <w:tab/>
      </w:r>
    </w:p>
    <w:p w:rsidR="00FC2CA9" w:rsidRPr="00972C55" w:rsidRDefault="00FC2CA9" w:rsidP="00EF5EBC">
      <w:pPr>
        <w:pStyle w:val="SingleTxtG"/>
        <w:rPr>
          <w:u w:val="single"/>
        </w:rPr>
      </w:pPr>
    </w:p>
    <w:sectPr w:rsidR="00FC2CA9" w:rsidRPr="00972C55" w:rsidSect="000314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5D7" w:rsidRDefault="00C265D7"/>
  </w:endnote>
  <w:endnote w:type="continuationSeparator" w:id="0">
    <w:p w:rsidR="00C265D7" w:rsidRDefault="00C265D7">
      <w:pPr>
        <w:pStyle w:val="Footer"/>
      </w:pPr>
    </w:p>
  </w:endnote>
  <w:endnote w:type="continuationNotice" w:id="1">
    <w:p w:rsidR="00C265D7" w:rsidRPr="00C451B9" w:rsidRDefault="00C265D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763383">
      <w:rPr>
        <w:b/>
        <w:noProof/>
        <w:sz w:val="18"/>
      </w:rPr>
      <w:t>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GE.13-24083</w:t>
    </w:r>
    <w:r>
      <w:tab/>
    </w:r>
    <w:r w:rsidRPr="000314C7">
      <w:rPr>
        <w:b/>
        <w:sz w:val="18"/>
      </w:rPr>
      <w:fldChar w:fldCharType="begin"/>
    </w:r>
    <w:r w:rsidRPr="000314C7">
      <w:rPr>
        <w:b/>
        <w:sz w:val="18"/>
      </w:rPr>
      <w:instrText xml:space="preserve"> PAGE  \* MERGEFORMAT </w:instrText>
    </w:r>
    <w:r w:rsidRPr="000314C7">
      <w:rPr>
        <w:b/>
        <w:sz w:val="18"/>
      </w:rPr>
      <w:fldChar w:fldCharType="separate"/>
    </w:r>
    <w:r w:rsidR="00763383">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763383"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6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5D7" w:rsidRPr="00D27D5E" w:rsidRDefault="00C265D7" w:rsidP="00D27D5E">
      <w:pPr>
        <w:tabs>
          <w:tab w:val="right" w:pos="2155"/>
        </w:tabs>
        <w:spacing w:after="80"/>
        <w:ind w:left="680"/>
        <w:rPr>
          <w:u w:val="single"/>
        </w:rPr>
      </w:pPr>
      <w:r>
        <w:rPr>
          <w:u w:val="single"/>
        </w:rPr>
        <w:tab/>
      </w:r>
    </w:p>
  </w:footnote>
  <w:footnote w:type="continuationSeparator" w:id="0">
    <w:p w:rsidR="00C265D7" w:rsidRPr="00D171D4" w:rsidRDefault="00C265D7" w:rsidP="00D171D4">
      <w:pPr>
        <w:tabs>
          <w:tab w:val="right" w:pos="2155"/>
        </w:tabs>
        <w:spacing w:after="80"/>
        <w:ind w:left="680"/>
        <w:rPr>
          <w:u w:val="single"/>
        </w:rPr>
      </w:pPr>
      <w:r w:rsidRPr="00D171D4">
        <w:rPr>
          <w:u w:val="single"/>
        </w:rPr>
        <w:tab/>
      </w:r>
    </w:p>
  </w:footnote>
  <w:footnote w:type="continuationNotice" w:id="1">
    <w:p w:rsidR="00C265D7" w:rsidRPr="00C451B9" w:rsidRDefault="00C265D7"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A8" w:rsidRDefault="008A5AA8" w:rsidP="008A5AA8">
    <w:pPr>
      <w:pStyle w:val="Header"/>
    </w:pPr>
    <w:r>
      <w:t>E/ECE/324/Rev.2/Add.111/Rev.3/Amend.3</w:t>
    </w:r>
  </w:p>
  <w:p w:rsidR="00710974" w:rsidRPr="000314C7" w:rsidRDefault="008A5AA8" w:rsidP="008A5AA8">
    <w:pPr>
      <w:pStyle w:val="Header"/>
    </w:pPr>
    <w:r>
      <w:t>E/ECE/TRANS/505/Rev.2/Add.111/Rev.3/Amend.3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A8" w:rsidRDefault="008A5AA8" w:rsidP="008A5AA8">
    <w:pPr>
      <w:pStyle w:val="Header"/>
      <w:jc w:val="right"/>
    </w:pPr>
    <w:r>
      <w:t>E/ECE/324/Rev.2/Add.111/Rev.3/Amend.3</w:t>
    </w:r>
  </w:p>
  <w:p w:rsidR="00710974" w:rsidRPr="000314C7" w:rsidRDefault="008A5AA8" w:rsidP="008A5AA8">
    <w:pPr>
      <w:pStyle w:val="Header"/>
      <w:jc w:val="right"/>
    </w:pPr>
    <w:r>
      <w:t>E/ECE/TRANS/505/Rev.2/Add.111/Rev.3/Amend.3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B9" w:rsidRPr="00EC35D2" w:rsidRDefault="002F73B9" w:rsidP="00EC35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5D7"/>
    <w:rsid w:val="0001470D"/>
    <w:rsid w:val="00015650"/>
    <w:rsid w:val="00016165"/>
    <w:rsid w:val="00016AC5"/>
    <w:rsid w:val="00017FB0"/>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2F73B9"/>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3383"/>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A5AA8"/>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416B8"/>
    <w:rsid w:val="00B43741"/>
    <w:rsid w:val="00B45642"/>
    <w:rsid w:val="00B52F29"/>
    <w:rsid w:val="00B5388D"/>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65D7"/>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5F88"/>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407B"/>
    <w:rsid w:val="00EB77B9"/>
    <w:rsid w:val="00EB7D07"/>
    <w:rsid w:val="00EC35D2"/>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2</TotalTime>
  <Pages>3</Pages>
  <Words>541</Words>
  <Characters>3086</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07</dc:creator>
  <cp:lastModifiedBy>09</cp:lastModifiedBy>
  <cp:revision>6</cp:revision>
  <cp:lastPrinted>2015-07-27T08:34:00Z</cp:lastPrinted>
  <dcterms:created xsi:type="dcterms:W3CDTF">2015-07-20T06:49:00Z</dcterms:created>
  <dcterms:modified xsi:type="dcterms:W3CDTF">2015-11-09T08:54:00Z</dcterms:modified>
</cp:coreProperties>
</file>