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2E6512">
            <w:pPr>
              <w:jc w:val="right"/>
            </w:pPr>
            <w:r w:rsidRPr="00014D07">
              <w:rPr>
                <w:sz w:val="40"/>
              </w:rPr>
              <w:t>E</w:t>
            </w:r>
            <w:r>
              <w:t>/ECE/324/</w:t>
            </w:r>
            <w:r w:rsidR="00841EB5">
              <w:t>Rev.</w:t>
            </w:r>
            <w:r w:rsidR="002E6512">
              <w:t>2</w:t>
            </w:r>
            <w:r w:rsidR="00841EB5">
              <w:t>/</w:t>
            </w:r>
            <w:r>
              <w:t>Add.</w:t>
            </w:r>
            <w:r w:rsidR="002E6512">
              <w:t>111</w:t>
            </w:r>
            <w:r>
              <w:t>/Rev.</w:t>
            </w:r>
            <w:r w:rsidR="002E6512">
              <w:t>3</w:t>
            </w:r>
            <w:r>
              <w:t>/</w:t>
            </w:r>
            <w:r w:rsidR="00D623A7">
              <w:t>Amend.</w:t>
            </w:r>
            <w:r w:rsidR="002E6512">
              <w:t>3</w:t>
            </w:r>
            <w:r>
              <w:t>−</w:t>
            </w:r>
            <w:r w:rsidRPr="00014D07">
              <w:rPr>
                <w:sz w:val="40"/>
              </w:rPr>
              <w:t>E</w:t>
            </w:r>
            <w:r>
              <w:t>/ECE/TRANS/505</w:t>
            </w:r>
            <w:r w:rsidR="002E6512">
              <w:t>/Rev.2/Add.111/Rev.3/Amend.3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8A1137"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2E6512">
        <w:t>111</w:t>
      </w:r>
      <w:r>
        <w:t xml:space="preserve"> – Regulation No.</w:t>
      </w:r>
      <w:r w:rsidR="00271A7F">
        <w:t xml:space="preserve"> </w:t>
      </w:r>
      <w:r w:rsidR="002E6512">
        <w:t>112</w:t>
      </w:r>
    </w:p>
    <w:p w:rsidR="0064636E" w:rsidRPr="00014D07" w:rsidRDefault="0064636E" w:rsidP="00A41529">
      <w:pPr>
        <w:pStyle w:val="H1G"/>
        <w:spacing w:before="240"/>
      </w:pPr>
      <w:r>
        <w:tab/>
      </w:r>
      <w:r>
        <w:tab/>
      </w:r>
      <w:r w:rsidRPr="00014D07">
        <w:t xml:space="preserve">Revision </w:t>
      </w:r>
      <w:r w:rsidR="002E6512">
        <w:t>3</w:t>
      </w:r>
      <w:r w:rsidRPr="00014D07">
        <w:t xml:space="preserve"> - </w:t>
      </w:r>
      <w:r w:rsidR="00D623A7">
        <w:t>Amendment</w:t>
      </w:r>
      <w:r w:rsidRPr="00014D07">
        <w:t xml:space="preserve"> </w:t>
      </w:r>
      <w:r w:rsidR="002E6512">
        <w:t>3</w:t>
      </w:r>
    </w:p>
    <w:p w:rsidR="0064636E" w:rsidRPr="00272880" w:rsidRDefault="00D623A7" w:rsidP="0064636E">
      <w:pPr>
        <w:pStyle w:val="SingleTxtG"/>
        <w:spacing w:after="360"/>
        <w:rPr>
          <w:spacing w:val="-2"/>
        </w:rPr>
      </w:pPr>
      <w:r>
        <w:rPr>
          <w:spacing w:val="-2"/>
        </w:rPr>
        <w:t xml:space="preserve">Supplement </w:t>
      </w:r>
      <w:r w:rsidR="002E6512">
        <w:rPr>
          <w:spacing w:val="-2"/>
        </w:rPr>
        <w:t>6</w:t>
      </w:r>
      <w:r>
        <w:rPr>
          <w:spacing w:val="-2"/>
        </w:rPr>
        <w:t xml:space="preserve"> to </w:t>
      </w:r>
      <w:r w:rsidR="00271A7F">
        <w:rPr>
          <w:spacing w:val="-2"/>
        </w:rPr>
        <w:t xml:space="preserve">the </w:t>
      </w:r>
      <w:r w:rsidR="002E6512">
        <w:rPr>
          <w:spacing w:val="-2"/>
        </w:rPr>
        <w:t>01</w:t>
      </w:r>
      <w:r>
        <w:rPr>
          <w:spacing w:val="-2"/>
        </w:rPr>
        <w:t xml:space="preserve"> series of amendments</w:t>
      </w:r>
      <w:r w:rsidR="0064636E" w:rsidRPr="00272880">
        <w:rPr>
          <w:spacing w:val="-2"/>
        </w:rPr>
        <w:t xml:space="preserve"> – Date of entry into force: </w:t>
      </w:r>
      <w:r w:rsidR="002E6512">
        <w:t>8 October 2015</w:t>
      </w:r>
    </w:p>
    <w:p w:rsidR="0064636E" w:rsidRDefault="0064636E" w:rsidP="00A41529">
      <w:pPr>
        <w:pStyle w:val="H1G"/>
        <w:spacing w:before="120" w:after="120" w:line="240" w:lineRule="exact"/>
        <w:rPr>
          <w:lang w:val="en-US"/>
        </w:rPr>
      </w:pPr>
      <w:r>
        <w:rPr>
          <w:lang w:val="en-US"/>
        </w:rPr>
        <w:tab/>
      </w:r>
      <w:r>
        <w:rPr>
          <w:lang w:val="en-US"/>
        </w:rPr>
        <w:tab/>
      </w:r>
      <w:r w:rsidR="002E6512" w:rsidRPr="002E6512">
        <w:rPr>
          <w:lang w:val="en-US"/>
        </w:rPr>
        <w:t xml:space="preserve">Uniform provisions concerning the approval of motor vehicle headlamps emitting an asymmetrical passing-beam or a driving-beam </w:t>
      </w:r>
      <w:proofErr w:type="gramStart"/>
      <w:r w:rsidR="002E6512" w:rsidRPr="002E6512">
        <w:rPr>
          <w:lang w:val="en-US"/>
        </w:rPr>
        <w:t>or</w:t>
      </w:r>
      <w:proofErr w:type="gramEnd"/>
      <w:r w:rsidR="002E6512" w:rsidRPr="002E6512">
        <w:rPr>
          <w:lang w:val="en-US"/>
        </w:rPr>
        <w:t xml:space="preserve"> both and equipped with filament lamps and/or light-emitting diode (LED) modules</w:t>
      </w:r>
    </w:p>
    <w:p w:rsidR="00A41529" w:rsidRDefault="00B32121" w:rsidP="005F421E">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5F421E">
        <w:rPr>
          <w:spacing w:val="-6"/>
          <w:lang w:eastAsia="en-GB"/>
        </w:rPr>
        <w:t>29.</w:t>
      </w:r>
    </w:p>
    <w:p w:rsidR="000D3A4F" w:rsidRPr="000D3A4F" w:rsidRDefault="008A1137"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5F421E" w:rsidRDefault="00D5540C" w:rsidP="005F421E">
      <w:pPr>
        <w:pStyle w:val="SingleTxtG"/>
        <w:ind w:right="-40"/>
      </w:pPr>
      <w:r>
        <w:br w:type="page"/>
      </w:r>
    </w:p>
    <w:p w:rsidR="005F421E" w:rsidRDefault="005F421E" w:rsidP="005F421E">
      <w:pPr>
        <w:pStyle w:val="SingleTxtG"/>
        <w:ind w:right="-40"/>
        <w:rPr>
          <w:i/>
          <w:iCs/>
          <w:lang w:val="en-US"/>
        </w:rPr>
      </w:pPr>
      <w:r w:rsidRPr="005F421E">
        <w:rPr>
          <w:i/>
          <w:iCs/>
          <w:lang w:val="en-US"/>
        </w:rPr>
        <w:t xml:space="preserve">Annex 4, </w:t>
      </w:r>
    </w:p>
    <w:p w:rsidR="005F421E" w:rsidRPr="005F421E" w:rsidRDefault="005F421E" w:rsidP="005F421E">
      <w:pPr>
        <w:pStyle w:val="SingleTxtG"/>
        <w:ind w:right="-40"/>
        <w:rPr>
          <w:lang w:val="en-US"/>
        </w:rPr>
      </w:pPr>
      <w:proofErr w:type="gramStart"/>
      <w:r>
        <w:rPr>
          <w:i/>
          <w:iCs/>
          <w:lang w:val="en-US"/>
        </w:rPr>
        <w:t>P</w:t>
      </w:r>
      <w:r w:rsidRPr="005F421E">
        <w:rPr>
          <w:i/>
          <w:iCs/>
          <w:lang w:val="en-US"/>
        </w:rPr>
        <w:t>aragraphs 1.2.1.1.</w:t>
      </w:r>
      <w:proofErr w:type="gramEnd"/>
      <w:r w:rsidRPr="005F421E">
        <w:rPr>
          <w:i/>
          <w:iCs/>
          <w:lang w:val="en-US"/>
        </w:rPr>
        <w:t xml:space="preserve"> </w:t>
      </w:r>
      <w:proofErr w:type="gramStart"/>
      <w:r w:rsidRPr="005F421E">
        <w:rPr>
          <w:i/>
          <w:iCs/>
          <w:lang w:val="en-US"/>
        </w:rPr>
        <w:t>to</w:t>
      </w:r>
      <w:proofErr w:type="gramEnd"/>
      <w:r w:rsidRPr="005F421E">
        <w:rPr>
          <w:i/>
          <w:iCs/>
          <w:lang w:val="en-US"/>
        </w:rPr>
        <w:t xml:space="preserve"> 1.2.1.1.2.</w:t>
      </w:r>
      <w:r w:rsidRPr="005F421E">
        <w:rPr>
          <w:lang w:val="en-US"/>
        </w:rPr>
        <w:t>, amend to read:</w:t>
      </w:r>
    </w:p>
    <w:p w:rsidR="005F421E" w:rsidRPr="005F421E" w:rsidRDefault="005F421E" w:rsidP="00277AF6">
      <w:pPr>
        <w:spacing w:after="120"/>
        <w:ind w:left="2268" w:right="1134" w:hanging="1134"/>
        <w:jc w:val="both"/>
      </w:pPr>
      <w:r w:rsidRPr="005F421E">
        <w:t>"1.2.1.1.</w:t>
      </w:r>
      <w:r w:rsidRPr="005F421E">
        <w:tab/>
        <w:t>Test mixture</w:t>
      </w:r>
    </w:p>
    <w:p w:rsidR="005F421E" w:rsidRPr="005F421E" w:rsidRDefault="005F421E" w:rsidP="00277AF6">
      <w:pPr>
        <w:spacing w:after="120"/>
        <w:ind w:left="2268" w:right="1134" w:hanging="1134"/>
        <w:jc w:val="both"/>
      </w:pPr>
      <w:r w:rsidRPr="005F421E">
        <w:t>1.2.1.1.1.</w:t>
      </w:r>
      <w:r w:rsidRPr="005F421E">
        <w:tab/>
        <w:t>For headlamp with the outside lens in glass:</w:t>
      </w:r>
    </w:p>
    <w:p w:rsidR="005F421E" w:rsidRPr="005F421E" w:rsidRDefault="005F421E" w:rsidP="00277AF6">
      <w:pPr>
        <w:spacing w:after="120"/>
        <w:ind w:left="2268" w:right="1134"/>
        <w:jc w:val="both"/>
      </w:pPr>
      <w:r w:rsidRPr="005F421E">
        <w:t>The mixture of water and a polluting agent to be applied to the headlamp shall be composed of:</w:t>
      </w:r>
    </w:p>
    <w:p w:rsidR="005F421E" w:rsidRPr="005F421E" w:rsidRDefault="005F421E" w:rsidP="00277AF6">
      <w:pPr>
        <w:spacing w:after="120"/>
        <w:ind w:left="2268" w:right="1134"/>
        <w:jc w:val="both"/>
      </w:pPr>
      <w:r w:rsidRPr="005F421E">
        <w:t xml:space="preserve">9 parts by weight of silica sand with a particle size of 0-100 </w:t>
      </w:r>
      <w:proofErr w:type="spellStart"/>
      <w:r w:rsidRPr="005F421E">
        <w:t>μm</w:t>
      </w:r>
      <w:proofErr w:type="spellEnd"/>
      <w:r w:rsidRPr="005F421E">
        <w:t>,</w:t>
      </w:r>
    </w:p>
    <w:p w:rsidR="005F421E" w:rsidRPr="005F421E" w:rsidRDefault="005F421E" w:rsidP="00277AF6">
      <w:pPr>
        <w:spacing w:after="120"/>
        <w:ind w:left="2268" w:right="1134"/>
        <w:jc w:val="both"/>
      </w:pPr>
      <w:r w:rsidRPr="005F421E">
        <w:t xml:space="preserve">1 part by weight of vegetal carbon dust produced from beech wood with a particle size of 0-100 </w:t>
      </w:r>
      <w:proofErr w:type="spellStart"/>
      <w:r w:rsidRPr="005F421E">
        <w:t>μm</w:t>
      </w:r>
      <w:proofErr w:type="spellEnd"/>
      <w:r w:rsidRPr="005F421E">
        <w:t>,</w:t>
      </w:r>
    </w:p>
    <w:p w:rsidR="005F421E" w:rsidRPr="005F421E" w:rsidRDefault="005F421E" w:rsidP="00277AF6">
      <w:pPr>
        <w:spacing w:after="120"/>
        <w:ind w:left="2268" w:right="1134"/>
        <w:jc w:val="both"/>
      </w:pPr>
      <w:r w:rsidRPr="005F421E">
        <w:t>0.2 parts by weight of NaCMC</w:t>
      </w:r>
      <w:r w:rsidRPr="005F421E">
        <w:rPr>
          <w:vertAlign w:val="superscript"/>
        </w:rPr>
        <w:t>3</w:t>
      </w:r>
      <w:r w:rsidRPr="005F421E">
        <w:t>, and</w:t>
      </w:r>
    </w:p>
    <w:p w:rsidR="005F421E" w:rsidRPr="005F421E" w:rsidRDefault="005F421E" w:rsidP="00277AF6">
      <w:pPr>
        <w:spacing w:after="120"/>
        <w:ind w:left="2268" w:right="1134"/>
        <w:jc w:val="both"/>
      </w:pPr>
      <w:r w:rsidRPr="005F421E">
        <w:t>5 parts by weight of sodium chloride (pure at 99 per cent),</w:t>
      </w:r>
    </w:p>
    <w:p w:rsidR="005F421E" w:rsidRPr="005F421E" w:rsidRDefault="005F421E" w:rsidP="00277AF6">
      <w:pPr>
        <w:spacing w:after="120"/>
        <w:ind w:left="2268" w:right="1134"/>
        <w:jc w:val="both"/>
      </w:pPr>
      <w:proofErr w:type="gramStart"/>
      <w:r w:rsidRPr="005F421E">
        <w:t>an</w:t>
      </w:r>
      <w:proofErr w:type="gramEnd"/>
      <w:r w:rsidRPr="005F421E">
        <w:t xml:space="preserve"> appropriate quantity of distilled water, with a conductivity </w:t>
      </w:r>
      <w:r w:rsidRPr="005F421E">
        <w:br/>
        <w:t xml:space="preserve">of </w:t>
      </w:r>
      <w:r w:rsidRPr="005F421E">
        <w:sym w:font="Symbol" w:char="F0A3"/>
      </w:r>
      <w:r w:rsidRPr="005F421E">
        <w:t xml:space="preserve"> 1 µS/m.</w:t>
      </w:r>
    </w:p>
    <w:p w:rsidR="005F421E" w:rsidRPr="005F421E" w:rsidRDefault="005F421E" w:rsidP="00277AF6">
      <w:pPr>
        <w:spacing w:after="120"/>
        <w:ind w:left="2268" w:right="1134"/>
        <w:jc w:val="both"/>
      </w:pPr>
      <w:r w:rsidRPr="005F421E">
        <w:t>The mixture shall not be more than 14 days old.</w:t>
      </w:r>
    </w:p>
    <w:p w:rsidR="005F421E" w:rsidRPr="005F421E" w:rsidRDefault="005F421E" w:rsidP="00277AF6">
      <w:pPr>
        <w:spacing w:after="120"/>
        <w:ind w:left="2268" w:right="1134" w:hanging="1134"/>
        <w:jc w:val="both"/>
      </w:pPr>
      <w:r w:rsidRPr="005F421E">
        <w:t>1.2.1.1.2.</w:t>
      </w:r>
      <w:r w:rsidRPr="005F421E">
        <w:tab/>
        <w:t>For headlamp with outside lens in plastic material:</w:t>
      </w:r>
    </w:p>
    <w:p w:rsidR="005F421E" w:rsidRPr="005F421E" w:rsidRDefault="005F421E" w:rsidP="00277AF6">
      <w:pPr>
        <w:spacing w:after="120"/>
        <w:ind w:left="2268" w:right="1134"/>
        <w:jc w:val="both"/>
      </w:pPr>
      <w:r w:rsidRPr="005F421E">
        <w:t>The mixture of water and polluting agent to be applied to the headlamp shall be composed of:</w:t>
      </w:r>
    </w:p>
    <w:p w:rsidR="005F421E" w:rsidRPr="005F421E" w:rsidRDefault="005F421E" w:rsidP="00277AF6">
      <w:pPr>
        <w:spacing w:after="120"/>
        <w:ind w:left="2268" w:right="1134"/>
        <w:jc w:val="both"/>
      </w:pPr>
      <w:r w:rsidRPr="005F421E">
        <w:t xml:space="preserve">9 parts by weight of silica sand with a particle size of 0-100 </w:t>
      </w:r>
      <w:proofErr w:type="spellStart"/>
      <w:r w:rsidRPr="005F421E">
        <w:t>μm</w:t>
      </w:r>
      <w:proofErr w:type="spellEnd"/>
      <w:r w:rsidRPr="005F421E">
        <w:t>,</w:t>
      </w:r>
    </w:p>
    <w:p w:rsidR="005F421E" w:rsidRPr="005F421E" w:rsidRDefault="005F421E" w:rsidP="00277AF6">
      <w:pPr>
        <w:spacing w:after="120"/>
        <w:ind w:left="2268" w:right="1134"/>
        <w:jc w:val="both"/>
      </w:pPr>
      <w:r w:rsidRPr="005F421E">
        <w:t xml:space="preserve">1 part by weight of vegetal carbon dust produced from beech wood with a particle size of 0-100 </w:t>
      </w:r>
      <w:proofErr w:type="spellStart"/>
      <w:r w:rsidRPr="005F421E">
        <w:t>μm</w:t>
      </w:r>
      <w:proofErr w:type="spellEnd"/>
      <w:r w:rsidRPr="005F421E">
        <w:t>,</w:t>
      </w:r>
    </w:p>
    <w:p w:rsidR="005F421E" w:rsidRPr="005F421E" w:rsidRDefault="005F421E" w:rsidP="00277AF6">
      <w:pPr>
        <w:spacing w:after="120"/>
        <w:ind w:left="2268" w:right="1134"/>
        <w:jc w:val="both"/>
      </w:pPr>
      <w:r w:rsidRPr="005F421E">
        <w:t>0.2 part by weight of NaCMC</w:t>
      </w:r>
      <w:r w:rsidRPr="005F421E">
        <w:rPr>
          <w:vertAlign w:val="superscript"/>
        </w:rPr>
        <w:t>3</w:t>
      </w:r>
      <w:r w:rsidRPr="005F421E">
        <w:t>,</w:t>
      </w:r>
    </w:p>
    <w:p w:rsidR="005F421E" w:rsidRPr="005F421E" w:rsidRDefault="005F421E" w:rsidP="00277AF6">
      <w:pPr>
        <w:spacing w:after="120"/>
        <w:ind w:left="2268" w:right="1134"/>
        <w:jc w:val="both"/>
      </w:pPr>
      <w:r w:rsidRPr="005F421E">
        <w:t>5 parts by weight of sodium chloride (pure at 99 per cent),</w:t>
      </w:r>
    </w:p>
    <w:p w:rsidR="005F421E" w:rsidRPr="005F421E" w:rsidRDefault="005F421E" w:rsidP="00277AF6">
      <w:pPr>
        <w:spacing w:after="120"/>
        <w:ind w:left="2268" w:right="1134"/>
        <w:jc w:val="both"/>
      </w:pPr>
      <w:r w:rsidRPr="005F421E">
        <w:t xml:space="preserve">13 parts by weight of distilled water with a conductivity of </w:t>
      </w:r>
      <w:r w:rsidRPr="005F421E">
        <w:sym w:font="Symbol" w:char="F0A3"/>
      </w:r>
      <w:r w:rsidRPr="005F421E">
        <w:t xml:space="preserve"> 1 µS/m, and</w:t>
      </w:r>
    </w:p>
    <w:p w:rsidR="005F421E" w:rsidRPr="005F421E" w:rsidRDefault="005F421E" w:rsidP="00277AF6">
      <w:pPr>
        <w:spacing w:after="120"/>
        <w:ind w:left="2268" w:right="1134"/>
        <w:jc w:val="both"/>
      </w:pPr>
      <w:proofErr w:type="gramStart"/>
      <w:r w:rsidRPr="005F421E">
        <w:t xml:space="preserve">2 </w:t>
      </w:r>
      <w:r w:rsidRPr="005F421E">
        <w:sym w:font="Symbol" w:char="F0B1"/>
      </w:r>
      <w:r w:rsidRPr="005F421E">
        <w:t xml:space="preserve"> 1 parts by weight of surface-actant</w:t>
      </w:r>
      <w:r w:rsidRPr="005F421E">
        <w:rPr>
          <w:vertAlign w:val="superscript"/>
        </w:rPr>
        <w:t>4</w:t>
      </w:r>
      <w:r w:rsidRPr="005F421E">
        <w:t>.</w:t>
      </w:r>
      <w:proofErr w:type="gramEnd"/>
    </w:p>
    <w:p w:rsidR="005F421E" w:rsidRPr="005F421E" w:rsidRDefault="005F421E" w:rsidP="00277AF6">
      <w:pPr>
        <w:spacing w:after="120"/>
        <w:ind w:left="2268" w:right="1134"/>
        <w:jc w:val="both"/>
      </w:pPr>
      <w:r w:rsidRPr="005F421E">
        <w:t>The mixture shall not be more than 14 days old."</w:t>
      </w:r>
    </w:p>
    <w:p w:rsidR="005F421E" w:rsidRDefault="005F421E" w:rsidP="00277AF6">
      <w:pPr>
        <w:spacing w:after="120"/>
        <w:ind w:left="1134" w:right="-40"/>
        <w:jc w:val="both"/>
        <w:rPr>
          <w:i/>
          <w:iCs/>
          <w:lang w:val="en-US"/>
        </w:rPr>
      </w:pPr>
      <w:r w:rsidRPr="005F421E">
        <w:rPr>
          <w:i/>
          <w:iCs/>
          <w:lang w:val="en-US"/>
        </w:rPr>
        <w:t xml:space="preserve">Annex 10, </w:t>
      </w:r>
    </w:p>
    <w:p w:rsidR="005F421E" w:rsidRPr="005F421E" w:rsidRDefault="005F421E" w:rsidP="00277AF6">
      <w:pPr>
        <w:spacing w:after="120"/>
        <w:ind w:left="1134" w:right="-40"/>
        <w:jc w:val="both"/>
        <w:rPr>
          <w:lang w:val="en-US"/>
        </w:rPr>
      </w:pPr>
      <w:r>
        <w:rPr>
          <w:i/>
          <w:iCs/>
          <w:lang w:val="en-US"/>
        </w:rPr>
        <w:t>P</w:t>
      </w:r>
      <w:r w:rsidRPr="005F421E">
        <w:rPr>
          <w:i/>
          <w:iCs/>
          <w:lang w:val="en-US"/>
        </w:rPr>
        <w:t>aragraph 5.2.</w:t>
      </w:r>
      <w:r w:rsidRPr="005F421E">
        <w:rPr>
          <w:lang w:val="en-US"/>
        </w:rPr>
        <w:t>, amend to read:</w:t>
      </w:r>
    </w:p>
    <w:p w:rsidR="005F421E" w:rsidRPr="005F421E" w:rsidRDefault="005F421E" w:rsidP="00277AF6">
      <w:pPr>
        <w:suppressAutoHyphens w:val="0"/>
        <w:spacing w:after="120"/>
        <w:ind w:left="2268" w:right="1134" w:hanging="1134"/>
        <w:jc w:val="both"/>
        <w:rPr>
          <w:lang w:val="en-US" w:eastAsia="de-DE"/>
        </w:rPr>
      </w:pPr>
      <w:r w:rsidRPr="005F421E">
        <w:rPr>
          <w:lang w:val="en-US" w:eastAsia="de-DE"/>
        </w:rPr>
        <w:t>"5.2.</w:t>
      </w:r>
      <w:r w:rsidRPr="005F421E">
        <w:rPr>
          <w:lang w:val="en-US" w:eastAsia="de-DE"/>
        </w:rPr>
        <w:tab/>
        <w:t>One module of each type shall be submitted by the applicant with the light source control gear, if applicable, and sufficient instructions.</w:t>
      </w:r>
    </w:p>
    <w:p w:rsidR="005F421E" w:rsidRPr="005F421E" w:rsidRDefault="005F421E" w:rsidP="00277AF6">
      <w:pPr>
        <w:suppressAutoHyphens w:val="0"/>
        <w:spacing w:after="120"/>
        <w:ind w:left="2268" w:right="1134"/>
        <w:jc w:val="both"/>
        <w:rPr>
          <w:lang w:val="en-US" w:eastAsia="de-DE"/>
        </w:rPr>
      </w:pPr>
      <w:r w:rsidRPr="005F421E">
        <w:rPr>
          <w:lang w:val="en-US" w:eastAsia="de-DE"/>
        </w:rPr>
        <w:t>Suitable thermal management (e.g. heat sink) may be provided, to simulate similar thermal conditions as in the corresponding headlamp application.</w:t>
      </w:r>
    </w:p>
    <w:p w:rsidR="005F421E" w:rsidRPr="005F421E" w:rsidRDefault="005F421E" w:rsidP="00277AF6">
      <w:pPr>
        <w:suppressAutoHyphens w:val="0"/>
        <w:spacing w:after="120"/>
        <w:ind w:left="2268" w:right="1134"/>
        <w:jc w:val="both"/>
        <w:rPr>
          <w:lang w:val="en-US" w:eastAsia="de-DE"/>
        </w:rPr>
      </w:pPr>
      <w:r w:rsidRPr="005F421E">
        <w:rPr>
          <w:lang w:val="en-US" w:eastAsia="de-DE"/>
        </w:rPr>
        <w:t>Before the test the</w:t>
      </w:r>
      <w:r w:rsidRPr="005F421E">
        <w:rPr>
          <w:b/>
          <w:lang w:val="en-US" w:eastAsia="de-DE"/>
        </w:rPr>
        <w:t xml:space="preserve"> </w:t>
      </w:r>
      <w:r w:rsidRPr="005F421E">
        <w:rPr>
          <w:lang w:val="en-US" w:eastAsia="de-DE"/>
        </w:rPr>
        <w:t>LED module shall be aged at least for seventy-two hours under the same conditions as in the corresponding headlamp application.</w:t>
      </w:r>
    </w:p>
    <w:p w:rsidR="005F421E" w:rsidRPr="005F421E" w:rsidRDefault="005F421E" w:rsidP="00277AF6">
      <w:pPr>
        <w:suppressAutoHyphens w:val="0"/>
        <w:spacing w:after="120"/>
        <w:ind w:left="2268" w:right="1134"/>
        <w:jc w:val="both"/>
        <w:rPr>
          <w:lang w:val="en-US" w:eastAsia="de-DE"/>
        </w:rPr>
      </w:pPr>
      <w:r w:rsidRPr="005F421E">
        <w:rPr>
          <w:lang w:val="en-US" w:eastAsia="de-DE"/>
        </w:rPr>
        <w:t xml:space="preserve">In the case of use of an integrating sphere, the sphere shall have a minimum diameter of one meter, and at least ten times the maximum dimension of the LED module, whichever is the largest. The flux measurements can also be performed by integration using a </w:t>
      </w:r>
      <w:proofErr w:type="spellStart"/>
      <w:r w:rsidRPr="005F421E">
        <w:rPr>
          <w:lang w:val="en-US" w:eastAsia="de-DE"/>
        </w:rPr>
        <w:t>goniophotometer</w:t>
      </w:r>
      <w:proofErr w:type="spellEnd"/>
      <w:r w:rsidRPr="005F421E">
        <w:rPr>
          <w:lang w:val="en-US" w:eastAsia="de-DE"/>
        </w:rPr>
        <w:t xml:space="preserve">. The prescriptions in </w:t>
      </w:r>
      <w:proofErr w:type="spellStart"/>
      <w:r w:rsidRPr="005F421E">
        <w:rPr>
          <w:lang w:val="en-US" w:eastAsia="de-DE"/>
        </w:rPr>
        <w:t>CIE</w:t>
      </w:r>
      <w:proofErr w:type="spellEnd"/>
      <w:r w:rsidRPr="005F421E">
        <w:rPr>
          <w:lang w:val="en-US" w:eastAsia="de-DE"/>
        </w:rPr>
        <w:t> -Publication 84 - 1989, regarding the room temperature, positioning, etc., shall be taken into consideration.</w:t>
      </w:r>
    </w:p>
    <w:p w:rsidR="00277AF6" w:rsidRDefault="00277AF6" w:rsidP="00277AF6">
      <w:pPr>
        <w:suppressAutoHyphens w:val="0"/>
        <w:spacing w:after="120"/>
        <w:ind w:left="2268" w:right="1134"/>
        <w:jc w:val="both"/>
        <w:rPr>
          <w:lang w:val="en-US" w:eastAsia="de-DE"/>
        </w:rPr>
      </w:pPr>
    </w:p>
    <w:p w:rsidR="005F421E" w:rsidRPr="005F421E" w:rsidRDefault="005F421E" w:rsidP="00277AF6">
      <w:pPr>
        <w:suppressAutoHyphens w:val="0"/>
        <w:spacing w:after="120"/>
        <w:ind w:left="2268" w:right="1134"/>
        <w:jc w:val="both"/>
        <w:rPr>
          <w:lang w:val="en-US" w:eastAsia="de-DE"/>
        </w:rPr>
      </w:pPr>
      <w:r w:rsidRPr="005F421E">
        <w:rPr>
          <w:lang w:val="en-US" w:eastAsia="de-DE"/>
        </w:rPr>
        <w:t xml:space="preserve">The LED module shall be burned in for approximately one hour in the closed sphere or </w:t>
      </w:r>
      <w:proofErr w:type="spellStart"/>
      <w:r w:rsidRPr="005F421E">
        <w:rPr>
          <w:lang w:val="en-US" w:eastAsia="de-DE"/>
        </w:rPr>
        <w:t>goniophotometer</w:t>
      </w:r>
      <w:proofErr w:type="spellEnd"/>
      <w:r w:rsidRPr="005F421E">
        <w:rPr>
          <w:lang w:val="en-US" w:eastAsia="de-DE"/>
        </w:rPr>
        <w:t>.</w:t>
      </w:r>
    </w:p>
    <w:p w:rsidR="005F421E" w:rsidRPr="005F421E" w:rsidRDefault="005F421E" w:rsidP="00277AF6">
      <w:pPr>
        <w:suppressAutoHyphens w:val="0"/>
        <w:spacing w:after="120"/>
        <w:ind w:left="2268" w:right="1134"/>
        <w:jc w:val="both"/>
        <w:rPr>
          <w:strike/>
          <w:lang w:val="en-US" w:eastAsia="de-DE"/>
        </w:rPr>
      </w:pPr>
      <w:r w:rsidRPr="005F421E">
        <w:rPr>
          <w:lang w:val="en-US" w:eastAsia="de-DE"/>
        </w:rPr>
        <w:t xml:space="preserve">The flux shall be measured after stability has occurred, as explained in paragraph 4.3.1.2. </w:t>
      </w:r>
      <w:proofErr w:type="gramStart"/>
      <w:r w:rsidRPr="005F421E">
        <w:rPr>
          <w:lang w:val="en-US" w:eastAsia="de-DE"/>
        </w:rPr>
        <w:t>of</w:t>
      </w:r>
      <w:proofErr w:type="gramEnd"/>
      <w:r w:rsidRPr="005F421E">
        <w:rPr>
          <w:lang w:val="en-US" w:eastAsia="de-DE"/>
        </w:rPr>
        <w:t xml:space="preserve"> this Annex 10 to this Regulation."</w:t>
      </w:r>
    </w:p>
    <w:p w:rsidR="005F421E" w:rsidRPr="005F421E" w:rsidRDefault="005F421E" w:rsidP="005F421E">
      <w:pPr>
        <w:suppressAutoHyphens w:val="0"/>
        <w:spacing w:line="240" w:lineRule="auto"/>
        <w:jc w:val="center"/>
        <w:rPr>
          <w:u w:val="single"/>
        </w:rPr>
      </w:pPr>
      <w:r w:rsidRPr="005F421E">
        <w:rPr>
          <w:u w:val="single"/>
        </w:rPr>
        <w:tab/>
      </w:r>
      <w:r w:rsidRPr="005F421E">
        <w:rPr>
          <w:u w:val="single"/>
        </w:rPr>
        <w:tab/>
      </w:r>
      <w:r w:rsidRPr="005F421E">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2" w:rsidRDefault="002E6512"/>
  </w:endnote>
  <w:endnote w:type="continuationSeparator" w:id="0">
    <w:p w:rsidR="002E6512" w:rsidRDefault="002E6512"/>
  </w:endnote>
  <w:endnote w:type="continuationNotice" w:id="1">
    <w:p w:rsidR="002E6512" w:rsidRDefault="002E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A113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A113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1F7901" w:rsidRDefault="00B701B3" w:rsidP="001F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2" w:rsidRPr="000B175B" w:rsidRDefault="002E6512" w:rsidP="000B175B">
      <w:pPr>
        <w:tabs>
          <w:tab w:val="right" w:pos="2155"/>
        </w:tabs>
        <w:spacing w:after="80"/>
        <w:ind w:left="680"/>
        <w:rPr>
          <w:u w:val="single"/>
        </w:rPr>
      </w:pPr>
      <w:r>
        <w:rPr>
          <w:u w:val="single"/>
        </w:rPr>
        <w:tab/>
      </w:r>
    </w:p>
  </w:footnote>
  <w:footnote w:type="continuationSeparator" w:id="0">
    <w:p w:rsidR="002E6512" w:rsidRPr="00FC68B7" w:rsidRDefault="002E6512" w:rsidP="00FC68B7">
      <w:pPr>
        <w:tabs>
          <w:tab w:val="left" w:pos="2155"/>
        </w:tabs>
        <w:spacing w:after="80"/>
        <w:ind w:left="680"/>
        <w:rPr>
          <w:u w:val="single"/>
        </w:rPr>
      </w:pPr>
      <w:r>
        <w:rPr>
          <w:u w:val="single"/>
        </w:rPr>
        <w:tab/>
      </w:r>
    </w:p>
  </w:footnote>
  <w:footnote w:type="continuationNotice" w:id="1">
    <w:p w:rsidR="002E6512" w:rsidRDefault="002E6512"/>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2E6512">
    <w:pPr>
      <w:pStyle w:val="Header"/>
    </w:pPr>
    <w:r w:rsidRPr="00D623A7">
      <w:t>E/</w:t>
    </w:r>
    <w:proofErr w:type="spellStart"/>
    <w:r w:rsidRPr="00D623A7">
      <w:t>ECE</w:t>
    </w:r>
    <w:proofErr w:type="spellEnd"/>
    <w:r w:rsidRPr="00D623A7">
      <w:t>/324</w:t>
    </w:r>
    <w:r w:rsidR="002E6512" w:rsidRPr="002E6512">
      <w:t>/Rev.2/Add.111/Rev.3/Amend.3</w:t>
    </w:r>
    <w:r>
      <w:br/>
    </w:r>
    <w:r w:rsidRPr="00D623A7">
      <w:t>E/</w:t>
    </w:r>
    <w:proofErr w:type="spellStart"/>
    <w:r w:rsidRPr="00D623A7">
      <w:t>ECE</w:t>
    </w:r>
    <w:proofErr w:type="spellEnd"/>
    <w:r w:rsidRPr="00D623A7">
      <w:t>/TRANS/505</w:t>
    </w:r>
    <w:r w:rsidR="002E6512" w:rsidRPr="002E6512">
      <w:t>/Rev.2/Add.111/Rev.3/Amend.3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2E6512">
    <w:pPr>
      <w:pStyle w:val="Header"/>
      <w:jc w:val="right"/>
    </w:pPr>
    <w:r w:rsidRPr="00D623A7">
      <w:t>E/</w:t>
    </w:r>
    <w:proofErr w:type="spellStart"/>
    <w:r w:rsidRPr="00D623A7">
      <w:t>ECE</w:t>
    </w:r>
    <w:proofErr w:type="spellEnd"/>
    <w:r w:rsidRPr="00D623A7">
      <w:t>/324</w:t>
    </w:r>
    <w:r w:rsidR="002E6512" w:rsidRPr="002E6512">
      <w:t>/Rev.2/Add.111/Rev.3/Amend.3</w:t>
    </w:r>
    <w:r>
      <w:br/>
    </w:r>
    <w:r w:rsidRPr="00D623A7">
      <w:t>E/</w:t>
    </w:r>
    <w:proofErr w:type="spellStart"/>
    <w:r w:rsidRPr="00D623A7">
      <w:t>ECE</w:t>
    </w:r>
    <w:proofErr w:type="spellEnd"/>
    <w:r w:rsidRPr="00D623A7">
      <w:t>/TRANS/505</w:t>
    </w:r>
    <w:r w:rsidR="002E6512" w:rsidRPr="002E6512">
      <w:t>/Rev.2/Add.111/Rev.3/Amend.3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1" w:rsidRDefault="001F7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512"/>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F7901"/>
    <w:rsid w:val="00211E0B"/>
    <w:rsid w:val="002405A7"/>
    <w:rsid w:val="00271A7F"/>
    <w:rsid w:val="00277AF6"/>
    <w:rsid w:val="002A1E3A"/>
    <w:rsid w:val="002E6512"/>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05FF9"/>
    <w:rsid w:val="005420F2"/>
    <w:rsid w:val="0054561B"/>
    <w:rsid w:val="005B3DB3"/>
    <w:rsid w:val="005F421E"/>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1137"/>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2137F"/>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1</TotalTime>
  <Pages>3</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6</cp:revision>
  <cp:lastPrinted>2015-11-09T08:27:00Z</cp:lastPrinted>
  <dcterms:created xsi:type="dcterms:W3CDTF">2015-07-13T08:07:00Z</dcterms:created>
  <dcterms:modified xsi:type="dcterms:W3CDTF">2015-11-09T08:27:00Z</dcterms:modified>
</cp:coreProperties>
</file>