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:rsidTr="00495A7B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A10" w:rsidRPr="00DB58B5" w:rsidRDefault="004265E5" w:rsidP="002C5B16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/ECE/324/Rev.2/Add.106/Rev.5/Amend.2−</w:t>
            </w:r>
            <w:r w:rsidRPr="00014D07">
              <w:rPr>
                <w:sz w:val="40"/>
              </w:rPr>
              <w:t>E</w:t>
            </w:r>
            <w:r>
              <w:t>/ECE/TRANS/505/Rev.2/Add.106/Rev.5/Amend.2</w:t>
            </w:r>
          </w:p>
        </w:tc>
      </w:tr>
      <w:tr w:rsidR="00421A10" w:rsidRPr="00DB58B5" w:rsidTr="00495A7B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495A7B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46539A" w:rsidP="00495A7B">
            <w:pPr>
              <w:spacing w:before="480" w:line="240" w:lineRule="exact"/>
            </w:pPr>
            <w:r>
              <w:rPr>
                <w:lang w:val="en-GB" w:eastAsia="en-GB"/>
              </w:rPr>
              <w:t>9 novembre 2015</w:t>
            </w:r>
            <w:bookmarkStart w:id="0" w:name="_GoBack"/>
            <w:bookmarkEnd w:id="0"/>
          </w:p>
        </w:tc>
      </w:tr>
    </w:tbl>
    <w:p w:rsidR="00421A10" w:rsidRPr="006549FF" w:rsidRDefault="0029791D" w:rsidP="00242268">
      <w:pPr>
        <w:pStyle w:val="HChG"/>
        <w:spacing w:before="320" w:after="220" w:line="260" w:lineRule="exact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42268">
      <w:pPr>
        <w:pStyle w:val="H1G"/>
        <w:spacing w:before="340" w:after="220" w:line="260" w:lineRule="exact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037B3F">
        <w:rPr>
          <w:b w:val="0"/>
          <w:sz w:val="20"/>
        </w:rPr>
        <w:t>*</w:t>
      </w:r>
    </w:p>
    <w:p w:rsidR="00421A10" w:rsidRPr="00A12483" w:rsidRDefault="00421A10" w:rsidP="00242268">
      <w:pPr>
        <w:pStyle w:val="SingleTxtG"/>
        <w:spacing w:after="100" w:line="220" w:lineRule="atLeast"/>
        <w:jc w:val="left"/>
        <w:rPr>
          <w:b/>
          <w:sz w:val="24"/>
          <w:szCs w:val="24"/>
        </w:rPr>
      </w:pPr>
      <w:r w:rsidRPr="006549FF">
        <w:t xml:space="preserve">(Révision </w:t>
      </w:r>
      <w:r w:rsidR="000314C7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42268">
      <w:pPr>
        <w:spacing w:line="220" w:lineRule="atLeast"/>
        <w:jc w:val="center"/>
      </w:pPr>
      <w:r>
        <w:t>_______________</w:t>
      </w:r>
    </w:p>
    <w:p w:rsidR="00421A10" w:rsidRPr="006549FF" w:rsidRDefault="0029791D" w:rsidP="00D904F4">
      <w:pPr>
        <w:pStyle w:val="H1G"/>
        <w:spacing w:before="220" w:after="100" w:line="240" w:lineRule="exact"/>
      </w:pPr>
      <w:r>
        <w:tab/>
      </w:r>
      <w:r>
        <w:tab/>
      </w:r>
      <w:r w:rsidR="00421A10" w:rsidRPr="006549FF">
        <w:t xml:space="preserve">Additif </w:t>
      </w:r>
      <w:r w:rsidR="004265E5">
        <w:t>106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D904F4">
        <w:t>o</w:t>
      </w:r>
      <w:r w:rsidR="00421A10">
        <w:t> </w:t>
      </w:r>
      <w:r w:rsidR="004265E5">
        <w:t>107</w:t>
      </w:r>
    </w:p>
    <w:p w:rsidR="00421A10" w:rsidRPr="006549FF" w:rsidRDefault="0029791D" w:rsidP="00242268">
      <w:pPr>
        <w:pStyle w:val="H1G"/>
        <w:spacing w:before="220" w:after="100" w:line="240" w:lineRule="exact"/>
      </w:pPr>
      <w:r>
        <w:tab/>
      </w:r>
      <w:r>
        <w:tab/>
      </w:r>
      <w:r w:rsidR="00421A10" w:rsidRPr="006549FF">
        <w:t xml:space="preserve">Révision </w:t>
      </w:r>
      <w:r w:rsidR="004265E5">
        <w:t>5</w:t>
      </w:r>
      <w:r w:rsidR="000314C7">
        <w:t xml:space="preserve"> − Amendement </w:t>
      </w:r>
      <w:r w:rsidR="004265E5">
        <w:t>2</w:t>
      </w:r>
    </w:p>
    <w:p w:rsidR="00015650" w:rsidRPr="00FC2CA9" w:rsidRDefault="003A58D8" w:rsidP="00242268">
      <w:pPr>
        <w:pStyle w:val="SingleTxtG"/>
        <w:spacing w:after="100" w:line="200" w:lineRule="atLeast"/>
        <w:jc w:val="left"/>
        <w:rPr>
          <w:spacing w:val="-2"/>
        </w:rPr>
      </w:pPr>
      <w:r w:rsidRPr="00FC2CA9">
        <w:rPr>
          <w:spacing w:val="-2"/>
        </w:rPr>
        <w:t xml:space="preserve">Complément </w:t>
      </w:r>
      <w:r w:rsidR="004265E5">
        <w:rPr>
          <w:spacing w:val="-2"/>
        </w:rPr>
        <w:t>3</w:t>
      </w:r>
      <w:r w:rsidR="00FC2CA9" w:rsidRPr="00FC2CA9">
        <w:rPr>
          <w:spacing w:val="-2"/>
        </w:rPr>
        <w:t xml:space="preserve"> </w:t>
      </w:r>
      <w:r w:rsidRPr="00FC2CA9">
        <w:rPr>
          <w:spacing w:val="-2"/>
        </w:rPr>
        <w:t>à la</w:t>
      </w:r>
      <w:r w:rsidR="00FC2CA9" w:rsidRPr="00FC2CA9">
        <w:rPr>
          <w:spacing w:val="-2"/>
        </w:rPr>
        <w:t xml:space="preserve"> </w:t>
      </w:r>
      <w:r w:rsidR="00EF5EBC">
        <w:rPr>
          <w:spacing w:val="-2"/>
        </w:rPr>
        <w:t xml:space="preserve">série </w:t>
      </w:r>
      <w:r w:rsidR="004265E5">
        <w:rPr>
          <w:spacing w:val="-2"/>
        </w:rPr>
        <w:t>05</w:t>
      </w:r>
      <w:r w:rsidR="00EF5EBC">
        <w:rPr>
          <w:spacing w:val="-2"/>
        </w:rPr>
        <w:t xml:space="preserve"> d'amendements a</w:t>
      </w:r>
      <w:r w:rsidR="00FC2CA9" w:rsidRPr="00FC2CA9">
        <w:rPr>
          <w:spacing w:val="-2"/>
        </w:rPr>
        <w:t>u</w:t>
      </w:r>
      <w:r w:rsidR="00015650" w:rsidRPr="00FC2CA9">
        <w:rPr>
          <w:spacing w:val="-2"/>
        </w:rPr>
        <w:t xml:space="preserve"> Règlement − Date d’entrée en vigueur:</w:t>
      </w:r>
      <w:r w:rsidR="004265E5">
        <w:rPr>
          <w:spacing w:val="-2"/>
        </w:rPr>
        <w:br/>
        <w:t>8 octobre 2015</w:t>
      </w:r>
      <w:r w:rsidR="00015650" w:rsidRPr="00FC2CA9">
        <w:rPr>
          <w:spacing w:val="-2"/>
        </w:rPr>
        <w:t xml:space="preserve"> </w:t>
      </w:r>
    </w:p>
    <w:p w:rsidR="00DD1ED8" w:rsidRPr="00242268" w:rsidRDefault="00DD1ED8" w:rsidP="00242268">
      <w:pPr>
        <w:pStyle w:val="H1G"/>
        <w:spacing w:line="260" w:lineRule="exact"/>
        <w:rPr>
          <w:spacing w:val="-2"/>
        </w:rPr>
      </w:pPr>
      <w:r>
        <w:tab/>
      </w:r>
      <w:r>
        <w:tab/>
      </w:r>
      <w:r w:rsidR="004265E5" w:rsidRPr="004265E5">
        <w:rPr>
          <w:spacing w:val="-2"/>
        </w:rPr>
        <w:t>Prescriptions uniformes relatives à l'homologation des véhicules des catégories M</w:t>
      </w:r>
      <w:r w:rsidR="004265E5" w:rsidRPr="004265E5">
        <w:rPr>
          <w:spacing w:val="-2"/>
          <w:vertAlign w:val="subscript"/>
        </w:rPr>
        <w:t>2</w:t>
      </w:r>
      <w:r w:rsidR="004265E5" w:rsidRPr="004265E5">
        <w:rPr>
          <w:spacing w:val="-2"/>
        </w:rPr>
        <w:t xml:space="preserve"> ou M</w:t>
      </w:r>
      <w:r w:rsidR="004265E5" w:rsidRPr="004265E5">
        <w:rPr>
          <w:spacing w:val="-2"/>
          <w:vertAlign w:val="subscript"/>
        </w:rPr>
        <w:t>3</w:t>
      </w:r>
      <w:r w:rsidR="004265E5" w:rsidRPr="004265E5">
        <w:rPr>
          <w:spacing w:val="-2"/>
        </w:rPr>
        <w:t xml:space="preserve"> en ce qui concerne leurs caractéristiques générales de construction</w:t>
      </w:r>
    </w:p>
    <w:p w:rsidR="004265E5" w:rsidRPr="004265E5" w:rsidRDefault="001D3393" w:rsidP="004265E5">
      <w:pPr>
        <w:pStyle w:val="SingleTxtG"/>
        <w:spacing w:after="40"/>
        <w:rPr>
          <w:spacing w:val="-6"/>
          <w:lang w:val="en-GB" w:eastAsia="en-GB"/>
        </w:rPr>
      </w:pPr>
      <w:r w:rsidRPr="001D3393">
        <w:rPr>
          <w:lang w:val="en-GB" w:eastAsia="en-GB"/>
        </w:rPr>
        <w:t>Ce document constitue un outil de documentation. Le texte authentique et contraignant juridique est</w:t>
      </w:r>
      <w:r w:rsidR="004265E5" w:rsidRPr="004265E5">
        <w:rPr>
          <w:spacing w:val="-4"/>
          <w:lang w:val="en-GB" w:eastAsia="en-GB"/>
        </w:rPr>
        <w:t>:</w:t>
      </w:r>
      <w:r w:rsidR="004265E5" w:rsidRPr="004265E5">
        <w:rPr>
          <w:lang w:val="en-GB" w:eastAsia="en-GB"/>
        </w:rPr>
        <w:t xml:space="preserve"> </w:t>
      </w:r>
      <w:r w:rsidR="004265E5" w:rsidRPr="004265E5">
        <w:rPr>
          <w:spacing w:val="-6"/>
          <w:lang w:val="en-GB" w:eastAsia="en-GB"/>
        </w:rPr>
        <w:t>ECE/TRANS/WP.29/2015/12.</w:t>
      </w:r>
    </w:p>
    <w:p w:rsidR="004265E5" w:rsidRPr="004265E5" w:rsidRDefault="00DD1ED8" w:rsidP="004265E5">
      <w:pPr>
        <w:pStyle w:val="SingleTxtG"/>
        <w:rPr>
          <w:i/>
        </w:rPr>
      </w:pPr>
      <w:r>
        <w:br w:type="page"/>
      </w:r>
      <w:r w:rsidR="004265E5" w:rsidRPr="004265E5">
        <w:rPr>
          <w:i/>
        </w:rPr>
        <w:lastRenderedPageBreak/>
        <w:t>Annexe 11,</w:t>
      </w:r>
    </w:p>
    <w:p w:rsidR="004265E5" w:rsidRPr="004265E5" w:rsidRDefault="004265E5" w:rsidP="004265E5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</w:pPr>
      <w:r w:rsidRPr="004265E5">
        <w:rPr>
          <w:i/>
        </w:rPr>
        <w:t>Paragraphe 3.2.3.2.1</w:t>
      </w:r>
      <w:r w:rsidRPr="004265E5">
        <w:t>, modifier comme suit:</w:t>
      </w:r>
    </w:p>
    <w:p w:rsidR="004265E5" w:rsidRPr="004265E5" w:rsidRDefault="004265E5" w:rsidP="004265E5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</w:pPr>
      <w:r w:rsidRPr="004265E5">
        <w:t>«3.2.3.2.1</w:t>
      </w:r>
      <w:r w:rsidRPr="004265E5">
        <w:tab/>
        <w:t>Le véhicule en ordre de marche est chargé d’une masse correspondant au nombre P de voyageurs assis, de masse Q; d’une masse correspondant au nombre SP de voyageurs debout, de masse Q, uniformément répartie sur la surface S</w:t>
      </w:r>
      <w:r w:rsidRPr="004265E5">
        <w:rPr>
          <w:vertAlign w:val="subscript"/>
        </w:rPr>
        <w:t>1</w:t>
      </w:r>
      <w:r w:rsidRPr="004265E5">
        <w:t xml:space="preserve"> réservée aux voyageurs debout; d’une masse WP uniformément répartie sur chaque emplacement pour fauteuil roulant, le cas échéant; d’une masse égale à B (kg), uniformément répartie dans les compartiments à bagages; et d’une masse égale à BX (kg), uniformément répartie sur la surface du toit prévue pour porter des bagages, où:</w:t>
      </w:r>
    </w:p>
    <w:p w:rsidR="004265E5" w:rsidRPr="004265E5" w:rsidRDefault="004265E5" w:rsidP="004265E5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</w:pPr>
      <w:r w:rsidRPr="004265E5">
        <w:tab/>
        <w:t>P est le nombre de places assises;</w:t>
      </w:r>
    </w:p>
    <w:p w:rsidR="004265E5" w:rsidRPr="004265E5" w:rsidRDefault="004265E5" w:rsidP="004265E5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</w:pPr>
      <w:r w:rsidRPr="004265E5">
        <w:tab/>
        <w:t>S</w:t>
      </w:r>
      <w:r w:rsidRPr="004265E5">
        <w:rPr>
          <w:vertAlign w:val="subscript"/>
        </w:rPr>
        <w:t>1</w:t>
      </w:r>
      <w:r w:rsidRPr="004265E5">
        <w:t xml:space="preserve"> est la surface réservée aux voyageurs debout. Pour les véhicules des classes III ou B, S</w:t>
      </w:r>
      <w:r w:rsidRPr="004265E5">
        <w:rPr>
          <w:vertAlign w:val="subscript"/>
        </w:rPr>
        <w:t>1</w:t>
      </w:r>
      <w:r w:rsidRPr="004265E5">
        <w:t> = 0;</w:t>
      </w:r>
    </w:p>
    <w:p w:rsidR="004265E5" w:rsidRPr="004265E5" w:rsidRDefault="004265E5" w:rsidP="004265E5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</w:pPr>
      <w:r w:rsidRPr="004265E5">
        <w:tab/>
        <w:t>SP, déclaré par le constructeur, ne peut être supérieur à la valeur S</w:t>
      </w:r>
      <w:r w:rsidRPr="004265E5">
        <w:rPr>
          <w:vertAlign w:val="subscript"/>
        </w:rPr>
        <w:t>1</w:t>
      </w:r>
      <w:r w:rsidRPr="004265E5">
        <w:t>/S</w:t>
      </w:r>
      <w:r w:rsidRPr="004265E5">
        <w:rPr>
          <w:vertAlign w:val="subscript"/>
        </w:rPr>
        <w:t>Sp</w:t>
      </w:r>
      <w:r w:rsidRPr="004265E5">
        <w:t>, où S</w:t>
      </w:r>
      <w:r w:rsidRPr="004265E5">
        <w:rPr>
          <w:vertAlign w:val="subscript"/>
        </w:rPr>
        <w:t>Sp</w:t>
      </w:r>
      <w:r w:rsidRPr="004265E5">
        <w:t xml:space="preserve"> est l’espace conventionnel prévu pour un voyageur debout et précisé dans le tableau ci-dessous;</w:t>
      </w:r>
    </w:p>
    <w:p w:rsidR="004265E5" w:rsidRPr="004265E5" w:rsidRDefault="004265E5" w:rsidP="004265E5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</w:pPr>
      <w:r w:rsidRPr="004265E5">
        <w:tab/>
        <w:t>WP (kg) est le nombre d’emplacements pour fauteuils roulants multiplié par 250 kg, correspondant à la masse du fauteuil et de son utilisateur;</w:t>
      </w:r>
    </w:p>
    <w:p w:rsidR="004265E5" w:rsidRPr="004265E5" w:rsidRDefault="004265E5" w:rsidP="004265E5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</w:pPr>
      <w:r w:rsidRPr="004265E5">
        <w:tab/>
        <w:t>B (kg), déclaré par le constructeur, est une valeur numérique d’au moins 100 x V;</w:t>
      </w:r>
    </w:p>
    <w:p w:rsidR="004265E5" w:rsidRPr="004265E5" w:rsidRDefault="004265E5" w:rsidP="004265E5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</w:pPr>
      <w:r w:rsidRPr="004265E5">
        <w:tab/>
        <w:t>V est le volume total en m</w:t>
      </w:r>
      <w:r w:rsidRPr="004265E5">
        <w:rPr>
          <w:vertAlign w:val="superscript"/>
        </w:rPr>
        <w:t>3</w:t>
      </w:r>
      <w:r w:rsidRPr="004265E5">
        <w:t xml:space="preserve"> des compartiments à bagages, y compris les racks, les coffres à skis et les coffres à bagages qui sont fixés à l’extérieur du véhicule;</w:t>
      </w:r>
    </w:p>
    <w:p w:rsidR="004265E5" w:rsidRPr="004265E5" w:rsidRDefault="004265E5" w:rsidP="004265E5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</w:pPr>
      <w:r w:rsidRPr="004265E5">
        <w:tab/>
        <w:t>BX, déclaré par le constructeur, doit avoir une valeur numérique d’au moins 75 kg/m</w:t>
      </w:r>
      <w:r w:rsidRPr="004265E5">
        <w:rPr>
          <w:vertAlign w:val="superscript"/>
        </w:rPr>
        <w:t>2</w:t>
      </w:r>
      <w:r w:rsidRPr="004265E5">
        <w:t>.</w:t>
      </w:r>
    </w:p>
    <w:p w:rsidR="004265E5" w:rsidRPr="004265E5" w:rsidRDefault="004265E5" w:rsidP="004265E5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</w:pPr>
      <w:r w:rsidRPr="004265E5">
        <w:tab/>
        <w:t>Les véhicules à deux étages ne doivent pas être équipés de porte-bagages sur le toit et leur valeur BX doit donc être égale à zéro.</w:t>
      </w:r>
    </w:p>
    <w:p w:rsidR="004265E5" w:rsidRPr="004265E5" w:rsidRDefault="004265E5" w:rsidP="004265E5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right"/>
      </w:pPr>
      <w:r w:rsidRPr="004265E5">
        <w:t>…».</w:t>
      </w:r>
    </w:p>
    <w:p w:rsidR="004265E5" w:rsidRPr="004265E5" w:rsidRDefault="004265E5" w:rsidP="004265E5">
      <w:pPr>
        <w:kinsoku w:val="0"/>
        <w:overflowPunct w:val="0"/>
        <w:autoSpaceDE w:val="0"/>
        <w:autoSpaceDN w:val="0"/>
        <w:adjustRightInd w:val="0"/>
        <w:snapToGrid w:val="0"/>
        <w:spacing w:before="240" w:after="120"/>
        <w:ind w:left="1134" w:right="1134"/>
        <w:jc w:val="center"/>
        <w:rPr>
          <w:b/>
          <w:u w:val="single"/>
        </w:rPr>
      </w:pPr>
      <w:r w:rsidRPr="004265E5">
        <w:rPr>
          <w:u w:val="single"/>
        </w:rPr>
        <w:tab/>
      </w:r>
      <w:r w:rsidRPr="004265E5">
        <w:rPr>
          <w:u w:val="single"/>
        </w:rPr>
        <w:tab/>
      </w:r>
      <w:r w:rsidRPr="004265E5">
        <w:rPr>
          <w:u w:val="single"/>
        </w:rPr>
        <w:tab/>
      </w:r>
    </w:p>
    <w:p w:rsidR="00FC2CA9" w:rsidRPr="00972C55" w:rsidRDefault="00FC2CA9" w:rsidP="004265E5">
      <w:pPr>
        <w:pStyle w:val="SingleTxtG"/>
        <w:rPr>
          <w:u w:val="single"/>
        </w:rPr>
      </w:pPr>
    </w:p>
    <w:sectPr w:rsidR="00FC2CA9" w:rsidRPr="00972C55" w:rsidSect="000314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018" w:rsidRDefault="00772018"/>
  </w:endnote>
  <w:endnote w:type="continuationSeparator" w:id="0">
    <w:p w:rsidR="00772018" w:rsidRDefault="00772018">
      <w:pPr>
        <w:pStyle w:val="Footer"/>
      </w:pPr>
    </w:p>
  </w:endnote>
  <w:endnote w:type="continuationNotice" w:id="1">
    <w:p w:rsidR="00772018" w:rsidRPr="00C451B9" w:rsidRDefault="00772018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</w:pP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46539A">
      <w:rPr>
        <w:b/>
        <w:noProof/>
        <w:sz w:val="18"/>
      </w:rPr>
      <w:t>2</w:t>
    </w:r>
    <w:r w:rsidRPr="000314C7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  <w:rPr>
        <w:b/>
        <w:sz w:val="18"/>
      </w:rPr>
    </w:pPr>
    <w:r>
      <w:t>GE.13-24083</w:t>
    </w:r>
    <w:r>
      <w:tab/>
    </w: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EF5EBC">
      <w:rPr>
        <w:b/>
        <w:noProof/>
        <w:sz w:val="18"/>
      </w:rPr>
      <w:t>3</w:t>
    </w:r>
    <w:r w:rsidRPr="000314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29791D" w:rsidRDefault="00710974" w:rsidP="00E97E2C">
    <w:pPr>
      <w:ind w:left="1134" w:right="1134"/>
      <w:jc w:val="center"/>
    </w:pPr>
    <w:r>
      <w:t>_______________</w:t>
    </w:r>
  </w:p>
  <w:p w:rsidR="00710974" w:rsidRDefault="0046539A" w:rsidP="00E97E2C">
    <w:pPr>
      <w:jc w:val="center"/>
      <w:rPr>
        <w:b/>
        <w:bCs/>
        <w:sz w:val="2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60.6pt;mso-wrap-distance-bottom:10.8pt" o:allowoverlap="f" fillcolor="window">
          <v:imagedata r:id="rId1" o:title="" cropleft="-4986f" cropright="-4986f"/>
        </v:shape>
      </w:pict>
    </w:r>
  </w:p>
  <w:p w:rsidR="00710974" w:rsidRPr="0029791D" w:rsidRDefault="00710974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710974" w:rsidRPr="0029791D" w:rsidRDefault="00710974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710974" w:rsidRDefault="00710974" w:rsidP="00242268">
    <w:pPr>
      <w:pStyle w:val="FootnoteText"/>
      <w:spacing w:after="240" w:line="200" w:lineRule="exact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018" w:rsidRPr="00D27D5E" w:rsidRDefault="0077201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72018" w:rsidRPr="00D171D4" w:rsidRDefault="00772018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772018" w:rsidRPr="00C451B9" w:rsidRDefault="00772018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4265E5">
    <w:pPr>
      <w:pStyle w:val="Header"/>
    </w:pPr>
    <w:r w:rsidRPr="00D623A7">
      <w:t>E/ECE/324</w:t>
    </w:r>
    <w:r w:rsidRPr="005F16F0">
      <w:t>/Rev.2/Add.106/Rev.5/Amend.2</w:t>
    </w:r>
    <w:r>
      <w:br/>
    </w:r>
    <w:r w:rsidRPr="00D623A7">
      <w:t>E/ECE/TRANS/505</w:t>
    </w:r>
    <w:r w:rsidRPr="005F16F0">
      <w:t>/Rev.2/Add.106/Rev.5/Amend.2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FC2CA9" w:rsidP="000314C7">
    <w:pPr>
      <w:pStyle w:val="Header"/>
      <w:jc w:val="right"/>
    </w:pPr>
    <w:r>
      <w:t>E/ECE/324/Rev.2/Add.103/Rev.1/Amend.2</w:t>
    </w:r>
    <w:r>
      <w:br/>
      <w:t>E/ECE/TRANS/505/Rev.2/Add.103/Rev.1/Amend.2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10" w:rsidRPr="00880C02" w:rsidRDefault="00513610" w:rsidP="00880C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4B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74D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D6E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345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81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8D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0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3B252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4">
    <w:nsid w:val="3EF500B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7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0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3791B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4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1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0"/>
  </w:num>
  <w:num w:numId="2">
    <w:abstractNumId w:val="18"/>
  </w:num>
  <w:num w:numId="3">
    <w:abstractNumId w:val="40"/>
  </w:num>
  <w:num w:numId="4">
    <w:abstractNumId w:val="18"/>
  </w:num>
  <w:num w:numId="5">
    <w:abstractNumId w:val="11"/>
  </w:num>
  <w:num w:numId="6">
    <w:abstractNumId w:val="20"/>
  </w:num>
  <w:num w:numId="7">
    <w:abstractNumId w:val="25"/>
  </w:num>
  <w:num w:numId="8">
    <w:abstractNumId w:val="38"/>
  </w:num>
  <w:num w:numId="9">
    <w:abstractNumId w:val="31"/>
  </w:num>
  <w:num w:numId="10">
    <w:abstractNumId w:val="41"/>
  </w:num>
  <w:num w:numId="11">
    <w:abstractNumId w:val="25"/>
  </w:num>
  <w:num w:numId="12">
    <w:abstractNumId w:val="29"/>
  </w:num>
  <w:num w:numId="13">
    <w:abstractNumId w:val="29"/>
  </w:num>
  <w:num w:numId="14">
    <w:abstractNumId w:val="35"/>
  </w:num>
  <w:num w:numId="15">
    <w:abstractNumId w:val="23"/>
  </w:num>
  <w:num w:numId="16">
    <w:abstractNumId w:val="23"/>
  </w:num>
  <w:num w:numId="17">
    <w:abstractNumId w:val="40"/>
  </w:num>
  <w:num w:numId="18">
    <w:abstractNumId w:val="18"/>
  </w:num>
  <w:num w:numId="19">
    <w:abstractNumId w:val="1"/>
  </w:num>
  <w:num w:numId="20">
    <w:abstractNumId w:val="0"/>
  </w:num>
  <w:num w:numId="21">
    <w:abstractNumId w:val="19"/>
  </w:num>
  <w:num w:numId="22">
    <w:abstractNumId w:val="10"/>
  </w:num>
  <w:num w:numId="23">
    <w:abstractNumId w:val="15"/>
  </w:num>
  <w:num w:numId="24">
    <w:abstractNumId w:val="12"/>
  </w:num>
  <w:num w:numId="25">
    <w:abstractNumId w:val="26"/>
  </w:num>
  <w:num w:numId="26">
    <w:abstractNumId w:val="33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9"/>
  </w:num>
  <w:num w:numId="37">
    <w:abstractNumId w:val="36"/>
  </w:num>
  <w:num w:numId="38">
    <w:abstractNumId w:val="22"/>
  </w:num>
  <w:num w:numId="39">
    <w:abstractNumId w:val="28"/>
  </w:num>
  <w:num w:numId="40">
    <w:abstractNumId w:val="37"/>
  </w:num>
  <w:num w:numId="41">
    <w:abstractNumId w:val="16"/>
  </w:num>
  <w:num w:numId="42">
    <w:abstractNumId w:val="24"/>
  </w:num>
  <w:num w:numId="43">
    <w:abstractNumId w:val="32"/>
  </w:num>
  <w:num w:numId="44">
    <w:abstractNumId w:val="21"/>
  </w:num>
  <w:num w:numId="45">
    <w:abstractNumId w:val="34"/>
  </w:num>
  <w:num w:numId="46">
    <w:abstractNumId w:val="30"/>
  </w:num>
  <w:num w:numId="47">
    <w:abstractNumId w:val="27"/>
  </w:num>
  <w:num w:numId="48">
    <w:abstractNumId w:val="1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018"/>
    <w:rsid w:val="0001470D"/>
    <w:rsid w:val="00015650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14C7"/>
    <w:rsid w:val="00032060"/>
    <w:rsid w:val="00037B3F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90B60"/>
    <w:rsid w:val="000A1501"/>
    <w:rsid w:val="000A2494"/>
    <w:rsid w:val="000A6B7E"/>
    <w:rsid w:val="000C6CDB"/>
    <w:rsid w:val="000D5C25"/>
    <w:rsid w:val="000E4F06"/>
    <w:rsid w:val="000E5601"/>
    <w:rsid w:val="000F17F6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376F"/>
    <w:rsid w:val="001B09BB"/>
    <w:rsid w:val="001C08ED"/>
    <w:rsid w:val="001C3D8D"/>
    <w:rsid w:val="001C6497"/>
    <w:rsid w:val="001D3393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268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C5B16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178D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A58D8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265E5"/>
    <w:rsid w:val="00430EFC"/>
    <w:rsid w:val="00433FA6"/>
    <w:rsid w:val="004342E2"/>
    <w:rsid w:val="00434354"/>
    <w:rsid w:val="00440BC8"/>
    <w:rsid w:val="00454F8D"/>
    <w:rsid w:val="004567EB"/>
    <w:rsid w:val="00460E72"/>
    <w:rsid w:val="00464191"/>
    <w:rsid w:val="0046539A"/>
    <w:rsid w:val="00467412"/>
    <w:rsid w:val="004726BE"/>
    <w:rsid w:val="004750C7"/>
    <w:rsid w:val="00476265"/>
    <w:rsid w:val="00490F56"/>
    <w:rsid w:val="00491496"/>
    <w:rsid w:val="00491F39"/>
    <w:rsid w:val="00495A7B"/>
    <w:rsid w:val="004A49A5"/>
    <w:rsid w:val="004A66A2"/>
    <w:rsid w:val="004B261D"/>
    <w:rsid w:val="004B51CD"/>
    <w:rsid w:val="004B576C"/>
    <w:rsid w:val="004C54C0"/>
    <w:rsid w:val="004C56B2"/>
    <w:rsid w:val="004D00B2"/>
    <w:rsid w:val="004E4963"/>
    <w:rsid w:val="004E6809"/>
    <w:rsid w:val="004E7F24"/>
    <w:rsid w:val="005111B1"/>
    <w:rsid w:val="00513610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366"/>
    <w:rsid w:val="00552777"/>
    <w:rsid w:val="00555494"/>
    <w:rsid w:val="00555CBA"/>
    <w:rsid w:val="00556C1A"/>
    <w:rsid w:val="00563071"/>
    <w:rsid w:val="00565B29"/>
    <w:rsid w:val="00571BC1"/>
    <w:rsid w:val="00571F41"/>
    <w:rsid w:val="00575476"/>
    <w:rsid w:val="005757A7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7719"/>
    <w:rsid w:val="005E1B9B"/>
    <w:rsid w:val="005E32D1"/>
    <w:rsid w:val="005E5D1F"/>
    <w:rsid w:val="005F0207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814"/>
    <w:rsid w:val="006439EC"/>
    <w:rsid w:val="00645090"/>
    <w:rsid w:val="00646671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055F"/>
    <w:rsid w:val="0068562A"/>
    <w:rsid w:val="006A62F8"/>
    <w:rsid w:val="006A6B31"/>
    <w:rsid w:val="006A6C95"/>
    <w:rsid w:val="006A7B29"/>
    <w:rsid w:val="006B0EB2"/>
    <w:rsid w:val="006B0FF8"/>
    <w:rsid w:val="006B4590"/>
    <w:rsid w:val="006C27D3"/>
    <w:rsid w:val="006C340C"/>
    <w:rsid w:val="006F1D0B"/>
    <w:rsid w:val="006F27A8"/>
    <w:rsid w:val="006F3493"/>
    <w:rsid w:val="006F3544"/>
    <w:rsid w:val="0070347C"/>
    <w:rsid w:val="00707FE6"/>
    <w:rsid w:val="007102D2"/>
    <w:rsid w:val="00710974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5DCF"/>
    <w:rsid w:val="00766D28"/>
    <w:rsid w:val="00772018"/>
    <w:rsid w:val="007723C2"/>
    <w:rsid w:val="007815B9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E3CBD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45F4"/>
    <w:rsid w:val="00837345"/>
    <w:rsid w:val="00844750"/>
    <w:rsid w:val="00851A74"/>
    <w:rsid w:val="00853AB8"/>
    <w:rsid w:val="00854C34"/>
    <w:rsid w:val="0085586A"/>
    <w:rsid w:val="00856DB2"/>
    <w:rsid w:val="00880C02"/>
    <w:rsid w:val="00894D0C"/>
    <w:rsid w:val="00895DE5"/>
    <w:rsid w:val="008A00CA"/>
    <w:rsid w:val="008A0FA8"/>
    <w:rsid w:val="008A1EC0"/>
    <w:rsid w:val="008B44C4"/>
    <w:rsid w:val="008C322B"/>
    <w:rsid w:val="008C4B74"/>
    <w:rsid w:val="008D1156"/>
    <w:rsid w:val="008D59DB"/>
    <w:rsid w:val="008E0319"/>
    <w:rsid w:val="008E1A5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05B"/>
    <w:rsid w:val="00957CE5"/>
    <w:rsid w:val="009624E2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76263"/>
    <w:rsid w:val="00A81F93"/>
    <w:rsid w:val="00A92017"/>
    <w:rsid w:val="00A9247E"/>
    <w:rsid w:val="00A952AD"/>
    <w:rsid w:val="00AA0DCA"/>
    <w:rsid w:val="00AA7796"/>
    <w:rsid w:val="00AC67A1"/>
    <w:rsid w:val="00AC7977"/>
    <w:rsid w:val="00AC7E56"/>
    <w:rsid w:val="00AE2617"/>
    <w:rsid w:val="00AE352C"/>
    <w:rsid w:val="00AE79AC"/>
    <w:rsid w:val="00B01AAD"/>
    <w:rsid w:val="00B101DB"/>
    <w:rsid w:val="00B21751"/>
    <w:rsid w:val="00B256F0"/>
    <w:rsid w:val="00B31D7D"/>
    <w:rsid w:val="00B32E2D"/>
    <w:rsid w:val="00B416B8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804B7"/>
    <w:rsid w:val="00BC3F20"/>
    <w:rsid w:val="00BD13E6"/>
    <w:rsid w:val="00BD28B2"/>
    <w:rsid w:val="00BD5A8D"/>
    <w:rsid w:val="00BD7343"/>
    <w:rsid w:val="00BF0556"/>
    <w:rsid w:val="00BF37EE"/>
    <w:rsid w:val="00BF41E8"/>
    <w:rsid w:val="00C024A1"/>
    <w:rsid w:val="00C02C42"/>
    <w:rsid w:val="00C10FB1"/>
    <w:rsid w:val="00C11282"/>
    <w:rsid w:val="00C14108"/>
    <w:rsid w:val="00C231A5"/>
    <w:rsid w:val="00C261F8"/>
    <w:rsid w:val="00C27662"/>
    <w:rsid w:val="00C32914"/>
    <w:rsid w:val="00C33100"/>
    <w:rsid w:val="00C42EDB"/>
    <w:rsid w:val="00C451B9"/>
    <w:rsid w:val="00C47BDD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4527"/>
    <w:rsid w:val="00D05828"/>
    <w:rsid w:val="00D06712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5218B"/>
    <w:rsid w:val="00D62AC5"/>
    <w:rsid w:val="00D639BD"/>
    <w:rsid w:val="00D65777"/>
    <w:rsid w:val="00D66E0D"/>
    <w:rsid w:val="00D7425A"/>
    <w:rsid w:val="00D74F7E"/>
    <w:rsid w:val="00D7695F"/>
    <w:rsid w:val="00D9039B"/>
    <w:rsid w:val="00D904F4"/>
    <w:rsid w:val="00D93582"/>
    <w:rsid w:val="00DA41A2"/>
    <w:rsid w:val="00DA43A1"/>
    <w:rsid w:val="00DA5E1D"/>
    <w:rsid w:val="00DC3628"/>
    <w:rsid w:val="00DC4F43"/>
    <w:rsid w:val="00DC5038"/>
    <w:rsid w:val="00DD0034"/>
    <w:rsid w:val="00DD1ED8"/>
    <w:rsid w:val="00DE6D90"/>
    <w:rsid w:val="00DF002F"/>
    <w:rsid w:val="00DF1D90"/>
    <w:rsid w:val="00E01123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43CB0"/>
    <w:rsid w:val="00E510F3"/>
    <w:rsid w:val="00E51874"/>
    <w:rsid w:val="00E55223"/>
    <w:rsid w:val="00E60012"/>
    <w:rsid w:val="00E606BF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4E03"/>
    <w:rsid w:val="00E96710"/>
    <w:rsid w:val="00E97E2C"/>
    <w:rsid w:val="00EA3B1D"/>
    <w:rsid w:val="00EB407B"/>
    <w:rsid w:val="00EB77B9"/>
    <w:rsid w:val="00EB7D07"/>
    <w:rsid w:val="00ED3A26"/>
    <w:rsid w:val="00EF5EBC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D41"/>
    <w:rsid w:val="00F515AD"/>
    <w:rsid w:val="00F56B14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C2227"/>
    <w:rsid w:val="00FC2CA9"/>
    <w:rsid w:val="00FC58CD"/>
    <w:rsid w:val="00FD02A2"/>
    <w:rsid w:val="00FD5E64"/>
    <w:rsid w:val="00FD7985"/>
    <w:rsid w:val="00FE2E9C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A8C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50D6B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287E79"/>
    <w:pPr>
      <w:outlineLvl w:val="1"/>
    </w:pPr>
  </w:style>
  <w:style w:type="paragraph" w:styleId="Heading3">
    <w:name w:val="heading 3"/>
    <w:basedOn w:val="Normal"/>
    <w:next w:val="Normal"/>
    <w:qFormat/>
    <w:rsid w:val="00287E79"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1D7F8A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rsid w:val="00D016B5"/>
  </w:style>
  <w:style w:type="paragraph" w:styleId="FootnoteText">
    <w:name w:val="footnote text"/>
    <w:aliases w:val="5_G"/>
    <w:basedOn w:val="Normal"/>
    <w:rsid w:val="00C10FB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rsid w:val="001D7F8A"/>
    <w:pPr>
      <w:spacing w:line="240" w:lineRule="auto"/>
    </w:pPr>
    <w:rPr>
      <w:sz w:val="16"/>
    </w:rPr>
  </w:style>
  <w:style w:type="character" w:styleId="EndnoteReference">
    <w:name w:val="endnote reference"/>
    <w:aliases w:val="1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rsid w:val="00287E79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rsid w:val="007723C2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rsid w:val="00D016B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rsid w:val="00D016B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rsid w:val="00D016B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1D7F8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1D7F8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016B5"/>
    <w:pPr>
      <w:numPr>
        <w:numId w:val="3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016B5"/>
    <w:pPr>
      <w:numPr>
        <w:numId w:val="3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372D1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lang w:val="fr-CH" w:eastAsia="en-US" w:bidi="ar-SA"/>
    </w:rPr>
  </w:style>
  <w:style w:type="character" w:styleId="Hyperlink">
    <w:name w:val="Hyperlink"/>
    <w:semiHidden/>
    <w:rsid w:val="00491F39"/>
    <w:rPr>
      <w:color w:val="auto"/>
      <w:u w:val="none"/>
    </w:rPr>
  </w:style>
  <w:style w:type="character" w:styleId="FollowedHyperlink">
    <w:name w:val="FollowedHyperlink"/>
    <w:semiHidden/>
    <w:rsid w:val="00491F39"/>
    <w:rPr>
      <w:color w:val="auto"/>
      <w:u w:val="none"/>
    </w:rPr>
  </w:style>
  <w:style w:type="paragraph" w:customStyle="1" w:styleId="ParNoG">
    <w:name w:val="_ParNo_G"/>
    <w:basedOn w:val="SingleTxtG"/>
    <w:rsid w:val="00FE2E9C"/>
    <w:pPr>
      <w:numPr>
        <w:numId w:val="49"/>
      </w:numPr>
    </w:pPr>
  </w:style>
  <w:style w:type="character" w:customStyle="1" w:styleId="Heading1Char">
    <w:name w:val="Heading 1 Char"/>
    <w:aliases w:val="Table_G Char"/>
    <w:link w:val="Heading1"/>
    <w:rsid w:val="001C08ED"/>
    <w:rPr>
      <w:lang w:val="fr-CH" w:eastAsia="en-US"/>
    </w:rPr>
  </w:style>
  <w:style w:type="paragraph" w:styleId="BalloonText">
    <w:name w:val="Balloon Text"/>
    <w:basedOn w:val="Normal"/>
    <w:link w:val="BalloonTextChar"/>
    <w:rsid w:val="00FC2C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2CA9"/>
    <w:rPr>
      <w:rFonts w:ascii="Tahoma" w:hAnsi="Tahoma" w:cs="Tahoma"/>
      <w:sz w:val="16"/>
      <w:szCs w:val="16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FRENC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FRENCH my AMEND template.dotx</Template>
  <TotalTime>13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E/ECE/324/Rev.2/Add.100/Rev.3/Amend.1</vt:lpstr>
      <vt:lpstr>E/ECE/324/Rev.2/Add.100/Rev.3/Amend.1</vt:lpstr>
    </vt:vector>
  </TitlesOfParts>
  <Company>CSD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E/ECE/324/Rev.2/Add.100/Rev.3/Amend.1</dc:title>
  <dc:subject>final</dc:subject>
  <dc:creator>07</dc:creator>
  <cp:lastModifiedBy>09</cp:lastModifiedBy>
  <cp:revision>6</cp:revision>
  <cp:lastPrinted>2015-07-27T08:25:00Z</cp:lastPrinted>
  <dcterms:created xsi:type="dcterms:W3CDTF">2015-07-16T13:27:00Z</dcterms:created>
  <dcterms:modified xsi:type="dcterms:W3CDTF">2015-11-09T08:54:00Z</dcterms:modified>
</cp:coreProperties>
</file>