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64636E" w:rsidRPr="00D47EEA" w:rsidRDefault="0064636E" w:rsidP="005F16F0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5F16F0">
              <w:t>2</w:t>
            </w:r>
            <w:r w:rsidR="00841EB5">
              <w:t>/</w:t>
            </w:r>
            <w:r>
              <w:t>Add.</w:t>
            </w:r>
            <w:r w:rsidR="005F16F0">
              <w:t>106</w:t>
            </w:r>
            <w:r>
              <w:t>/Rev.</w:t>
            </w:r>
            <w:r w:rsidR="005F16F0">
              <w:t>5</w:t>
            </w:r>
            <w:r>
              <w:t>/</w:t>
            </w:r>
            <w:r w:rsidR="00D623A7">
              <w:t>Amend.</w:t>
            </w:r>
            <w:r w:rsidR="005F16F0">
              <w:t>2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5F16F0">
              <w:t>/Rev.2/Add.106/Rev.5/Amend.2</w:t>
            </w:r>
          </w:p>
        </w:tc>
      </w:tr>
      <w:tr w:rsidR="003C3936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  <w:p w:rsidR="00D623A7" w:rsidRDefault="00D623A7" w:rsidP="003C3936">
            <w:pPr>
              <w:spacing w:before="120"/>
            </w:pPr>
          </w:p>
          <w:p w:rsidR="00C84414" w:rsidRDefault="00C84414" w:rsidP="003C3936">
            <w:pPr>
              <w:spacing w:before="120"/>
            </w:pPr>
          </w:p>
          <w:p w:rsidR="00C84414" w:rsidRDefault="0092320E" w:rsidP="003C3936">
            <w:pPr>
              <w:spacing w:before="120"/>
            </w:pPr>
            <w:r>
              <w:t>9 November 2015</w:t>
            </w:r>
            <w:bookmarkStart w:id="0" w:name="_GoBack"/>
            <w:bookmarkEnd w:id="0"/>
          </w:p>
        </w:tc>
      </w:tr>
    </w:tbl>
    <w:p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proofErr w:type="gramStart"/>
      <w:r w:rsidR="00EA0ED6">
        <w:t>F</w:t>
      </w:r>
      <w:r w:rsidRPr="006A6FBE">
        <w:t>itted</w:t>
      </w:r>
      <w:proofErr w:type="gramEnd"/>
      <w:r w:rsidRPr="006A6FBE">
        <w:t xml:space="preserve">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5F16F0">
        <w:t>106</w:t>
      </w:r>
      <w:r>
        <w:t xml:space="preserve"> – Regulation No.</w:t>
      </w:r>
      <w:r w:rsidR="00271A7F">
        <w:t xml:space="preserve"> </w:t>
      </w:r>
      <w:r w:rsidR="005F16F0">
        <w:t>107</w:t>
      </w:r>
    </w:p>
    <w:p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5F16F0">
        <w:t>5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5F16F0">
        <w:t>2</w:t>
      </w:r>
    </w:p>
    <w:p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5F16F0">
        <w:rPr>
          <w:spacing w:val="-2"/>
        </w:rPr>
        <w:t>3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5F16F0">
        <w:rPr>
          <w:spacing w:val="-2"/>
        </w:rPr>
        <w:t>05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5F16F0">
        <w:t>8 October 2015</w:t>
      </w:r>
    </w:p>
    <w:p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5F16F0" w:rsidRPr="005F16F0">
        <w:rPr>
          <w:lang w:val="en-US"/>
        </w:rPr>
        <w:t>Uniform provisions concerning the approval of category M</w:t>
      </w:r>
      <w:r w:rsidR="005F16F0" w:rsidRPr="005F16F0">
        <w:rPr>
          <w:vertAlign w:val="subscript"/>
          <w:lang w:val="en-US"/>
        </w:rPr>
        <w:t>2</w:t>
      </w:r>
      <w:r w:rsidR="005F16F0" w:rsidRPr="005F16F0">
        <w:rPr>
          <w:lang w:val="en-US"/>
        </w:rPr>
        <w:t xml:space="preserve"> or M</w:t>
      </w:r>
      <w:r w:rsidR="005F16F0" w:rsidRPr="005F16F0">
        <w:rPr>
          <w:vertAlign w:val="subscript"/>
          <w:lang w:val="en-US"/>
        </w:rPr>
        <w:t>3</w:t>
      </w:r>
      <w:r w:rsidR="005F16F0" w:rsidRPr="005F16F0">
        <w:rPr>
          <w:lang w:val="en-US"/>
        </w:rPr>
        <w:t xml:space="preserve"> vehicles with regard to their general construction</w:t>
      </w:r>
    </w:p>
    <w:p w:rsidR="00A41529" w:rsidRDefault="00B32121" w:rsidP="005F16F0">
      <w:pPr>
        <w:pStyle w:val="SingleTxtG"/>
        <w:spacing w:after="4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proofErr w:type="spellStart"/>
      <w:r>
        <w:rPr>
          <w:spacing w:val="-6"/>
          <w:lang w:eastAsia="en-GB"/>
        </w:rPr>
        <w:t>ECE</w:t>
      </w:r>
      <w:proofErr w:type="spellEnd"/>
      <w:r>
        <w:rPr>
          <w:spacing w:val="-6"/>
          <w:lang w:eastAsia="en-GB"/>
        </w:rPr>
        <w:t>/TRANS/WP.29/2015/</w:t>
      </w:r>
      <w:r w:rsidR="005F16F0">
        <w:rPr>
          <w:spacing w:val="-6"/>
          <w:lang w:eastAsia="en-GB"/>
        </w:rPr>
        <w:t>12.</w:t>
      </w:r>
    </w:p>
    <w:p w:rsidR="000D3A4F" w:rsidRPr="000D3A4F" w:rsidRDefault="0092320E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style="position:absolute;left:0;text-align:left;margin-left:200pt;margin-top:17.6pt;width:81pt;height:65.1pt;z-index:251657728;visibility:visible;mso-wrap-distance-bottom:10.8pt">
            <v:imagedata r:id="rId8" o:title="" cropleft="-4983f" cropright="-4983f"/>
            <w10:wrap type="topAndBottom"/>
          </v:shape>
        </w:pict>
      </w:r>
      <w:r w:rsidR="000D3A4F" w:rsidRPr="000D3A4F">
        <w:rPr>
          <w:b/>
          <w:sz w:val="24"/>
        </w:rPr>
        <w:t>_________</w:t>
      </w:r>
    </w:p>
    <w:p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:rsidR="00D623A7" w:rsidRDefault="00D623A7">
      <w:pPr>
        <w:suppressAutoHyphens w:val="0"/>
        <w:spacing w:line="240" w:lineRule="auto"/>
      </w:pPr>
    </w:p>
    <w:p w:rsidR="00713BD8" w:rsidRDefault="00713BD8">
      <w:pPr>
        <w:suppressAutoHyphens w:val="0"/>
        <w:spacing w:line="240" w:lineRule="auto"/>
      </w:pPr>
    </w:p>
    <w:p w:rsidR="00C711C7" w:rsidRDefault="00C711C7" w:rsidP="00C711C7">
      <w:pPr>
        <w:jc w:val="center"/>
      </w:pPr>
    </w:p>
    <w:p w:rsidR="005F16F0" w:rsidRDefault="00D5540C" w:rsidP="005F16F0">
      <w:pPr>
        <w:suppressAutoHyphens w:val="0"/>
        <w:spacing w:line="240" w:lineRule="auto"/>
        <w:ind w:left="1134" w:right="1139"/>
        <w:jc w:val="both"/>
      </w:pPr>
      <w:r>
        <w:br w:type="page"/>
      </w:r>
    </w:p>
    <w:p w:rsidR="005F16F0" w:rsidRPr="005F16F0" w:rsidRDefault="005F16F0" w:rsidP="005F16F0">
      <w:pPr>
        <w:suppressAutoHyphens w:val="0"/>
        <w:spacing w:line="240" w:lineRule="auto"/>
        <w:ind w:left="1134" w:right="1139"/>
        <w:jc w:val="both"/>
        <w:rPr>
          <w:bCs/>
          <w:i/>
          <w:lang w:val="en-US"/>
        </w:rPr>
      </w:pPr>
      <w:r w:rsidRPr="005F16F0">
        <w:rPr>
          <w:bCs/>
          <w:i/>
          <w:lang w:val="en-US"/>
        </w:rPr>
        <w:t>Annex 11,</w:t>
      </w:r>
    </w:p>
    <w:p w:rsidR="005F16F0" w:rsidRPr="005F16F0" w:rsidRDefault="005F16F0" w:rsidP="005F16F0">
      <w:pPr>
        <w:suppressAutoHyphens w:val="0"/>
        <w:spacing w:before="120" w:line="240" w:lineRule="auto"/>
        <w:ind w:left="1134" w:right="1140"/>
        <w:jc w:val="both"/>
        <w:rPr>
          <w:bCs/>
          <w:i/>
          <w:lang w:val="en-US"/>
        </w:rPr>
      </w:pPr>
      <w:r w:rsidRPr="005F16F0">
        <w:rPr>
          <w:i/>
          <w:lang w:val="en-US"/>
        </w:rPr>
        <w:t>Paragraph</w:t>
      </w:r>
      <w:r w:rsidRPr="005F16F0">
        <w:rPr>
          <w:bCs/>
          <w:i/>
          <w:lang w:val="en-US"/>
        </w:rPr>
        <w:t xml:space="preserve"> </w:t>
      </w:r>
      <w:r w:rsidRPr="005F16F0">
        <w:rPr>
          <w:i/>
          <w:lang w:val="en-US"/>
        </w:rPr>
        <w:t>3.2.3.2.1.</w:t>
      </w:r>
      <w:r w:rsidRPr="005F16F0">
        <w:rPr>
          <w:bCs/>
          <w:i/>
          <w:lang w:val="en-US"/>
        </w:rPr>
        <w:t xml:space="preserve">, </w:t>
      </w:r>
      <w:r w:rsidRPr="005F16F0">
        <w:rPr>
          <w:bCs/>
          <w:lang w:val="en-US"/>
        </w:rPr>
        <w:t>amend to read:</w:t>
      </w:r>
    </w:p>
    <w:p w:rsidR="005F16F0" w:rsidRPr="005F16F0" w:rsidRDefault="005F16F0" w:rsidP="005F16F0">
      <w:pPr>
        <w:suppressAutoHyphens w:val="0"/>
        <w:spacing w:before="120" w:after="120" w:line="240" w:lineRule="auto"/>
        <w:ind w:left="2268" w:right="1134" w:hanging="1134"/>
        <w:jc w:val="both"/>
        <w:rPr>
          <w:lang w:val="en-US"/>
        </w:rPr>
      </w:pPr>
      <w:r w:rsidRPr="005F16F0">
        <w:rPr>
          <w:lang w:val="en-US"/>
        </w:rPr>
        <w:t>"3.2.3.2.1.</w:t>
      </w:r>
      <w:r w:rsidRPr="005F16F0">
        <w:rPr>
          <w:lang w:val="en-US"/>
        </w:rPr>
        <w:tab/>
        <w:t xml:space="preserve">The vehicle in running order is loaded with: a mass corresponding to the number P of seated passengers, of mass Q; a mass corresponding to the number </w:t>
      </w:r>
      <w:proofErr w:type="spellStart"/>
      <w:r w:rsidRPr="005F16F0">
        <w:rPr>
          <w:lang w:val="en-US"/>
        </w:rPr>
        <w:t>SP</w:t>
      </w:r>
      <w:proofErr w:type="spellEnd"/>
      <w:r w:rsidRPr="005F16F0">
        <w:rPr>
          <w:lang w:val="en-US"/>
        </w:rPr>
        <w:t xml:space="preserve"> of standing passengers, of mass Q uniformly distributed over the surface available for standing passengers S</w:t>
      </w:r>
      <w:r w:rsidRPr="005F16F0">
        <w:rPr>
          <w:vertAlign w:val="subscript"/>
          <w:lang w:val="en-US"/>
        </w:rPr>
        <w:t>1</w:t>
      </w:r>
      <w:r w:rsidRPr="005F16F0">
        <w:rPr>
          <w:lang w:val="en-US"/>
        </w:rPr>
        <w:t>; where appropriate, a mass WP uniformly distributed over each wheelchair space; a mass equal to B (kg) uniformly distributed in the baggage compartments; a mass equal to BX (kg) uniformly distributed over the surface area of the roof equipped for the carriage of baggage, where:</w:t>
      </w:r>
    </w:p>
    <w:p w:rsidR="005F16F0" w:rsidRPr="005F16F0" w:rsidRDefault="005F16F0" w:rsidP="005F16F0">
      <w:pPr>
        <w:suppressAutoHyphens w:val="0"/>
        <w:spacing w:before="120" w:after="120" w:line="240" w:lineRule="auto"/>
        <w:ind w:left="2268" w:right="1134" w:hanging="1134"/>
        <w:jc w:val="both"/>
        <w:rPr>
          <w:lang w:val="en-US"/>
        </w:rPr>
      </w:pPr>
      <w:r w:rsidRPr="005F16F0">
        <w:rPr>
          <w:lang w:val="en-US"/>
        </w:rPr>
        <w:tab/>
        <w:t>P is the number of seating places.</w:t>
      </w:r>
    </w:p>
    <w:p w:rsidR="005F16F0" w:rsidRPr="005F16F0" w:rsidRDefault="005F16F0" w:rsidP="005F16F0">
      <w:pPr>
        <w:suppressAutoHyphens w:val="0"/>
        <w:spacing w:before="120" w:after="120" w:line="240" w:lineRule="auto"/>
        <w:ind w:left="2268" w:right="1134" w:hanging="1134"/>
        <w:jc w:val="both"/>
        <w:rPr>
          <w:lang w:val="en-US"/>
        </w:rPr>
      </w:pPr>
      <w:r w:rsidRPr="005F16F0">
        <w:rPr>
          <w:lang w:val="en-US"/>
        </w:rPr>
        <w:tab/>
        <w:t>S</w:t>
      </w:r>
      <w:r w:rsidRPr="005F16F0">
        <w:rPr>
          <w:vertAlign w:val="subscript"/>
          <w:lang w:val="en-US"/>
        </w:rPr>
        <w:t>1</w:t>
      </w:r>
      <w:r w:rsidRPr="005F16F0">
        <w:rPr>
          <w:lang w:val="en-US"/>
        </w:rPr>
        <w:t xml:space="preserve"> is the area for standing passengers. In the case of vehicles of classes III or B, S</w:t>
      </w:r>
      <w:r w:rsidRPr="005F16F0">
        <w:rPr>
          <w:vertAlign w:val="subscript"/>
          <w:lang w:val="en-US"/>
        </w:rPr>
        <w:t>1</w:t>
      </w:r>
      <w:r w:rsidRPr="005F16F0">
        <w:rPr>
          <w:lang w:val="en-US"/>
        </w:rPr>
        <w:t xml:space="preserve"> = 0.</w:t>
      </w:r>
    </w:p>
    <w:p w:rsidR="005F16F0" w:rsidRPr="005F16F0" w:rsidRDefault="005F16F0" w:rsidP="005F16F0">
      <w:pPr>
        <w:suppressAutoHyphens w:val="0"/>
        <w:spacing w:before="120" w:after="120" w:line="240" w:lineRule="auto"/>
        <w:ind w:left="2268" w:right="1134" w:hanging="1134"/>
        <w:jc w:val="both"/>
        <w:rPr>
          <w:lang w:val="en-US"/>
        </w:rPr>
      </w:pPr>
      <w:r w:rsidRPr="005F16F0">
        <w:rPr>
          <w:lang w:val="en-US"/>
        </w:rPr>
        <w:tab/>
      </w:r>
      <w:proofErr w:type="spellStart"/>
      <w:r w:rsidRPr="005F16F0">
        <w:rPr>
          <w:lang w:val="en-US"/>
        </w:rPr>
        <w:t>SP</w:t>
      </w:r>
      <w:proofErr w:type="spellEnd"/>
      <w:r w:rsidRPr="005F16F0">
        <w:rPr>
          <w:lang w:val="en-US"/>
        </w:rPr>
        <w:t>, declared by the manufacturer, shall not exceed the value S</w:t>
      </w:r>
      <w:r w:rsidRPr="005F16F0">
        <w:rPr>
          <w:vertAlign w:val="subscript"/>
          <w:lang w:val="en-US"/>
        </w:rPr>
        <w:t>1</w:t>
      </w:r>
      <w:r w:rsidRPr="005F16F0">
        <w:rPr>
          <w:lang w:val="en-US"/>
        </w:rPr>
        <w:t>/</w:t>
      </w:r>
      <w:proofErr w:type="spellStart"/>
      <w:r w:rsidRPr="005F16F0">
        <w:rPr>
          <w:lang w:val="en-US"/>
        </w:rPr>
        <w:t>S</w:t>
      </w:r>
      <w:r w:rsidRPr="005F16F0">
        <w:rPr>
          <w:vertAlign w:val="subscript"/>
          <w:lang w:val="en-US"/>
        </w:rPr>
        <w:t>Sp</w:t>
      </w:r>
      <w:proofErr w:type="spellEnd"/>
      <w:r w:rsidRPr="005F16F0">
        <w:rPr>
          <w:lang w:val="en-US"/>
        </w:rPr>
        <w:t xml:space="preserve">, where </w:t>
      </w:r>
      <w:proofErr w:type="spellStart"/>
      <w:r w:rsidRPr="005F16F0">
        <w:rPr>
          <w:lang w:val="en-US"/>
        </w:rPr>
        <w:t>S</w:t>
      </w:r>
      <w:r w:rsidRPr="005F16F0">
        <w:rPr>
          <w:vertAlign w:val="subscript"/>
          <w:lang w:val="en-US"/>
        </w:rPr>
        <w:t>Sp</w:t>
      </w:r>
      <w:proofErr w:type="spellEnd"/>
      <w:r w:rsidRPr="005F16F0">
        <w:rPr>
          <w:lang w:val="en-US"/>
        </w:rPr>
        <w:t xml:space="preserve"> is the conventional space provided for one standing passenger specified in the table below.</w:t>
      </w:r>
    </w:p>
    <w:p w:rsidR="005F16F0" w:rsidRPr="005F16F0" w:rsidRDefault="005F16F0" w:rsidP="005F16F0">
      <w:pPr>
        <w:suppressAutoHyphens w:val="0"/>
        <w:spacing w:before="120" w:after="120" w:line="240" w:lineRule="auto"/>
        <w:ind w:left="2268" w:right="1134" w:hanging="1134"/>
        <w:jc w:val="both"/>
        <w:rPr>
          <w:lang w:val="en-US"/>
        </w:rPr>
      </w:pPr>
      <w:r w:rsidRPr="005F16F0">
        <w:rPr>
          <w:lang w:val="en-US"/>
        </w:rPr>
        <w:tab/>
        <w:t>WP (kg</w:t>
      </w:r>
      <w:proofErr w:type="gramStart"/>
      <w:r w:rsidRPr="005F16F0">
        <w:rPr>
          <w:lang w:val="en-US"/>
        </w:rPr>
        <w:t>),</w:t>
      </w:r>
      <w:proofErr w:type="gramEnd"/>
      <w:r w:rsidRPr="005F16F0">
        <w:rPr>
          <w:lang w:val="en-US"/>
        </w:rPr>
        <w:t xml:space="preserve"> is the number of wheelchair spaces multiplied by 250 kg representing the mass of a wheelchair and user.</w:t>
      </w:r>
    </w:p>
    <w:p w:rsidR="005F16F0" w:rsidRPr="005F16F0" w:rsidRDefault="005F16F0" w:rsidP="005F16F0">
      <w:pPr>
        <w:suppressAutoHyphens w:val="0"/>
        <w:spacing w:before="120" w:after="120" w:line="240" w:lineRule="auto"/>
        <w:ind w:left="2268" w:right="1134" w:hanging="1134"/>
        <w:jc w:val="both"/>
        <w:rPr>
          <w:lang w:val="en-US"/>
        </w:rPr>
      </w:pPr>
      <w:r w:rsidRPr="005F16F0">
        <w:rPr>
          <w:lang w:val="en-US"/>
        </w:rPr>
        <w:tab/>
        <w:t>B (kg), declared by the manufacturer, shall have a numeric value not less than 100 x V.</w:t>
      </w:r>
    </w:p>
    <w:p w:rsidR="005F16F0" w:rsidRPr="005F16F0" w:rsidRDefault="005F16F0" w:rsidP="005F16F0">
      <w:pPr>
        <w:suppressAutoHyphens w:val="0"/>
        <w:spacing w:before="120" w:after="120" w:line="240" w:lineRule="auto"/>
        <w:ind w:left="2268" w:right="1134" w:hanging="1134"/>
        <w:jc w:val="both"/>
        <w:rPr>
          <w:lang w:val="en-US"/>
        </w:rPr>
      </w:pPr>
      <w:r w:rsidRPr="005F16F0">
        <w:rPr>
          <w:lang w:val="en-US"/>
        </w:rPr>
        <w:tab/>
        <w:t>V is the total volume of baggage compartments in m</w:t>
      </w:r>
      <w:r w:rsidRPr="005F16F0">
        <w:rPr>
          <w:vertAlign w:val="superscript"/>
          <w:lang w:val="en-US"/>
        </w:rPr>
        <w:t xml:space="preserve">3 </w:t>
      </w:r>
      <w:r w:rsidRPr="005F16F0">
        <w:rPr>
          <w:lang w:val="en-US"/>
        </w:rPr>
        <w:t>including exterior racks, ski-boxes and baggage compartments, that are attached to the outside of the vehicle.</w:t>
      </w:r>
    </w:p>
    <w:p w:rsidR="005F16F0" w:rsidRPr="005F16F0" w:rsidRDefault="005F16F0" w:rsidP="005F16F0">
      <w:pPr>
        <w:suppressAutoHyphens w:val="0"/>
        <w:spacing w:before="120" w:after="120" w:line="240" w:lineRule="auto"/>
        <w:ind w:left="2268" w:right="1134" w:hanging="1134"/>
        <w:jc w:val="both"/>
        <w:rPr>
          <w:lang w:val="en-US"/>
        </w:rPr>
      </w:pPr>
      <w:r w:rsidRPr="005F16F0">
        <w:rPr>
          <w:lang w:val="en-US"/>
        </w:rPr>
        <w:tab/>
        <w:t>BX, declared by the manufacturer, shall have a numeric value not less than 75 kg/m</w:t>
      </w:r>
      <w:r w:rsidRPr="005F16F0">
        <w:rPr>
          <w:vertAlign w:val="superscript"/>
          <w:lang w:val="en-US"/>
        </w:rPr>
        <w:t>2</w:t>
      </w:r>
      <w:r w:rsidRPr="005F16F0">
        <w:rPr>
          <w:lang w:val="en-US"/>
        </w:rPr>
        <w:t>.</w:t>
      </w:r>
    </w:p>
    <w:p w:rsidR="005F16F0" w:rsidRPr="005F16F0" w:rsidRDefault="005F16F0" w:rsidP="005F16F0">
      <w:pPr>
        <w:suppressAutoHyphens w:val="0"/>
        <w:spacing w:before="120" w:after="120" w:line="240" w:lineRule="auto"/>
        <w:ind w:left="2268" w:right="1139" w:hanging="1134"/>
        <w:jc w:val="both"/>
        <w:rPr>
          <w:lang w:val="en-US"/>
        </w:rPr>
      </w:pPr>
      <w:r w:rsidRPr="005F16F0">
        <w:rPr>
          <w:lang w:val="en-US"/>
        </w:rPr>
        <w:tab/>
        <w:t>Double deck vehicles shall not be equipped for the carriage of baggage on the roof and therefore BX for double-deck vehicles shall be zero.</w:t>
      </w:r>
    </w:p>
    <w:p w:rsidR="005F16F0" w:rsidRPr="005F16F0" w:rsidRDefault="005F16F0" w:rsidP="005672CE">
      <w:pPr>
        <w:suppressAutoHyphens w:val="0"/>
        <w:spacing w:before="120" w:after="120" w:line="240" w:lineRule="auto"/>
        <w:ind w:left="2268" w:right="1139"/>
      </w:pPr>
      <w:r w:rsidRPr="005F16F0">
        <w:rPr>
          <w:lang w:val="en-US"/>
        </w:rPr>
        <w:t>…"</w:t>
      </w:r>
    </w:p>
    <w:p w:rsidR="005F16F0" w:rsidRPr="005F16F0" w:rsidRDefault="005F16F0" w:rsidP="005F16F0">
      <w:pPr>
        <w:spacing w:before="240"/>
        <w:ind w:left="1134" w:right="1134"/>
        <w:jc w:val="center"/>
        <w:rPr>
          <w:u w:val="single"/>
        </w:rPr>
      </w:pPr>
      <w:r w:rsidRPr="005F16F0">
        <w:rPr>
          <w:u w:val="single"/>
        </w:rPr>
        <w:tab/>
      </w:r>
      <w:r w:rsidRPr="005F16F0">
        <w:rPr>
          <w:u w:val="single"/>
        </w:rPr>
        <w:tab/>
      </w:r>
      <w:r w:rsidRPr="005F16F0">
        <w:rPr>
          <w:u w:val="single"/>
        </w:rPr>
        <w:tab/>
      </w:r>
    </w:p>
    <w:p w:rsidR="00776D12" w:rsidRDefault="00776D12" w:rsidP="00C711C7">
      <w:pPr>
        <w:jc w:val="center"/>
      </w:pPr>
    </w:p>
    <w:sectPr w:rsidR="00776D12" w:rsidSect="0083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E6B" w:rsidRDefault="009E5E6B"/>
  </w:endnote>
  <w:endnote w:type="continuationSeparator" w:id="0">
    <w:p w:rsidR="009E5E6B" w:rsidRDefault="009E5E6B"/>
  </w:endnote>
  <w:endnote w:type="continuationNotice" w:id="1">
    <w:p w:rsidR="009E5E6B" w:rsidRDefault="009E5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92320E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5F16F0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4A2B54" w:rsidRDefault="00B701B3" w:rsidP="004A2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E6B" w:rsidRPr="000B175B" w:rsidRDefault="009E5E6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E5E6B" w:rsidRPr="00FC68B7" w:rsidRDefault="009E5E6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E5E6B" w:rsidRDefault="009E5E6B"/>
  </w:footnote>
  <w:footnote w:id="2">
    <w:p w:rsidR="00B701B3" w:rsidRPr="009E5D87" w:rsidRDefault="00B701B3" w:rsidP="00C711C7">
      <w:pPr>
        <w:pStyle w:val="FootnoteText"/>
        <w:rPr>
          <w:lang w:val="fr-CH"/>
        </w:rPr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36" w:rsidRPr="00BF4A36" w:rsidRDefault="00B701B3" w:rsidP="005F16F0">
    <w:pPr>
      <w:pStyle w:val="Header"/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 w:rsidR="005F16F0" w:rsidRPr="005F16F0">
      <w:t>/Rev.2/Add.106/Rev.5/Amend.2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 w:rsidR="005F16F0" w:rsidRPr="005F16F0">
      <w:t>/Rev.2/Add.106/Rev.5/Amend.2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Default="00B701B3" w:rsidP="00776D12">
    <w:pPr>
      <w:pStyle w:val="Header"/>
      <w:jc w:val="right"/>
    </w:pPr>
    <w:r w:rsidRPr="00D623A7">
      <w:t>E/</w:t>
    </w:r>
    <w:proofErr w:type="spellStart"/>
    <w:r w:rsidRPr="00D623A7">
      <w:t>ECE</w:t>
    </w:r>
    <w:proofErr w:type="spellEnd"/>
    <w:r w:rsidRPr="00D623A7">
      <w:t>/324/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</w:p>
  <w:p w:rsidR="00BF4A36" w:rsidRPr="00BF4A36" w:rsidRDefault="00BF4A36" w:rsidP="00BF4A3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B54" w:rsidRDefault="004A2B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E6B"/>
    <w:rsid w:val="00050F6B"/>
    <w:rsid w:val="00072C8C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71A7F"/>
    <w:rsid w:val="002A1E3A"/>
    <w:rsid w:val="003107FA"/>
    <w:rsid w:val="00312E48"/>
    <w:rsid w:val="003229D8"/>
    <w:rsid w:val="0033745A"/>
    <w:rsid w:val="0039277A"/>
    <w:rsid w:val="003972E0"/>
    <w:rsid w:val="003C2CC4"/>
    <w:rsid w:val="003C3936"/>
    <w:rsid w:val="003D4B23"/>
    <w:rsid w:val="003F1ED3"/>
    <w:rsid w:val="004325CB"/>
    <w:rsid w:val="00445C26"/>
    <w:rsid w:val="00446DE4"/>
    <w:rsid w:val="004A2B54"/>
    <w:rsid w:val="004A41CA"/>
    <w:rsid w:val="004E3FEB"/>
    <w:rsid w:val="00503228"/>
    <w:rsid w:val="00505384"/>
    <w:rsid w:val="005420F2"/>
    <w:rsid w:val="0054561B"/>
    <w:rsid w:val="005672CE"/>
    <w:rsid w:val="005B3DB3"/>
    <w:rsid w:val="005F16F0"/>
    <w:rsid w:val="00611FC4"/>
    <w:rsid w:val="006176FB"/>
    <w:rsid w:val="00627ED0"/>
    <w:rsid w:val="00640B26"/>
    <w:rsid w:val="0064636E"/>
    <w:rsid w:val="00665595"/>
    <w:rsid w:val="0069341E"/>
    <w:rsid w:val="006A7392"/>
    <w:rsid w:val="006E564B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C3804"/>
    <w:rsid w:val="008E0E46"/>
    <w:rsid w:val="00907AD2"/>
    <w:rsid w:val="0092320E"/>
    <w:rsid w:val="00963CBA"/>
    <w:rsid w:val="00974A8D"/>
    <w:rsid w:val="00991261"/>
    <w:rsid w:val="009E5E6B"/>
    <w:rsid w:val="009F3A17"/>
    <w:rsid w:val="00A1427D"/>
    <w:rsid w:val="00A34A31"/>
    <w:rsid w:val="00A41529"/>
    <w:rsid w:val="00A569D6"/>
    <w:rsid w:val="00A72F22"/>
    <w:rsid w:val="00A748A6"/>
    <w:rsid w:val="00A85956"/>
    <w:rsid w:val="00A879A4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45C3"/>
    <w:rsid w:val="00C84414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506F0"/>
    <w:rsid w:val="00E7260F"/>
    <w:rsid w:val="00E87921"/>
    <w:rsid w:val="00E96630"/>
    <w:rsid w:val="00EA0ED6"/>
    <w:rsid w:val="00EA264E"/>
    <w:rsid w:val="00ED7A2A"/>
    <w:rsid w:val="00EF1D7F"/>
    <w:rsid w:val="00F53EDA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6" w:qFormat="1"/>
    <w:lsdException w:name="footer" w:uiPriority="99"/>
    <w:lsdException w:name="caption" w:semiHidden="1" w:unhideWhenUsed="1" w:qFormat="1"/>
    <w:lsdException w:name="Subtitle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ENGLIS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my AMEND template.dotx</Template>
  <TotalTime>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09</cp:lastModifiedBy>
  <cp:revision>5</cp:revision>
  <cp:lastPrinted>2015-11-09T08:26:00Z</cp:lastPrinted>
  <dcterms:created xsi:type="dcterms:W3CDTF">2015-07-13T08:41:00Z</dcterms:created>
  <dcterms:modified xsi:type="dcterms:W3CDTF">2015-11-09T08:26:00Z</dcterms:modified>
</cp:coreProperties>
</file>