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8A75ED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30281E" w:rsidRDefault="000D6D03" w:rsidP="00645358">
            <w:pPr>
              <w:spacing w:before="40" w:after="80" w:line="340" w:lineRule="exact"/>
              <w:jc w:val="right"/>
            </w:pPr>
            <w:r>
              <w:fldChar w:fldCharType="begin"/>
            </w:r>
            <w:r w:rsidRPr="008A75ED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8A75ED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8A75ED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8A75ED">
              <w:rPr>
                <w:lang w:val="en-US"/>
              </w:rPr>
              <w:instrText xml:space="preserve">"  \* MERGEFORMAT </w:instrText>
            </w:r>
            <w:r>
              <w:fldChar w:fldCharType="separate"/>
            </w:r>
            <w:r w:rsidRPr="008A75ED">
              <w:rPr>
                <w:sz w:val="40"/>
                <w:szCs w:val="40"/>
                <w:lang w:val="en-US"/>
              </w:rPr>
              <w:t>E</w:t>
            </w:r>
            <w:r w:rsidRPr="008A75ED">
              <w:rPr>
                <w:lang w:val="en-US"/>
              </w:rPr>
              <w:t>/</w:t>
            </w:r>
            <w:proofErr w:type="spellStart"/>
            <w:r w:rsidRPr="008A75ED">
              <w:rPr>
                <w:lang w:val="en-US"/>
              </w:rPr>
              <w:t>ECE</w:t>
            </w:r>
            <w:proofErr w:type="spellEnd"/>
            <w:r w:rsidRPr="008A75ED">
              <w:rPr>
                <w:lang w:val="en-US"/>
              </w:rPr>
              <w:t>/324/</w:t>
            </w:r>
            <w:r w:rsidR="00E50F10">
              <w:t>Rev.2/Add.106/Rev.5/Amend.1</w:t>
            </w:r>
            <w:r w:rsidRPr="008A75ED">
              <w:rPr>
                <w:lang w:val="en-US"/>
              </w:rPr>
              <w:t>−</w:t>
            </w:r>
            <w:r w:rsidRPr="008A75ED">
              <w:rPr>
                <w:sz w:val="40"/>
                <w:szCs w:val="40"/>
                <w:lang w:val="en-US"/>
              </w:rPr>
              <w:t>E</w:t>
            </w:r>
            <w:r w:rsidRPr="008A75ED">
              <w:rPr>
                <w:sz w:val="19"/>
                <w:szCs w:val="19"/>
                <w:lang w:val="en-US"/>
              </w:rPr>
              <w:t>/</w:t>
            </w:r>
            <w:proofErr w:type="spellStart"/>
            <w:r w:rsidRPr="008A75ED">
              <w:rPr>
                <w:sz w:val="19"/>
                <w:szCs w:val="19"/>
                <w:lang w:val="en-US"/>
              </w:rPr>
              <w:t>ECE</w:t>
            </w:r>
            <w:proofErr w:type="spellEnd"/>
            <w:r w:rsidRPr="008A75ED">
              <w:rPr>
                <w:sz w:val="19"/>
                <w:szCs w:val="19"/>
                <w:lang w:val="en-US"/>
              </w:rPr>
              <w:t>/TRANS/505/</w:t>
            </w:r>
            <w:r w:rsidR="00E50F10">
              <w:t>Rev.2/Add.106/Rev.5/Amend.1</w:t>
            </w:r>
            <w:r>
              <w:fldChar w:fldCharType="end"/>
            </w:r>
          </w:p>
        </w:tc>
      </w:tr>
      <w:tr w:rsidR="000D6D03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560A9" w:rsidRDefault="006560A9" w:rsidP="006560A9">
            <w:pPr>
              <w:spacing w:before="40" w:after="40"/>
              <w:rPr>
                <w:lang w:val="en-US"/>
              </w:rPr>
            </w:pPr>
          </w:p>
          <w:p w:rsidR="006560A9" w:rsidRDefault="006560A9" w:rsidP="006560A9">
            <w:pPr>
              <w:spacing w:before="40" w:after="40"/>
              <w:rPr>
                <w:lang w:val="en-US"/>
              </w:rPr>
            </w:pPr>
          </w:p>
          <w:p w:rsidR="006560A9" w:rsidRDefault="006560A9" w:rsidP="006560A9">
            <w:pPr>
              <w:spacing w:before="40" w:after="40"/>
              <w:rPr>
                <w:lang w:val="en-US"/>
              </w:rPr>
            </w:pPr>
          </w:p>
          <w:p w:rsidR="006560A9" w:rsidRDefault="006560A9" w:rsidP="006560A9">
            <w:pPr>
              <w:spacing w:before="40" w:after="40"/>
              <w:rPr>
                <w:lang w:val="en-US"/>
              </w:rPr>
            </w:pPr>
          </w:p>
          <w:p w:rsidR="006560A9" w:rsidRDefault="006560A9" w:rsidP="006560A9">
            <w:pPr>
              <w:spacing w:before="40" w:after="40"/>
              <w:rPr>
                <w:lang w:val="en-US"/>
              </w:rPr>
            </w:pPr>
          </w:p>
          <w:p w:rsidR="000D6D03" w:rsidRPr="00B172D2" w:rsidRDefault="006560A9" w:rsidP="006560A9">
            <w:pPr>
              <w:spacing w:before="40" w:after="40"/>
            </w:pPr>
            <w:r>
              <w:rPr>
                <w:lang w:val="en-US"/>
              </w:rPr>
              <w:t>22 June 2015</w:t>
            </w:r>
            <w:bookmarkStart w:id="0" w:name="_GoBack"/>
            <w:bookmarkEnd w:id="0"/>
          </w:p>
        </w:tc>
      </w:tr>
    </w:tbl>
    <w:p w:rsidR="004F5701" w:rsidRPr="0011058F" w:rsidRDefault="004F5701" w:rsidP="004F5701">
      <w:pPr>
        <w:pStyle w:val="HChGR"/>
        <w:spacing w:before="120"/>
      </w:pPr>
      <w:r w:rsidRPr="0011058F">
        <w:tab/>
      </w:r>
      <w:r w:rsidRPr="0011058F">
        <w:tab/>
        <w:t>Соглашение</w:t>
      </w:r>
    </w:p>
    <w:p w:rsidR="004F5701" w:rsidRPr="0011058F" w:rsidRDefault="004F5701" w:rsidP="004F5701">
      <w:pPr>
        <w:pStyle w:val="H1GR"/>
        <w:spacing w:before="240" w:after="120"/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11058F"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CB4D67">
        <w:rPr>
          <w:rStyle w:val="FootnoteReference"/>
          <w:b w:val="0"/>
          <w:szCs w:val="18"/>
          <w:vertAlign w:val="baseline"/>
        </w:rPr>
        <w:footnoteReference w:customMarkFollows="1" w:id="1"/>
        <w:t>*</w:t>
      </w:r>
      <w:proofErr w:type="gramEnd"/>
    </w:p>
    <w:p w:rsidR="004F5701" w:rsidRPr="0011058F" w:rsidRDefault="004F5701" w:rsidP="004F5701">
      <w:pPr>
        <w:pStyle w:val="SingleTxtGR"/>
      </w:pPr>
      <w:r w:rsidRPr="0011058F">
        <w:t>(Пересмотр 2, включающий поправки, вступившие в силу 16 октября 1995 года)</w:t>
      </w:r>
    </w:p>
    <w:p w:rsidR="004F5701" w:rsidRPr="00CB4D67" w:rsidRDefault="004F5701" w:rsidP="004F5701">
      <w:pPr>
        <w:spacing w:before="120"/>
        <w:jc w:val="center"/>
        <w:rPr>
          <w:u w:val="single"/>
        </w:rPr>
      </w:pPr>
      <w:r w:rsidRPr="00CB4D67">
        <w:rPr>
          <w:u w:val="single"/>
        </w:rPr>
        <w:tab/>
      </w:r>
      <w:r w:rsidRPr="00CB4D67">
        <w:rPr>
          <w:u w:val="single"/>
        </w:rPr>
        <w:tab/>
      </w:r>
      <w:r w:rsidRPr="00CB4D67">
        <w:rPr>
          <w:u w:val="single"/>
        </w:rPr>
        <w:tab/>
      </w:r>
    </w:p>
    <w:p w:rsidR="004F5701" w:rsidRPr="00A52C01" w:rsidRDefault="004F5701" w:rsidP="004F5701">
      <w:pPr>
        <w:pStyle w:val="HChGR"/>
        <w:spacing w:before="240" w:after="120"/>
        <w:rPr>
          <w:lang w:val="en-US"/>
        </w:rPr>
      </w:pPr>
      <w:r w:rsidRPr="0011058F">
        <w:tab/>
      </w:r>
      <w:r w:rsidRPr="0011058F">
        <w:tab/>
        <w:t>Добавление 106: Правила № 10</w:t>
      </w:r>
      <w:r>
        <w:rPr>
          <w:lang w:val="en-US"/>
        </w:rPr>
        <w:t>7</w:t>
      </w:r>
    </w:p>
    <w:p w:rsidR="004F5701" w:rsidRPr="004A1E94" w:rsidRDefault="004F5701" w:rsidP="004F5701">
      <w:pPr>
        <w:pStyle w:val="H1GR"/>
        <w:spacing w:before="240" w:after="120"/>
      </w:pPr>
      <w:r w:rsidRPr="0011058F">
        <w:tab/>
      </w:r>
      <w:r w:rsidRPr="0011058F">
        <w:tab/>
        <w:t xml:space="preserve">Пересмотр </w:t>
      </w:r>
      <w:r>
        <w:rPr>
          <w:lang w:val="en-US"/>
        </w:rPr>
        <w:t>5</w:t>
      </w:r>
      <w:r w:rsidR="004A1E94">
        <w:t xml:space="preserve"> – Поправка 1</w:t>
      </w:r>
    </w:p>
    <w:p w:rsidR="004F5701" w:rsidRPr="00E06003" w:rsidRDefault="004A1E94" w:rsidP="004F5701">
      <w:pPr>
        <w:pStyle w:val="SingleTxtGR"/>
        <w:spacing w:after="0" w:line="220" w:lineRule="exact"/>
        <w:rPr>
          <w:sz w:val="18"/>
          <w:szCs w:val="18"/>
        </w:rPr>
      </w:pPr>
      <w:r w:rsidRPr="00E06003">
        <w:rPr>
          <w:sz w:val="18"/>
          <w:szCs w:val="18"/>
        </w:rPr>
        <w:t>Дополнение 2</w:t>
      </w:r>
      <w:r w:rsidR="004F5701" w:rsidRPr="00E06003">
        <w:rPr>
          <w:sz w:val="18"/>
          <w:szCs w:val="18"/>
        </w:rPr>
        <w:t xml:space="preserve"> к поправкам серии 05 − дата вступления в силу: </w:t>
      </w:r>
      <w:r w:rsidRPr="00E06003">
        <w:rPr>
          <w:sz w:val="18"/>
          <w:szCs w:val="18"/>
        </w:rPr>
        <w:t>15 июня 2015</w:t>
      </w:r>
      <w:r w:rsidR="00E06003" w:rsidRPr="00E06003">
        <w:rPr>
          <w:sz w:val="18"/>
          <w:szCs w:val="18"/>
        </w:rPr>
        <w:t> </w:t>
      </w:r>
      <w:r w:rsidR="004F5701" w:rsidRPr="00E06003">
        <w:rPr>
          <w:sz w:val="18"/>
          <w:szCs w:val="18"/>
        </w:rPr>
        <w:t>года</w:t>
      </w:r>
    </w:p>
    <w:p w:rsidR="004F5701" w:rsidRDefault="004F5701" w:rsidP="004F5701">
      <w:pPr>
        <w:pStyle w:val="H1GR"/>
        <w:spacing w:before="120" w:after="120"/>
      </w:pPr>
      <w:r w:rsidRPr="00FD73C9">
        <w:tab/>
      </w:r>
      <w:r w:rsidRPr="00FD73C9">
        <w:tab/>
      </w:r>
      <w:r w:rsidRPr="0011058F">
        <w:t>Единообразные предписания, касающиеся официального утверждения транспортных средств категории М</w:t>
      </w:r>
      <w:proofErr w:type="gramStart"/>
      <w:r w:rsidRPr="0011058F">
        <w:rPr>
          <w:vertAlign w:val="subscript"/>
        </w:rPr>
        <w:t>2</w:t>
      </w:r>
      <w:proofErr w:type="gramEnd"/>
      <w:r w:rsidRPr="0011058F">
        <w:t xml:space="preserve"> или М</w:t>
      </w:r>
      <w:r w:rsidRPr="0011058F">
        <w:rPr>
          <w:vertAlign w:val="subscript"/>
        </w:rPr>
        <w:t>3</w:t>
      </w:r>
      <w:r w:rsidRPr="0011058F">
        <w:t xml:space="preserve"> в</w:t>
      </w:r>
      <w:r>
        <w:rPr>
          <w:lang w:val="en-US"/>
        </w:rPr>
        <w:t> </w:t>
      </w:r>
      <w:r w:rsidRPr="0011058F">
        <w:t>отношении их общей конструкции</w:t>
      </w:r>
    </w:p>
    <w:p w:rsidR="007B2CC6" w:rsidRPr="007B2CC6" w:rsidRDefault="007B2CC6" w:rsidP="007B2CC6">
      <w:pPr>
        <w:pStyle w:val="SingleTxtGR"/>
        <w:rPr>
          <w:lang w:eastAsia="ru-RU"/>
        </w:rPr>
      </w:pPr>
      <w:r>
        <w:rPr>
          <w:rStyle w:val="hps"/>
        </w:rPr>
        <w:t>Данный документ опубликован исключительно</w:t>
      </w:r>
      <w:r>
        <w:rPr>
          <w:rStyle w:val="hps"/>
          <w:lang w:val="en-U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>
        <w:rPr>
          <w:lang w:val="fr-CH"/>
        </w:rPr>
        <w:t xml:space="preserve"> </w:t>
      </w:r>
      <w:r>
        <w:t xml:space="preserve">Аутентичным и </w:t>
      </w:r>
      <w:r>
        <w:rPr>
          <w:rStyle w:val="hps"/>
        </w:rPr>
        <w:t>юридически обязательным текстом является документ</w:t>
      </w:r>
      <w:r>
        <w:t xml:space="preserve"> </w:t>
      </w:r>
      <w:proofErr w:type="spellStart"/>
      <w:r>
        <w:rPr>
          <w:rStyle w:val="hps"/>
        </w:rPr>
        <w:t>ECE</w:t>
      </w:r>
      <w:proofErr w:type="spellEnd"/>
      <w:r>
        <w:rPr>
          <w:rStyle w:val="hps"/>
        </w:rPr>
        <w:t>/</w:t>
      </w:r>
      <w:proofErr w:type="spellStart"/>
      <w:r>
        <w:rPr>
          <w:rStyle w:val="hps"/>
        </w:rPr>
        <w:t>TRANS</w:t>
      </w:r>
      <w:proofErr w:type="spellEnd"/>
      <w:r>
        <w:rPr>
          <w:rStyle w:val="hps"/>
        </w:rPr>
        <w:t>/WP.29/2014/</w:t>
      </w:r>
      <w:r w:rsidR="0074400C">
        <w:rPr>
          <w:rStyle w:val="hps"/>
        </w:rPr>
        <w:t>69</w:t>
      </w:r>
      <w:r>
        <w:t xml:space="preserve"> </w:t>
      </w:r>
      <w:r>
        <w:rPr>
          <w:rStyle w:val="hps"/>
        </w:rPr>
        <w:t>(</w:t>
      </w:r>
      <w:r>
        <w:t xml:space="preserve">с изменениями, внесенными </w:t>
      </w:r>
      <w:r>
        <w:rPr>
          <w:rStyle w:val="hps"/>
        </w:rPr>
        <w:t>пунктом</w:t>
      </w:r>
      <w:r>
        <w:t xml:space="preserve"> </w:t>
      </w:r>
      <w:r w:rsidR="0074400C">
        <w:rPr>
          <w:rStyle w:val="hps"/>
        </w:rPr>
        <w:t>62</w:t>
      </w:r>
      <w:r>
        <w:t xml:space="preserve"> доклада </w:t>
      </w:r>
      <w:proofErr w:type="spellStart"/>
      <w:r>
        <w:rPr>
          <w:rStyle w:val="hps"/>
        </w:rPr>
        <w:t>ECE</w:t>
      </w:r>
      <w:proofErr w:type="spellEnd"/>
      <w:r>
        <w:rPr>
          <w:rStyle w:val="hps"/>
        </w:rPr>
        <w:t>/</w:t>
      </w:r>
      <w:proofErr w:type="spellStart"/>
      <w:r>
        <w:rPr>
          <w:rStyle w:val="hps"/>
        </w:rPr>
        <w:t>TRANS</w:t>
      </w:r>
      <w:proofErr w:type="spellEnd"/>
      <w:r>
        <w:rPr>
          <w:rStyle w:val="hps"/>
        </w:rPr>
        <w:t>/WP.29/1112)</w:t>
      </w:r>
      <w:r w:rsidR="0074400C">
        <w:rPr>
          <w:rStyle w:val="hps"/>
        </w:rPr>
        <w:t>.</w:t>
      </w:r>
    </w:p>
    <w:p w:rsidR="00432F08" w:rsidRPr="00432F08" w:rsidRDefault="00432F08" w:rsidP="0006672F">
      <w:pPr>
        <w:spacing w:before="12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C1586" w:rsidRDefault="006560A9" w:rsidP="005C5D5B">
      <w:pPr>
        <w:spacing w:after="240"/>
        <w:jc w:val="center"/>
      </w:pPr>
      <w:bookmarkStart w:id="1" w:name="_MON_1000209745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45.35pt" fillcolor="window">
            <v:imagedata r:id="rId9" o:title=""/>
          </v:shape>
        </w:pict>
      </w:r>
    </w:p>
    <w:p w:rsidR="003C1586" w:rsidRDefault="003C1586" w:rsidP="00432F08">
      <w:pPr>
        <w:jc w:val="center"/>
        <w:rPr>
          <w:b/>
          <w:lang w:val="en-US"/>
        </w:rPr>
      </w:pPr>
      <w:r w:rsidRPr="00752A52">
        <w:rPr>
          <w:b/>
        </w:rPr>
        <w:t>ОРГАНИЗАЦИЯ ОБЪЕДИНЕННЫХ НАЦИЙ</w:t>
      </w:r>
    </w:p>
    <w:p w:rsidR="00B66702" w:rsidRPr="00B66702" w:rsidRDefault="00B66702" w:rsidP="008E3EEA">
      <w:pPr>
        <w:pStyle w:val="SingleTxtGR"/>
        <w:rPr>
          <w:bCs/>
          <w:lang w:val="en-US"/>
        </w:rPr>
      </w:pPr>
    </w:p>
    <w:p w:rsidR="007A768E" w:rsidRPr="00A633E3" w:rsidRDefault="00B66702" w:rsidP="007A768E">
      <w:pPr>
        <w:pStyle w:val="SingleTxtGR"/>
        <w:tabs>
          <w:tab w:val="clear" w:pos="2268"/>
          <w:tab w:val="left" w:pos="1988"/>
        </w:tabs>
        <w:ind w:left="1988" w:hanging="854"/>
        <w:rPr>
          <w:lang w:eastAsia="ru-RU"/>
        </w:rPr>
      </w:pPr>
      <w:r>
        <w:br w:type="page"/>
      </w:r>
      <w:r w:rsidR="00314D12" w:rsidRPr="00314D12">
        <w:rPr>
          <w:i/>
        </w:rPr>
        <w:lastRenderedPageBreak/>
        <w:t>Включить новы</w:t>
      </w:r>
      <w:r w:rsidR="00314D12">
        <w:rPr>
          <w:i/>
        </w:rPr>
        <w:t>е</w:t>
      </w:r>
      <w:r w:rsidR="00314D12" w:rsidRPr="00314D12">
        <w:t xml:space="preserve"> </w:t>
      </w:r>
      <w:r w:rsidR="00314D12" w:rsidRPr="00A633E3">
        <w:rPr>
          <w:i/>
          <w:lang w:eastAsia="ru-RU"/>
        </w:rPr>
        <w:t>пункт</w:t>
      </w:r>
      <w:r w:rsidR="00314D12">
        <w:rPr>
          <w:i/>
          <w:lang w:eastAsia="ru-RU"/>
        </w:rPr>
        <w:t xml:space="preserve">ы </w:t>
      </w:r>
      <w:r w:rsidR="00314D12" w:rsidRPr="00A633E3">
        <w:rPr>
          <w:i/>
          <w:lang w:eastAsia="ru-RU"/>
        </w:rPr>
        <w:t>10</w:t>
      </w:r>
      <w:r w:rsidR="007A768E" w:rsidRPr="00A633E3">
        <w:rPr>
          <w:i/>
          <w:lang w:eastAsia="ru-RU"/>
        </w:rPr>
        <w:t xml:space="preserve">.24 </w:t>
      </w:r>
      <w:r w:rsidR="00314D12">
        <w:rPr>
          <w:i/>
          <w:lang w:eastAsia="ru-RU"/>
        </w:rPr>
        <w:t>и 10.25</w:t>
      </w:r>
      <w:r w:rsidR="00314D12">
        <w:rPr>
          <w:lang w:eastAsia="ru-RU"/>
        </w:rPr>
        <w:t xml:space="preserve"> следующего содержания</w:t>
      </w:r>
      <w:r w:rsidR="007A768E" w:rsidRPr="00A633E3">
        <w:rPr>
          <w:lang w:eastAsia="ru-RU"/>
        </w:rPr>
        <w:t>:</w:t>
      </w:r>
    </w:p>
    <w:p w:rsidR="007A768E" w:rsidRPr="00960365" w:rsidRDefault="007A768E" w:rsidP="007A768E">
      <w:pPr>
        <w:pStyle w:val="SingleTxtGR"/>
        <w:tabs>
          <w:tab w:val="clear" w:pos="2268"/>
          <w:tab w:val="left" w:pos="2170"/>
        </w:tabs>
        <w:ind w:left="2160" w:hanging="1026"/>
        <w:rPr>
          <w:lang w:eastAsia="ru-RU"/>
        </w:rPr>
      </w:pPr>
      <w:r w:rsidRPr="00A633E3">
        <w:rPr>
          <w:lang w:eastAsia="ru-RU"/>
        </w:rPr>
        <w:t>"</w:t>
      </w:r>
      <w:r w:rsidRPr="00A633E3">
        <w:t>10.24</w:t>
      </w:r>
      <w:r w:rsidRPr="00A633E3">
        <w:tab/>
      </w:r>
      <w:r w:rsidRPr="000914B2">
        <w:t>Независимо от пунктов 10.22 и 10.23</w:t>
      </w:r>
      <w:r w:rsidRPr="00960365">
        <w:t xml:space="preserve"> Договаривающиеся стороны, применяющие настоящие Правила, продолжают признавать офиц</w:t>
      </w:r>
      <w:r w:rsidRPr="00960365">
        <w:t>и</w:t>
      </w:r>
      <w:r w:rsidRPr="00960365">
        <w:t>альные утверждения типа, предоставленные на основании поправок предыдущих серий, которые не затронуты поправками серии</w:t>
      </w:r>
      <w:r>
        <w:t> </w:t>
      </w:r>
      <w:r w:rsidRPr="00960365">
        <w:t>05</w:t>
      </w:r>
      <w:r w:rsidRPr="00960365">
        <w:rPr>
          <w:lang w:eastAsia="ru-RU"/>
        </w:rPr>
        <w:t>.</w:t>
      </w:r>
    </w:p>
    <w:p w:rsidR="007A768E" w:rsidRPr="00796397" w:rsidRDefault="007A768E" w:rsidP="007A768E">
      <w:pPr>
        <w:pStyle w:val="SingleTxtGR"/>
        <w:tabs>
          <w:tab w:val="clear" w:pos="2268"/>
          <w:tab w:val="left" w:pos="2170"/>
        </w:tabs>
        <w:ind w:left="2160" w:hanging="1026"/>
      </w:pPr>
      <w:r w:rsidRPr="00796397">
        <w:t>10.</w:t>
      </w:r>
      <w:r>
        <w:t>25</w:t>
      </w:r>
      <w:r w:rsidRPr="00796397">
        <w:tab/>
      </w:r>
      <w:r w:rsidR="00314D12">
        <w:tab/>
      </w:r>
      <w:r w:rsidRPr="00796397">
        <w:t xml:space="preserve">Договаривающиеся стороны, применяющие настоящие Правила, не отказывают в распространении официальных утверждений для транспортных средств, </w:t>
      </w:r>
      <w:r w:rsidRPr="00960365">
        <w:t>которые не затронуты</w:t>
      </w:r>
      <w:r w:rsidRPr="00796397">
        <w:t xml:space="preserve"> поправками серии</w:t>
      </w:r>
      <w:r>
        <w:t> </w:t>
      </w:r>
      <w:r w:rsidRPr="00796397">
        <w:t>0</w:t>
      </w:r>
      <w:r>
        <w:t>5"</w:t>
      </w:r>
      <w:r w:rsidRPr="00796397">
        <w:t>.</w:t>
      </w:r>
    </w:p>
    <w:p w:rsidR="007A768E" w:rsidRDefault="007A768E" w:rsidP="007A768E">
      <w:pPr>
        <w:pStyle w:val="SingleTxtGR"/>
        <w:tabs>
          <w:tab w:val="clear" w:pos="2268"/>
          <w:tab w:val="left" w:pos="2170"/>
        </w:tabs>
        <w:ind w:left="2160" w:hanging="1026"/>
        <w:rPr>
          <w:i/>
        </w:rPr>
      </w:pPr>
      <w:r>
        <w:rPr>
          <w:i/>
        </w:rPr>
        <w:t>Приложение 3</w:t>
      </w:r>
    </w:p>
    <w:p w:rsidR="007A768E" w:rsidRPr="00DF3DC3" w:rsidRDefault="007A768E" w:rsidP="007A768E">
      <w:pPr>
        <w:pStyle w:val="SingleTxtGR"/>
        <w:tabs>
          <w:tab w:val="clear" w:pos="2268"/>
          <w:tab w:val="left" w:pos="2170"/>
        </w:tabs>
        <w:ind w:left="2160" w:hanging="1026"/>
        <w:rPr>
          <w:iCs/>
        </w:rPr>
      </w:pPr>
      <w:r w:rsidRPr="00DF3DC3">
        <w:rPr>
          <w:i/>
        </w:rPr>
        <w:t>Пункт 7.3</w:t>
      </w:r>
      <w:r w:rsidRPr="00DF3DC3">
        <w:t xml:space="preserve"> изменить следующим образом:</w:t>
      </w:r>
    </w:p>
    <w:p w:rsidR="007A768E" w:rsidRPr="00DF3DC3" w:rsidRDefault="007A768E" w:rsidP="007A768E">
      <w:pPr>
        <w:pStyle w:val="SingleTxtGR"/>
        <w:tabs>
          <w:tab w:val="clear" w:pos="1701"/>
          <w:tab w:val="clear" w:pos="2268"/>
          <w:tab w:val="left" w:pos="2170"/>
        </w:tabs>
        <w:ind w:left="2160" w:hanging="1026"/>
      </w:pPr>
      <w:r w:rsidRPr="00DF3DC3">
        <w:t>"7.3</w:t>
      </w:r>
      <w:r w:rsidRPr="00DF3DC3">
        <w:tab/>
      </w:r>
      <w:r w:rsidRPr="00B33310">
        <w:t>Предотвращение происшествий"</w:t>
      </w:r>
    </w:p>
    <w:p w:rsidR="007A768E" w:rsidRDefault="007A768E" w:rsidP="007A768E">
      <w:pPr>
        <w:pStyle w:val="SingleTxtGR"/>
        <w:tabs>
          <w:tab w:val="clear" w:pos="2268"/>
          <w:tab w:val="left" w:pos="2170"/>
        </w:tabs>
        <w:ind w:left="2160" w:hanging="1026"/>
        <w:rPr>
          <w:lang w:eastAsia="ru-RU"/>
        </w:rPr>
      </w:pPr>
      <w:r>
        <w:rPr>
          <w:i/>
          <w:lang w:eastAsia="ru-RU"/>
        </w:rPr>
        <w:t>Включить новый пункт 7.3.1</w:t>
      </w:r>
      <w:r>
        <w:rPr>
          <w:lang w:eastAsia="ru-RU"/>
        </w:rPr>
        <w:t xml:space="preserve"> следующего содержания:</w:t>
      </w:r>
    </w:p>
    <w:p w:rsidR="007A768E" w:rsidRPr="00A965C3" w:rsidRDefault="007A768E" w:rsidP="007A768E">
      <w:pPr>
        <w:pStyle w:val="SingleTxtGR"/>
        <w:tabs>
          <w:tab w:val="clear" w:pos="1701"/>
          <w:tab w:val="clear" w:pos="2268"/>
          <w:tab w:val="left" w:pos="2170"/>
          <w:tab w:val="left" w:pos="2340"/>
        </w:tabs>
        <w:spacing w:line="240" w:lineRule="auto"/>
        <w:ind w:left="2160" w:hanging="1026"/>
      </w:pPr>
      <w:r>
        <w:rPr>
          <w:lang w:eastAsia="ru-RU"/>
        </w:rPr>
        <w:t>"</w:t>
      </w:r>
      <w:r w:rsidRPr="00A965C3">
        <w:t>7.3.1</w:t>
      </w:r>
      <w:proofErr w:type="gramStart"/>
      <w:r w:rsidRPr="00A965C3">
        <w:tab/>
        <w:t>Е</w:t>
      </w:r>
      <w:proofErr w:type="gramEnd"/>
      <w:r w:rsidRPr="00A965C3">
        <w:t xml:space="preserve">сли моторный отсек транспортного средства расположен позади отделения водителя, </w:t>
      </w:r>
      <w:r>
        <w:t xml:space="preserve">то </w:t>
      </w:r>
      <w:r w:rsidRPr="00A965C3">
        <w:t>должн</w:t>
      </w:r>
      <w:r>
        <w:t>а</w:t>
      </w:r>
      <w:r w:rsidRPr="00A965C3">
        <w:t xml:space="preserve"> быть </w:t>
      </w:r>
      <w:r>
        <w:t xml:space="preserve">исключена </w:t>
      </w:r>
      <w:r w:rsidRPr="00A965C3">
        <w:t>возможно</w:t>
      </w:r>
      <w:r>
        <w:t>сть</w:t>
      </w:r>
      <w:r w:rsidRPr="00A965C3">
        <w:t xml:space="preserve"> запу</w:t>
      </w:r>
      <w:r w:rsidRPr="00A965C3">
        <w:t>с</w:t>
      </w:r>
      <w:r>
        <w:t>ка</w:t>
      </w:r>
      <w:r w:rsidRPr="00A965C3">
        <w:t xml:space="preserve"> двигател</w:t>
      </w:r>
      <w:r>
        <w:t>я</w:t>
      </w:r>
      <w:r w:rsidRPr="00A965C3">
        <w:t xml:space="preserve"> </w:t>
      </w:r>
      <w:r>
        <w:t>с места</w:t>
      </w:r>
      <w:r w:rsidRPr="00A965C3">
        <w:t xml:space="preserve"> водителя в том случае, когда основная крышка моторного отсека, расположенная в задней торцевой части тран</w:t>
      </w:r>
      <w:r w:rsidRPr="00A965C3">
        <w:t>с</w:t>
      </w:r>
      <w:r w:rsidRPr="00A965C3">
        <w:t xml:space="preserve">портного средства, открыта и </w:t>
      </w:r>
      <w:r>
        <w:t>обеспечивает</w:t>
      </w:r>
      <w:r w:rsidRPr="00A965C3">
        <w:t xml:space="preserve"> прямой доступ к частям, которые представляют опасность при работающем двигателе (например, к шкивам ременных приводов)". </w:t>
      </w:r>
    </w:p>
    <w:p w:rsidR="007A768E" w:rsidRPr="00C8193C" w:rsidRDefault="007A768E" w:rsidP="007A768E">
      <w:pPr>
        <w:pStyle w:val="SingleTxtGR"/>
        <w:tabs>
          <w:tab w:val="clear" w:pos="2268"/>
          <w:tab w:val="left" w:pos="2170"/>
        </w:tabs>
        <w:ind w:left="2160" w:hanging="1026"/>
      </w:pPr>
      <w:r w:rsidRPr="00C8193C">
        <w:rPr>
          <w:i/>
        </w:rPr>
        <w:t>Пункты 7.6.8.2–7.6.8.2.</w:t>
      </w:r>
      <w:r>
        <w:rPr>
          <w:i/>
        </w:rPr>
        <w:t>1</w:t>
      </w:r>
      <w:r w:rsidRPr="00C8193C">
        <w:rPr>
          <w:i/>
        </w:rPr>
        <w:t xml:space="preserve"> </w:t>
      </w:r>
      <w:r w:rsidRPr="00C8193C">
        <w:t>изменить следующим образом:</w:t>
      </w:r>
    </w:p>
    <w:p w:rsidR="007A768E" w:rsidRPr="00C8193C" w:rsidRDefault="007A768E" w:rsidP="007A768E">
      <w:pPr>
        <w:pStyle w:val="SingleTxtGR"/>
        <w:tabs>
          <w:tab w:val="clear" w:pos="1701"/>
          <w:tab w:val="clear" w:pos="2268"/>
          <w:tab w:val="left" w:pos="2170"/>
        </w:tabs>
        <w:ind w:left="2160" w:hanging="1026"/>
      </w:pPr>
      <w:r w:rsidRPr="00C8193C">
        <w:t>"7.6.8.2</w:t>
      </w:r>
      <w:proofErr w:type="gramStart"/>
      <w:r w:rsidRPr="00C8193C">
        <w:tab/>
        <w:t>К</w:t>
      </w:r>
      <w:proofErr w:type="gramEnd"/>
      <w:r w:rsidRPr="00C8193C">
        <w:t>аждое запасное окно должно</w:t>
      </w:r>
      <w:r w:rsidRPr="00B33310">
        <w:t xml:space="preserve"> либо:</w:t>
      </w:r>
    </w:p>
    <w:p w:rsidR="007A768E" w:rsidRDefault="007A768E" w:rsidP="007A768E">
      <w:pPr>
        <w:pStyle w:val="SingleTxtGR"/>
        <w:tabs>
          <w:tab w:val="clear" w:pos="2268"/>
          <w:tab w:val="left" w:pos="2170"/>
        </w:tabs>
        <w:ind w:left="2160" w:hanging="1026"/>
      </w:pPr>
      <w:r w:rsidRPr="00C8193C">
        <w:t>7.6.8.2.1</w:t>
      </w:r>
      <w:r w:rsidRPr="00C8193C">
        <w:tab/>
        <w:t xml:space="preserve">легко и быстро открываться изнутри </w:t>
      </w:r>
      <w:r w:rsidRPr="00B33310">
        <w:t>и снаружи</w:t>
      </w:r>
      <w:r w:rsidRPr="00C8193C">
        <w:t xml:space="preserve"> транспортного сре</w:t>
      </w:r>
      <w:r w:rsidRPr="00C8193C">
        <w:t>д</w:t>
      </w:r>
      <w:r w:rsidRPr="00C8193C">
        <w:t>ства при помощи соответствующего приспособления</w:t>
      </w:r>
      <w:r>
        <w:t>.</w:t>
      </w:r>
      <w:r w:rsidRPr="00C8193C">
        <w:t xml:space="preserve"> </w:t>
      </w:r>
      <w:r w:rsidRPr="00B33310">
        <w:t>Это полож</w:t>
      </w:r>
      <w:r w:rsidRPr="00B33310">
        <w:t>е</w:t>
      </w:r>
      <w:r w:rsidRPr="00B33310">
        <w:t>ние предусматривает возможность использования</w:t>
      </w:r>
      <w:r>
        <w:t>, например,</w:t>
      </w:r>
      <w:r w:rsidRPr="00B33310">
        <w:t xml:space="preserve"> </w:t>
      </w:r>
      <w:r>
        <w:t>мног</w:t>
      </w:r>
      <w:r>
        <w:t>о</w:t>
      </w:r>
      <w:r>
        <w:t>слойного безосколочного</w:t>
      </w:r>
      <w:r w:rsidRPr="00B33310">
        <w:t xml:space="preserve"> стекла или стекла, изготовленного из пл</w:t>
      </w:r>
      <w:r w:rsidRPr="00B33310">
        <w:t>а</w:t>
      </w:r>
      <w:r w:rsidRPr="00B33310">
        <w:t>стического материала, либо</w:t>
      </w:r>
      <w:r w:rsidR="00314D12">
        <w:t xml:space="preserve"> …</w:t>
      </w:r>
      <w:r>
        <w:t>".</w:t>
      </w:r>
    </w:p>
    <w:p w:rsidR="004D7938" w:rsidRDefault="007A768E" w:rsidP="007A768E">
      <w:pPr>
        <w:pStyle w:val="SingleTxtGR"/>
        <w:tabs>
          <w:tab w:val="clear" w:pos="2268"/>
          <w:tab w:val="left" w:pos="2170"/>
        </w:tabs>
        <w:ind w:left="2160" w:hanging="1026"/>
        <w:rPr>
          <w:i/>
        </w:rPr>
      </w:pPr>
      <w:r w:rsidRPr="00954D11">
        <w:rPr>
          <w:i/>
        </w:rPr>
        <w:t xml:space="preserve">Приложение 8 </w:t>
      </w:r>
    </w:p>
    <w:p w:rsidR="007A768E" w:rsidRPr="00954D11" w:rsidRDefault="004D7938" w:rsidP="007A768E">
      <w:pPr>
        <w:pStyle w:val="SingleTxtGR"/>
        <w:tabs>
          <w:tab w:val="clear" w:pos="2268"/>
          <w:tab w:val="left" w:pos="2170"/>
        </w:tabs>
        <w:ind w:left="2160" w:hanging="1026"/>
      </w:pPr>
      <w:r w:rsidRPr="00954D11">
        <w:rPr>
          <w:i/>
        </w:rPr>
        <w:t xml:space="preserve">Пункт </w:t>
      </w:r>
      <w:r w:rsidR="007A768E" w:rsidRPr="00954D11">
        <w:rPr>
          <w:i/>
        </w:rPr>
        <w:t>3</w:t>
      </w:r>
      <w:r w:rsidR="007A768E">
        <w:rPr>
          <w:i/>
        </w:rPr>
        <w:t>.1</w:t>
      </w:r>
      <w:r w:rsidR="007A768E">
        <w:t xml:space="preserve"> изменить следующим образом:</w:t>
      </w:r>
    </w:p>
    <w:p w:rsidR="007A768E" w:rsidRDefault="007A768E" w:rsidP="007A768E">
      <w:pPr>
        <w:pStyle w:val="SingleTxtGR"/>
        <w:tabs>
          <w:tab w:val="clear" w:pos="2268"/>
          <w:tab w:val="left" w:pos="2170"/>
        </w:tabs>
        <w:ind w:left="2160" w:hanging="1026"/>
      </w:pPr>
      <w:r>
        <w:t>"3.1</w:t>
      </w:r>
      <w:r>
        <w:tab/>
      </w:r>
      <w:r>
        <w:tab/>
        <w:t>Ступеньки</w:t>
      </w:r>
    </w:p>
    <w:p w:rsidR="007A768E" w:rsidRDefault="007A768E" w:rsidP="007A768E">
      <w:pPr>
        <w:pStyle w:val="SingleTxtGR"/>
        <w:tabs>
          <w:tab w:val="clear" w:pos="2268"/>
          <w:tab w:val="left" w:pos="2170"/>
        </w:tabs>
        <w:ind w:left="2160" w:hanging="1026"/>
      </w:pPr>
      <w:r>
        <w:tab/>
      </w:r>
      <w:r>
        <w:tab/>
        <w:t xml:space="preserve">Высота первой ступеньки … классов </w:t>
      </w:r>
      <w:proofErr w:type="spellStart"/>
      <w:r>
        <w:t>II</w:t>
      </w:r>
      <w:proofErr w:type="spellEnd"/>
      <w:r>
        <w:t xml:space="preserve">, </w:t>
      </w:r>
      <w:proofErr w:type="spellStart"/>
      <w:r>
        <w:t>III</w:t>
      </w:r>
      <w:proofErr w:type="spellEnd"/>
      <w:r>
        <w:t xml:space="preserve"> и В. В том случае, когда этому требованию отвечает только одна служебная дверь, не должно быть никаких ограждений или указателей, которые препятствовали бы использованию этой </w:t>
      </w:r>
      <w:proofErr w:type="gramStart"/>
      <w:r>
        <w:t>двери</w:t>
      </w:r>
      <w:proofErr w:type="gramEnd"/>
      <w:r>
        <w:t xml:space="preserve"> как для входа, так и для выхода.</w:t>
      </w:r>
    </w:p>
    <w:p w:rsidR="007A768E" w:rsidRDefault="007A768E" w:rsidP="007A768E">
      <w:pPr>
        <w:pStyle w:val="SingleTxtGR"/>
        <w:tabs>
          <w:tab w:val="clear" w:pos="2268"/>
          <w:tab w:val="left" w:pos="2170"/>
        </w:tabs>
        <w:ind w:left="2160" w:hanging="1026"/>
      </w:pPr>
      <w:r>
        <w:tab/>
      </w:r>
      <w:r>
        <w:tab/>
        <w:t>В качестве альтернативного варианта для транспортных средств классов I и</w:t>
      </w:r>
      <w:proofErr w:type="gramStart"/>
      <w:r>
        <w:t xml:space="preserve"> А</w:t>
      </w:r>
      <w:proofErr w:type="gramEnd"/>
      <w:r>
        <w:t xml:space="preserve"> высота первой над уровнем грунта ступеньки не дол</w:t>
      </w:r>
      <w:r>
        <w:t>ж</w:t>
      </w:r>
      <w:r>
        <w:t>на превышать 270 мм в двух дверных проемах: на выходе и на входе.</w:t>
      </w:r>
    </w:p>
    <w:p w:rsidR="007A768E" w:rsidRPr="00B33310" w:rsidRDefault="007A768E" w:rsidP="007A768E">
      <w:pPr>
        <w:pStyle w:val="SingleTxtGR"/>
        <w:tabs>
          <w:tab w:val="clear" w:pos="2268"/>
          <w:tab w:val="left" w:pos="2170"/>
        </w:tabs>
        <w:ind w:left="2160" w:hanging="1026"/>
      </w:pPr>
      <w:r>
        <w:tab/>
      </w:r>
      <w:r>
        <w:tab/>
      </w:r>
      <w:r w:rsidRPr="00B33310">
        <w:t xml:space="preserve">В транспортных средствах с низким полом может </w:t>
      </w:r>
      <w:r>
        <w:t>использоваться</w:t>
      </w:r>
      <w:r w:rsidRPr="00B33310">
        <w:t xml:space="preserve"> </w:t>
      </w:r>
      <w:r>
        <w:t xml:space="preserve">только </w:t>
      </w:r>
      <w:r w:rsidRPr="00B33310">
        <w:t>система опускания пола, но не выдвижная ступенька.</w:t>
      </w:r>
    </w:p>
    <w:p w:rsidR="007A768E" w:rsidRPr="00B33310" w:rsidRDefault="007A768E" w:rsidP="007A768E">
      <w:pPr>
        <w:pStyle w:val="SingleTxtGR"/>
        <w:tabs>
          <w:tab w:val="clear" w:pos="2268"/>
          <w:tab w:val="left" w:pos="2170"/>
        </w:tabs>
        <w:ind w:left="2160" w:hanging="1026"/>
      </w:pPr>
      <w:r w:rsidRPr="00B33310">
        <w:tab/>
      </w:r>
      <w:r w:rsidRPr="00B33310">
        <w:tab/>
        <w:t>В других транспортных средствах может использоваться система опускания пола и/или выдвижная ступенька.</w:t>
      </w:r>
    </w:p>
    <w:p w:rsidR="007A768E" w:rsidRPr="00B33310" w:rsidRDefault="007A768E" w:rsidP="007A768E">
      <w:pPr>
        <w:pStyle w:val="SingleTxtGR"/>
        <w:tabs>
          <w:tab w:val="clear" w:pos="2268"/>
          <w:tab w:val="left" w:pos="2170"/>
        </w:tabs>
        <w:ind w:left="2160" w:hanging="1026"/>
      </w:pPr>
      <w:r>
        <w:tab/>
      </w:r>
      <w:r>
        <w:tab/>
        <w:t>Высота ступенек …".</w:t>
      </w:r>
    </w:p>
    <w:p w:rsidR="005A1CC9" w:rsidRPr="005A1CC9" w:rsidRDefault="007A768E" w:rsidP="004E0669">
      <w:pPr>
        <w:spacing w:before="240"/>
        <w:jc w:val="center"/>
        <w:rPr>
          <w:lang w:val="en-US"/>
        </w:rPr>
      </w:pPr>
      <w:r w:rsidRPr="00E50E2D">
        <w:rPr>
          <w:u w:val="single"/>
        </w:rPr>
        <w:tab/>
      </w:r>
      <w:r w:rsidRPr="00E50E2D">
        <w:rPr>
          <w:u w:val="single"/>
        </w:rPr>
        <w:tab/>
      </w:r>
      <w:r w:rsidRPr="00E50E2D">
        <w:rPr>
          <w:u w:val="single"/>
        </w:rPr>
        <w:tab/>
      </w:r>
    </w:p>
    <w:sectPr w:rsidR="005A1CC9" w:rsidRPr="005A1CC9" w:rsidSect="0020341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3FE" w:rsidRDefault="00B543FE">
      <w:r>
        <w:rPr>
          <w:lang w:val="en-US"/>
        </w:rPr>
        <w:tab/>
      </w:r>
      <w:r>
        <w:separator/>
      </w:r>
    </w:p>
  </w:endnote>
  <w:endnote w:type="continuationSeparator" w:id="0">
    <w:p w:rsidR="00B543FE" w:rsidRDefault="00B5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560A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27E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 w:rsidR="005B7F8E">
      <w:rPr>
        <w:sz w:val="20"/>
        <w:lang w:val="ru-RU"/>
      </w:rPr>
      <w:t>5</w:t>
    </w:r>
    <w:r>
      <w:rPr>
        <w:sz w:val="20"/>
        <w:lang w:val="en-US"/>
      </w:rPr>
      <w:t>-</w:t>
    </w:r>
    <w:r>
      <w:rPr>
        <w:sz w:val="20"/>
        <w:lang w:val="en-US"/>
      </w:rPr>
      <w:tab/>
    </w:r>
    <w:r w:rsidR="00473BC8">
      <w:rPr>
        <w:b/>
        <w:noProof/>
        <w:lang w:eastAsia="en-GB"/>
      </w:rPr>
      <w:drawing>
        <wp:inline distT="0" distB="0" distL="0" distR="0">
          <wp:extent cx="2700655" cy="233680"/>
          <wp:effectExtent l="0" t="0" r="4445" b="0"/>
          <wp:docPr id="2" name="Picture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3FE" w:rsidRPr="00F71F63" w:rsidRDefault="00B543FE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B543FE" w:rsidRPr="00F71F63" w:rsidRDefault="00B543FE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B543FE" w:rsidRPr="00635E86" w:rsidRDefault="00B543FE" w:rsidP="00635E86">
      <w:pPr>
        <w:pStyle w:val="Footer"/>
      </w:pPr>
    </w:p>
  </w:footnote>
  <w:footnote w:id="1">
    <w:p w:rsidR="004F5701" w:rsidRPr="004B7DAA" w:rsidRDefault="004F5701" w:rsidP="004F5701">
      <w:pPr>
        <w:pStyle w:val="FootnoteText"/>
        <w:rPr>
          <w:lang w:val="ru-RU"/>
        </w:rPr>
      </w:pPr>
      <w:r w:rsidRPr="004B7DAA">
        <w:tab/>
      </w:r>
      <w:r w:rsidRPr="004B7DAA">
        <w:rPr>
          <w:rStyle w:val="FootnoteReference"/>
          <w:vertAlign w:val="baseline"/>
          <w:lang w:val="ru-RU"/>
        </w:rPr>
        <w:t>*</w:t>
      </w:r>
      <w:r w:rsidRPr="004B7DAA">
        <w:rPr>
          <w:lang w:val="ru-RU"/>
        </w:rPr>
        <w:t xml:space="preserve"> </w:t>
      </w:r>
      <w:r w:rsidRPr="004B7DAA"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заключено в</w:t>
      </w:r>
      <w:r w:rsidRPr="004B7DAA">
        <w:rPr>
          <w:lang w:val="en-US"/>
        </w:rPr>
        <w:t> </w:t>
      </w:r>
      <w:r w:rsidRPr="004B7DAA"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E50F10">
    <w:pPr>
      <w:pStyle w:val="Header"/>
      <w:rPr>
        <w:lang w:val="en-US"/>
      </w:rPr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>
      <w:t>/Rev.2/</w:t>
    </w:r>
    <w:r w:rsidR="009D654A">
      <w:t>Add.106/Rev.5/Amend.1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>
      <w:t>/Rev.2/Add.106/Rev.5/Amend.1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E50F10" w:rsidRPr="00D623A7">
      <w:t>E/</w:t>
    </w:r>
    <w:proofErr w:type="spellStart"/>
    <w:r w:rsidR="00E50F10" w:rsidRPr="00D623A7">
      <w:t>ECE</w:t>
    </w:r>
    <w:proofErr w:type="spellEnd"/>
    <w:r w:rsidR="00E50F10" w:rsidRPr="00D623A7">
      <w:t>/324</w:t>
    </w:r>
    <w:r w:rsidR="00E50F10">
      <w:t>/Rev.2/Add.106/Rev.5/Amend.1</w:t>
    </w:r>
    <w:r w:rsidR="00B66702">
      <w:br/>
    </w:r>
    <w:r w:rsidR="00E50F10" w:rsidRPr="00D623A7">
      <w:t>E/</w:t>
    </w:r>
    <w:proofErr w:type="spellStart"/>
    <w:r w:rsidR="00E50F10" w:rsidRPr="00D623A7">
      <w:t>ECE</w:t>
    </w:r>
    <w:proofErr w:type="spellEnd"/>
    <w:r w:rsidR="00E50F10" w:rsidRPr="00D623A7">
      <w:t>/TRANS/505</w:t>
    </w:r>
    <w:r w:rsidR="00E50F10">
      <w:t>/Rev.2/Add.106/Rev.5/Amend.1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0697D"/>
    <w:rsid w:val="00011605"/>
    <w:rsid w:val="0001293C"/>
    <w:rsid w:val="0001587B"/>
    <w:rsid w:val="00016553"/>
    <w:rsid w:val="000233B3"/>
    <w:rsid w:val="00023E9E"/>
    <w:rsid w:val="00026B0C"/>
    <w:rsid w:val="00034AB1"/>
    <w:rsid w:val="0003638E"/>
    <w:rsid w:val="00036FF2"/>
    <w:rsid w:val="0004010A"/>
    <w:rsid w:val="00043D88"/>
    <w:rsid w:val="00046E4D"/>
    <w:rsid w:val="0006401A"/>
    <w:rsid w:val="0006672F"/>
    <w:rsid w:val="00072C27"/>
    <w:rsid w:val="0007306D"/>
    <w:rsid w:val="00076E4D"/>
    <w:rsid w:val="00081A7E"/>
    <w:rsid w:val="00084804"/>
    <w:rsid w:val="00086182"/>
    <w:rsid w:val="00090891"/>
    <w:rsid w:val="00092E62"/>
    <w:rsid w:val="00097975"/>
    <w:rsid w:val="000A0971"/>
    <w:rsid w:val="000A3DDF"/>
    <w:rsid w:val="000A60A0"/>
    <w:rsid w:val="000C06CA"/>
    <w:rsid w:val="000C1F8F"/>
    <w:rsid w:val="000C3688"/>
    <w:rsid w:val="000C64A6"/>
    <w:rsid w:val="000D416F"/>
    <w:rsid w:val="000D6863"/>
    <w:rsid w:val="000D6D03"/>
    <w:rsid w:val="000E486C"/>
    <w:rsid w:val="00105B9F"/>
    <w:rsid w:val="0011272C"/>
    <w:rsid w:val="00117AEE"/>
    <w:rsid w:val="0012420E"/>
    <w:rsid w:val="00131F2C"/>
    <w:rsid w:val="001352E9"/>
    <w:rsid w:val="00141432"/>
    <w:rsid w:val="001438FE"/>
    <w:rsid w:val="001450FC"/>
    <w:rsid w:val="001463CC"/>
    <w:rsid w:val="001463F7"/>
    <w:rsid w:val="00152C8B"/>
    <w:rsid w:val="0015769C"/>
    <w:rsid w:val="00165210"/>
    <w:rsid w:val="001725ED"/>
    <w:rsid w:val="00180752"/>
    <w:rsid w:val="00185076"/>
    <w:rsid w:val="0018543C"/>
    <w:rsid w:val="00190231"/>
    <w:rsid w:val="00192ABD"/>
    <w:rsid w:val="00197158"/>
    <w:rsid w:val="001A0EC5"/>
    <w:rsid w:val="001A2302"/>
    <w:rsid w:val="001A6294"/>
    <w:rsid w:val="001A75D5"/>
    <w:rsid w:val="001A7D40"/>
    <w:rsid w:val="001D07F7"/>
    <w:rsid w:val="001D159F"/>
    <w:rsid w:val="001D568D"/>
    <w:rsid w:val="001D7B8F"/>
    <w:rsid w:val="001E48EE"/>
    <w:rsid w:val="001F2A18"/>
    <w:rsid w:val="001F2D04"/>
    <w:rsid w:val="002003EC"/>
    <w:rsid w:val="0020059C"/>
    <w:rsid w:val="002019BD"/>
    <w:rsid w:val="0020341D"/>
    <w:rsid w:val="00232D42"/>
    <w:rsid w:val="00237334"/>
    <w:rsid w:val="002444F4"/>
    <w:rsid w:val="002629A0"/>
    <w:rsid w:val="00275688"/>
    <w:rsid w:val="0028492B"/>
    <w:rsid w:val="00291C8F"/>
    <w:rsid w:val="002A6FA9"/>
    <w:rsid w:val="002C5036"/>
    <w:rsid w:val="002C6A71"/>
    <w:rsid w:val="002C6D5F"/>
    <w:rsid w:val="002D15EA"/>
    <w:rsid w:val="002D2504"/>
    <w:rsid w:val="002D6C07"/>
    <w:rsid w:val="002E0CE6"/>
    <w:rsid w:val="002E1163"/>
    <w:rsid w:val="002E27D0"/>
    <w:rsid w:val="002E43F3"/>
    <w:rsid w:val="002F6F05"/>
    <w:rsid w:val="0030281E"/>
    <w:rsid w:val="003037A7"/>
    <w:rsid w:val="00314D12"/>
    <w:rsid w:val="00316CA9"/>
    <w:rsid w:val="003215F5"/>
    <w:rsid w:val="00321C4D"/>
    <w:rsid w:val="0032510F"/>
    <w:rsid w:val="00325BF1"/>
    <w:rsid w:val="00332891"/>
    <w:rsid w:val="003511DF"/>
    <w:rsid w:val="003529EE"/>
    <w:rsid w:val="00356BB2"/>
    <w:rsid w:val="00360477"/>
    <w:rsid w:val="00362876"/>
    <w:rsid w:val="003628CD"/>
    <w:rsid w:val="00367FC9"/>
    <w:rsid w:val="003711A1"/>
    <w:rsid w:val="00371D5B"/>
    <w:rsid w:val="00372123"/>
    <w:rsid w:val="0037285F"/>
    <w:rsid w:val="00386581"/>
    <w:rsid w:val="00387100"/>
    <w:rsid w:val="00393537"/>
    <w:rsid w:val="003951D3"/>
    <w:rsid w:val="003978C6"/>
    <w:rsid w:val="003A103E"/>
    <w:rsid w:val="003B2FC1"/>
    <w:rsid w:val="003B40A9"/>
    <w:rsid w:val="003B7D89"/>
    <w:rsid w:val="003C016E"/>
    <w:rsid w:val="003C1586"/>
    <w:rsid w:val="003D0892"/>
    <w:rsid w:val="003D0AF7"/>
    <w:rsid w:val="003D5EBD"/>
    <w:rsid w:val="003E03E1"/>
    <w:rsid w:val="003E4E8A"/>
    <w:rsid w:val="003E6BC5"/>
    <w:rsid w:val="003F608F"/>
    <w:rsid w:val="00400CF6"/>
    <w:rsid w:val="00401CE0"/>
    <w:rsid w:val="00403234"/>
    <w:rsid w:val="00407AC3"/>
    <w:rsid w:val="0041298E"/>
    <w:rsid w:val="00414586"/>
    <w:rsid w:val="00415059"/>
    <w:rsid w:val="004152C8"/>
    <w:rsid w:val="00424FDD"/>
    <w:rsid w:val="004276E3"/>
    <w:rsid w:val="0043033D"/>
    <w:rsid w:val="00432F08"/>
    <w:rsid w:val="00435FE4"/>
    <w:rsid w:val="00436C00"/>
    <w:rsid w:val="004421E8"/>
    <w:rsid w:val="00457634"/>
    <w:rsid w:val="00457F00"/>
    <w:rsid w:val="004654CB"/>
    <w:rsid w:val="00466720"/>
    <w:rsid w:val="00472A6B"/>
    <w:rsid w:val="0047386F"/>
    <w:rsid w:val="00473BC8"/>
    <w:rsid w:val="00474F42"/>
    <w:rsid w:val="00480B6D"/>
    <w:rsid w:val="0048244D"/>
    <w:rsid w:val="00485190"/>
    <w:rsid w:val="004A0DE8"/>
    <w:rsid w:val="004A1E94"/>
    <w:rsid w:val="004A26EE"/>
    <w:rsid w:val="004A4234"/>
    <w:rsid w:val="004A4CB7"/>
    <w:rsid w:val="004A57B5"/>
    <w:rsid w:val="004B19DA"/>
    <w:rsid w:val="004C2A53"/>
    <w:rsid w:val="004C3B35"/>
    <w:rsid w:val="004C43EC"/>
    <w:rsid w:val="004C78B6"/>
    <w:rsid w:val="004D7938"/>
    <w:rsid w:val="004E0669"/>
    <w:rsid w:val="004E0B5D"/>
    <w:rsid w:val="004E6729"/>
    <w:rsid w:val="004F0E47"/>
    <w:rsid w:val="004F5701"/>
    <w:rsid w:val="0051339C"/>
    <w:rsid w:val="0051412F"/>
    <w:rsid w:val="00521690"/>
    <w:rsid w:val="00522B6F"/>
    <w:rsid w:val="0052430E"/>
    <w:rsid w:val="005257FB"/>
    <w:rsid w:val="00525BDB"/>
    <w:rsid w:val="00526EDF"/>
    <w:rsid w:val="005276AD"/>
    <w:rsid w:val="00532F32"/>
    <w:rsid w:val="00536683"/>
    <w:rsid w:val="00540A9A"/>
    <w:rsid w:val="0054176B"/>
    <w:rsid w:val="00543522"/>
    <w:rsid w:val="00545680"/>
    <w:rsid w:val="005502CB"/>
    <w:rsid w:val="00550FD5"/>
    <w:rsid w:val="00555C25"/>
    <w:rsid w:val="00565AD5"/>
    <w:rsid w:val="0056618E"/>
    <w:rsid w:val="005702DC"/>
    <w:rsid w:val="00576F59"/>
    <w:rsid w:val="00577A34"/>
    <w:rsid w:val="00580AAD"/>
    <w:rsid w:val="00582357"/>
    <w:rsid w:val="00591E8F"/>
    <w:rsid w:val="00593A04"/>
    <w:rsid w:val="005940D4"/>
    <w:rsid w:val="005A1514"/>
    <w:rsid w:val="005A1CC9"/>
    <w:rsid w:val="005A6D5A"/>
    <w:rsid w:val="005B1B28"/>
    <w:rsid w:val="005B7D51"/>
    <w:rsid w:val="005B7F35"/>
    <w:rsid w:val="005B7F8E"/>
    <w:rsid w:val="005C2081"/>
    <w:rsid w:val="005C497C"/>
    <w:rsid w:val="005C5D5B"/>
    <w:rsid w:val="005C678A"/>
    <w:rsid w:val="005D0B31"/>
    <w:rsid w:val="005D346D"/>
    <w:rsid w:val="005E74AB"/>
    <w:rsid w:val="005F0F76"/>
    <w:rsid w:val="005F27EA"/>
    <w:rsid w:val="00603C43"/>
    <w:rsid w:val="00606A3E"/>
    <w:rsid w:val="006115AA"/>
    <w:rsid w:val="006120AE"/>
    <w:rsid w:val="00615CFD"/>
    <w:rsid w:val="00624634"/>
    <w:rsid w:val="0062626A"/>
    <w:rsid w:val="00633759"/>
    <w:rsid w:val="006339AC"/>
    <w:rsid w:val="00635E86"/>
    <w:rsid w:val="00636A37"/>
    <w:rsid w:val="00641C4F"/>
    <w:rsid w:val="00642A21"/>
    <w:rsid w:val="00645358"/>
    <w:rsid w:val="00645C48"/>
    <w:rsid w:val="006501A5"/>
    <w:rsid w:val="006560A9"/>
    <w:rsid w:val="006567B2"/>
    <w:rsid w:val="00662ADE"/>
    <w:rsid w:val="00664106"/>
    <w:rsid w:val="006756F1"/>
    <w:rsid w:val="00677773"/>
    <w:rsid w:val="006805FC"/>
    <w:rsid w:val="006919D6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42E2"/>
    <w:rsid w:val="006D5E4E"/>
    <w:rsid w:val="006D5FF7"/>
    <w:rsid w:val="006E4623"/>
    <w:rsid w:val="006E6860"/>
    <w:rsid w:val="006E7183"/>
    <w:rsid w:val="006F5FBF"/>
    <w:rsid w:val="0070327E"/>
    <w:rsid w:val="00706099"/>
    <w:rsid w:val="00707606"/>
    <w:rsid w:val="00707B5F"/>
    <w:rsid w:val="00715FDF"/>
    <w:rsid w:val="00720793"/>
    <w:rsid w:val="00720D0C"/>
    <w:rsid w:val="00722185"/>
    <w:rsid w:val="007227B3"/>
    <w:rsid w:val="0072631E"/>
    <w:rsid w:val="0073184C"/>
    <w:rsid w:val="0073439E"/>
    <w:rsid w:val="00734975"/>
    <w:rsid w:val="00735602"/>
    <w:rsid w:val="0074063C"/>
    <w:rsid w:val="007420A2"/>
    <w:rsid w:val="0074400C"/>
    <w:rsid w:val="00745CFF"/>
    <w:rsid w:val="0075279B"/>
    <w:rsid w:val="00753748"/>
    <w:rsid w:val="00762446"/>
    <w:rsid w:val="007706A1"/>
    <w:rsid w:val="00776DD0"/>
    <w:rsid w:val="00780295"/>
    <w:rsid w:val="00781ACB"/>
    <w:rsid w:val="007A514C"/>
    <w:rsid w:val="007A768E"/>
    <w:rsid w:val="007A79EB"/>
    <w:rsid w:val="007B2CC6"/>
    <w:rsid w:val="007B4051"/>
    <w:rsid w:val="007C749B"/>
    <w:rsid w:val="007D4CA0"/>
    <w:rsid w:val="007D7A23"/>
    <w:rsid w:val="007E38C3"/>
    <w:rsid w:val="007E549E"/>
    <w:rsid w:val="007E71C9"/>
    <w:rsid w:val="007F7553"/>
    <w:rsid w:val="0080755E"/>
    <w:rsid w:val="0081112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5E04"/>
    <w:rsid w:val="00847689"/>
    <w:rsid w:val="008477B6"/>
    <w:rsid w:val="00847D14"/>
    <w:rsid w:val="00861C52"/>
    <w:rsid w:val="00861FA7"/>
    <w:rsid w:val="008645F8"/>
    <w:rsid w:val="00867299"/>
    <w:rsid w:val="00867F7C"/>
    <w:rsid w:val="008727A1"/>
    <w:rsid w:val="00875BE8"/>
    <w:rsid w:val="00882854"/>
    <w:rsid w:val="00886271"/>
    <w:rsid w:val="00886B0F"/>
    <w:rsid w:val="00891C08"/>
    <w:rsid w:val="00895B68"/>
    <w:rsid w:val="008A3879"/>
    <w:rsid w:val="008A5FA8"/>
    <w:rsid w:val="008A7575"/>
    <w:rsid w:val="008A75ED"/>
    <w:rsid w:val="008B5F47"/>
    <w:rsid w:val="008B66CC"/>
    <w:rsid w:val="008B79D8"/>
    <w:rsid w:val="008C7B87"/>
    <w:rsid w:val="008D26AA"/>
    <w:rsid w:val="008D6A7A"/>
    <w:rsid w:val="008E24DB"/>
    <w:rsid w:val="008E3E87"/>
    <w:rsid w:val="008E3EEA"/>
    <w:rsid w:val="008E7F13"/>
    <w:rsid w:val="008F3185"/>
    <w:rsid w:val="008F6CAF"/>
    <w:rsid w:val="009109AE"/>
    <w:rsid w:val="00915B0A"/>
    <w:rsid w:val="0091740B"/>
    <w:rsid w:val="0092441F"/>
    <w:rsid w:val="00926904"/>
    <w:rsid w:val="00931CB3"/>
    <w:rsid w:val="009372F0"/>
    <w:rsid w:val="00954C2A"/>
    <w:rsid w:val="00955022"/>
    <w:rsid w:val="00957B4D"/>
    <w:rsid w:val="00964EEA"/>
    <w:rsid w:val="00977FFE"/>
    <w:rsid w:val="00980C86"/>
    <w:rsid w:val="009844D0"/>
    <w:rsid w:val="009A6C5F"/>
    <w:rsid w:val="009B0755"/>
    <w:rsid w:val="009B1D9B"/>
    <w:rsid w:val="009B2883"/>
    <w:rsid w:val="009B4074"/>
    <w:rsid w:val="009C30BB"/>
    <w:rsid w:val="009C48A8"/>
    <w:rsid w:val="009C60BE"/>
    <w:rsid w:val="009D326E"/>
    <w:rsid w:val="009D502D"/>
    <w:rsid w:val="009D654A"/>
    <w:rsid w:val="009E1160"/>
    <w:rsid w:val="009E6279"/>
    <w:rsid w:val="009E7DA9"/>
    <w:rsid w:val="009F00A6"/>
    <w:rsid w:val="009F56A7"/>
    <w:rsid w:val="009F5B05"/>
    <w:rsid w:val="00A026CA"/>
    <w:rsid w:val="00A03E78"/>
    <w:rsid w:val="00A07232"/>
    <w:rsid w:val="00A10E07"/>
    <w:rsid w:val="00A13EEA"/>
    <w:rsid w:val="00A14800"/>
    <w:rsid w:val="00A156DE"/>
    <w:rsid w:val="00A157ED"/>
    <w:rsid w:val="00A16C25"/>
    <w:rsid w:val="00A2446A"/>
    <w:rsid w:val="00A2760F"/>
    <w:rsid w:val="00A4025D"/>
    <w:rsid w:val="00A572A2"/>
    <w:rsid w:val="00A6590E"/>
    <w:rsid w:val="00A75FF2"/>
    <w:rsid w:val="00A800D1"/>
    <w:rsid w:val="00A87D5A"/>
    <w:rsid w:val="00A92699"/>
    <w:rsid w:val="00A94CF7"/>
    <w:rsid w:val="00A95908"/>
    <w:rsid w:val="00A964DA"/>
    <w:rsid w:val="00AB5BF0"/>
    <w:rsid w:val="00AC1C95"/>
    <w:rsid w:val="00AC2CCB"/>
    <w:rsid w:val="00AC443A"/>
    <w:rsid w:val="00AD1067"/>
    <w:rsid w:val="00AD204A"/>
    <w:rsid w:val="00AD783D"/>
    <w:rsid w:val="00AE38B9"/>
    <w:rsid w:val="00AE60E2"/>
    <w:rsid w:val="00AF19E9"/>
    <w:rsid w:val="00AF20CB"/>
    <w:rsid w:val="00AF4DF6"/>
    <w:rsid w:val="00B0169F"/>
    <w:rsid w:val="00B05F21"/>
    <w:rsid w:val="00B14EA9"/>
    <w:rsid w:val="00B16E01"/>
    <w:rsid w:val="00B21C6B"/>
    <w:rsid w:val="00B30A3C"/>
    <w:rsid w:val="00B31407"/>
    <w:rsid w:val="00B4277E"/>
    <w:rsid w:val="00B446EB"/>
    <w:rsid w:val="00B4546D"/>
    <w:rsid w:val="00B4554D"/>
    <w:rsid w:val="00B522B4"/>
    <w:rsid w:val="00B52550"/>
    <w:rsid w:val="00B543FE"/>
    <w:rsid w:val="00B608DC"/>
    <w:rsid w:val="00B66702"/>
    <w:rsid w:val="00B81305"/>
    <w:rsid w:val="00B843BC"/>
    <w:rsid w:val="00B85828"/>
    <w:rsid w:val="00B8744B"/>
    <w:rsid w:val="00B918FF"/>
    <w:rsid w:val="00BA3D5F"/>
    <w:rsid w:val="00BB17DC"/>
    <w:rsid w:val="00BB1AF9"/>
    <w:rsid w:val="00BB489A"/>
    <w:rsid w:val="00BB4C4A"/>
    <w:rsid w:val="00BD3CAE"/>
    <w:rsid w:val="00BD5F3C"/>
    <w:rsid w:val="00BE33B0"/>
    <w:rsid w:val="00C03544"/>
    <w:rsid w:val="00C07C0F"/>
    <w:rsid w:val="00C145C4"/>
    <w:rsid w:val="00C20D2F"/>
    <w:rsid w:val="00C2131B"/>
    <w:rsid w:val="00C3228E"/>
    <w:rsid w:val="00C338A9"/>
    <w:rsid w:val="00C37AF8"/>
    <w:rsid w:val="00C37C79"/>
    <w:rsid w:val="00C41BBC"/>
    <w:rsid w:val="00C503BA"/>
    <w:rsid w:val="00C51419"/>
    <w:rsid w:val="00C54056"/>
    <w:rsid w:val="00C663A3"/>
    <w:rsid w:val="00C70D9E"/>
    <w:rsid w:val="00C75CB2"/>
    <w:rsid w:val="00C90723"/>
    <w:rsid w:val="00C90D5C"/>
    <w:rsid w:val="00C94C52"/>
    <w:rsid w:val="00C979CA"/>
    <w:rsid w:val="00CA35B2"/>
    <w:rsid w:val="00CA609E"/>
    <w:rsid w:val="00CA7DA4"/>
    <w:rsid w:val="00CB31FB"/>
    <w:rsid w:val="00CB7765"/>
    <w:rsid w:val="00CC2EAA"/>
    <w:rsid w:val="00CD7C73"/>
    <w:rsid w:val="00CE3D6F"/>
    <w:rsid w:val="00CE79A5"/>
    <w:rsid w:val="00CF0042"/>
    <w:rsid w:val="00CF262F"/>
    <w:rsid w:val="00D000F2"/>
    <w:rsid w:val="00D025D5"/>
    <w:rsid w:val="00D048FE"/>
    <w:rsid w:val="00D15816"/>
    <w:rsid w:val="00D26B13"/>
    <w:rsid w:val="00D26BB6"/>
    <w:rsid w:val="00D26CC1"/>
    <w:rsid w:val="00D26D7E"/>
    <w:rsid w:val="00D30662"/>
    <w:rsid w:val="00D3080C"/>
    <w:rsid w:val="00D31309"/>
    <w:rsid w:val="00D32A0B"/>
    <w:rsid w:val="00D6236B"/>
    <w:rsid w:val="00D809D1"/>
    <w:rsid w:val="00D84ECF"/>
    <w:rsid w:val="00DA2851"/>
    <w:rsid w:val="00DA2B7C"/>
    <w:rsid w:val="00DA5686"/>
    <w:rsid w:val="00DB2FC0"/>
    <w:rsid w:val="00DE4AE4"/>
    <w:rsid w:val="00DE68C3"/>
    <w:rsid w:val="00DF18FA"/>
    <w:rsid w:val="00DF49CA"/>
    <w:rsid w:val="00DF621A"/>
    <w:rsid w:val="00DF775B"/>
    <w:rsid w:val="00E007F3"/>
    <w:rsid w:val="00E00DEA"/>
    <w:rsid w:val="00E038FE"/>
    <w:rsid w:val="00E06003"/>
    <w:rsid w:val="00E06EF0"/>
    <w:rsid w:val="00E11679"/>
    <w:rsid w:val="00E11935"/>
    <w:rsid w:val="00E11E41"/>
    <w:rsid w:val="00E120E3"/>
    <w:rsid w:val="00E2168B"/>
    <w:rsid w:val="00E27AD2"/>
    <w:rsid w:val="00E307D1"/>
    <w:rsid w:val="00E326E9"/>
    <w:rsid w:val="00E35346"/>
    <w:rsid w:val="00E46A04"/>
    <w:rsid w:val="00E47630"/>
    <w:rsid w:val="00E50F10"/>
    <w:rsid w:val="00E6044C"/>
    <w:rsid w:val="00E717F3"/>
    <w:rsid w:val="00E72C5E"/>
    <w:rsid w:val="00E73451"/>
    <w:rsid w:val="00E7489F"/>
    <w:rsid w:val="00E75147"/>
    <w:rsid w:val="00E8167D"/>
    <w:rsid w:val="00E81FB3"/>
    <w:rsid w:val="00E907E9"/>
    <w:rsid w:val="00E92641"/>
    <w:rsid w:val="00E95D5B"/>
    <w:rsid w:val="00E96BE7"/>
    <w:rsid w:val="00EA2CD0"/>
    <w:rsid w:val="00EA3309"/>
    <w:rsid w:val="00EC0044"/>
    <w:rsid w:val="00EC5B76"/>
    <w:rsid w:val="00EC6B9F"/>
    <w:rsid w:val="00ED3F4A"/>
    <w:rsid w:val="00EE0A07"/>
    <w:rsid w:val="00EE516D"/>
    <w:rsid w:val="00EF1380"/>
    <w:rsid w:val="00EF4D1B"/>
    <w:rsid w:val="00EF7295"/>
    <w:rsid w:val="00F03297"/>
    <w:rsid w:val="00F069D1"/>
    <w:rsid w:val="00F106BB"/>
    <w:rsid w:val="00F11CD8"/>
    <w:rsid w:val="00F1503D"/>
    <w:rsid w:val="00F20EB5"/>
    <w:rsid w:val="00F22712"/>
    <w:rsid w:val="00F275F5"/>
    <w:rsid w:val="00F33188"/>
    <w:rsid w:val="00F35BDE"/>
    <w:rsid w:val="00F52A0E"/>
    <w:rsid w:val="00F71F63"/>
    <w:rsid w:val="00F8711A"/>
    <w:rsid w:val="00F87506"/>
    <w:rsid w:val="00F92C41"/>
    <w:rsid w:val="00F94CA9"/>
    <w:rsid w:val="00F9794B"/>
    <w:rsid w:val="00F97DE4"/>
    <w:rsid w:val="00FA5522"/>
    <w:rsid w:val="00FA6E4A"/>
    <w:rsid w:val="00FB2B35"/>
    <w:rsid w:val="00FC227C"/>
    <w:rsid w:val="00FC4AE1"/>
    <w:rsid w:val="00FD01F2"/>
    <w:rsid w:val="00FD62A1"/>
    <w:rsid w:val="00FD78A3"/>
    <w:rsid w:val="00FE5269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4792A-A1EB-4A20-875E-4A2B9C0C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04</cp:lastModifiedBy>
  <cp:revision>3</cp:revision>
  <cp:lastPrinted>2015-05-22T15:56:00Z</cp:lastPrinted>
  <dcterms:created xsi:type="dcterms:W3CDTF">2015-06-15T09:31:00Z</dcterms:created>
  <dcterms:modified xsi:type="dcterms:W3CDTF">2015-06-22T09:51:00Z</dcterms:modified>
</cp:coreProperties>
</file>