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7C40D3">
            <w:pPr>
              <w:jc w:val="right"/>
            </w:pPr>
            <w:r w:rsidRPr="00014D07">
              <w:rPr>
                <w:sz w:val="40"/>
              </w:rPr>
              <w:t>E</w:t>
            </w:r>
            <w:r>
              <w:t>/ECE/324/</w:t>
            </w:r>
            <w:r w:rsidR="00841EB5">
              <w:t>Rev.</w:t>
            </w:r>
            <w:r w:rsidR="007C40D3">
              <w:t>2</w:t>
            </w:r>
            <w:r w:rsidR="00841EB5">
              <w:t>/</w:t>
            </w:r>
            <w:r>
              <w:t>Add.</w:t>
            </w:r>
            <w:r w:rsidR="007C40D3">
              <w:t>106</w:t>
            </w:r>
            <w:r>
              <w:t>/Rev.</w:t>
            </w:r>
            <w:r w:rsidR="007C40D3">
              <w:t>5</w:t>
            </w:r>
            <w:r>
              <w:t>/</w:t>
            </w:r>
            <w:r w:rsidR="00D623A7">
              <w:t>Amend.</w:t>
            </w:r>
            <w:r w:rsidR="007C40D3">
              <w:t>1</w:t>
            </w:r>
            <w:r>
              <w:t>−</w:t>
            </w:r>
            <w:r w:rsidRPr="00014D07">
              <w:rPr>
                <w:sz w:val="40"/>
              </w:rPr>
              <w:t>E</w:t>
            </w:r>
            <w:r>
              <w:t>/ECE/TRANS/505</w:t>
            </w:r>
            <w:r w:rsidR="007C40D3">
              <w:t>/Rev.2/Add.106/Rev.5/Amend.1</w:t>
            </w:r>
          </w:p>
        </w:tc>
      </w:tr>
      <w:tr w:rsidR="003C3936" w:rsidTr="004647EB">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106E3B" w:rsidP="003C3936">
            <w:pPr>
              <w:spacing w:before="120"/>
            </w:pPr>
            <w:r>
              <w:t>22</w:t>
            </w:r>
            <w:bookmarkStart w:id="0" w:name="_GoBack"/>
            <w:bookmarkEnd w:id="0"/>
            <w:r w:rsidR="0024686B" w:rsidRPr="0024686B">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4647EB">
      <w:pPr>
        <w:pStyle w:val="H1G"/>
        <w:spacing w:before="240" w:after="120"/>
      </w:pPr>
      <w:r>
        <w:tab/>
      </w:r>
      <w:r>
        <w:tab/>
        <w:t xml:space="preserve">Addendum </w:t>
      </w:r>
      <w:r w:rsidR="007C40D3">
        <w:t>106</w:t>
      </w:r>
      <w:r>
        <w:t xml:space="preserve"> – Regulation No.</w:t>
      </w:r>
      <w:r w:rsidR="00271A7F">
        <w:t xml:space="preserve"> </w:t>
      </w:r>
      <w:r w:rsidR="007C40D3">
        <w:t>107</w:t>
      </w:r>
    </w:p>
    <w:p w:rsidR="0064636E" w:rsidRPr="00014D07" w:rsidRDefault="0064636E" w:rsidP="0064636E">
      <w:pPr>
        <w:pStyle w:val="H1G"/>
      </w:pPr>
      <w:r>
        <w:tab/>
      </w:r>
      <w:r>
        <w:tab/>
      </w:r>
      <w:r w:rsidRPr="00014D07">
        <w:t xml:space="preserve">Revision </w:t>
      </w:r>
      <w:r w:rsidR="007C40D3">
        <w:t>5</w:t>
      </w:r>
      <w:r w:rsidRPr="00014D07">
        <w:t xml:space="preserve"> - </w:t>
      </w:r>
      <w:r w:rsidR="00D623A7">
        <w:t>Amendment</w:t>
      </w:r>
      <w:r w:rsidRPr="00014D07">
        <w:t xml:space="preserve"> </w:t>
      </w:r>
      <w:r w:rsidR="007C40D3">
        <w:t>1</w:t>
      </w:r>
    </w:p>
    <w:p w:rsidR="0064636E" w:rsidRPr="00272880" w:rsidRDefault="00D623A7" w:rsidP="0064636E">
      <w:pPr>
        <w:pStyle w:val="SingleTxtG"/>
        <w:spacing w:after="360"/>
        <w:rPr>
          <w:spacing w:val="-2"/>
        </w:rPr>
      </w:pPr>
      <w:r>
        <w:rPr>
          <w:spacing w:val="-2"/>
        </w:rPr>
        <w:t xml:space="preserve">Supplement </w:t>
      </w:r>
      <w:r w:rsidR="007C40D3">
        <w:rPr>
          <w:spacing w:val="-2"/>
        </w:rPr>
        <w:t>2</w:t>
      </w:r>
      <w:r>
        <w:rPr>
          <w:spacing w:val="-2"/>
        </w:rPr>
        <w:t xml:space="preserve"> to </w:t>
      </w:r>
      <w:r w:rsidR="00271A7F">
        <w:rPr>
          <w:spacing w:val="-2"/>
        </w:rPr>
        <w:t xml:space="preserve">the </w:t>
      </w:r>
      <w:r w:rsidR="007C40D3">
        <w:rPr>
          <w:spacing w:val="-2"/>
        </w:rPr>
        <w:t>05</w:t>
      </w:r>
      <w:r>
        <w:rPr>
          <w:spacing w:val="-2"/>
        </w:rPr>
        <w:t xml:space="preserve"> series of amendments</w:t>
      </w:r>
      <w:r w:rsidR="0064636E" w:rsidRPr="00272880">
        <w:rPr>
          <w:spacing w:val="-2"/>
        </w:rPr>
        <w:t xml:space="preserve"> – Date of entry into force: </w:t>
      </w:r>
      <w:r w:rsidR="00941D16">
        <w:t>15 June 2015</w:t>
      </w:r>
    </w:p>
    <w:p w:rsidR="007C40D3" w:rsidRDefault="0064636E" w:rsidP="007C40D3">
      <w:pPr>
        <w:pStyle w:val="H1G"/>
        <w:rPr>
          <w:rStyle w:val="H1GChar"/>
          <w:b/>
        </w:rPr>
      </w:pPr>
      <w:r w:rsidRPr="007C40D3">
        <w:rPr>
          <w:rStyle w:val="H1GChar"/>
          <w:b/>
        </w:rPr>
        <w:tab/>
      </w:r>
      <w:r w:rsidRPr="007C40D3">
        <w:rPr>
          <w:rStyle w:val="H1GChar"/>
          <w:b/>
        </w:rPr>
        <w:tab/>
      </w:r>
      <w:r w:rsidR="007C40D3" w:rsidRPr="007C40D3">
        <w:rPr>
          <w:rStyle w:val="H1GChar"/>
          <w:b/>
        </w:rPr>
        <w:t>Uniform provisions concerning the approval of category M</w:t>
      </w:r>
      <w:r w:rsidR="007C40D3" w:rsidRPr="0096333D">
        <w:rPr>
          <w:rStyle w:val="H1GChar"/>
          <w:b/>
          <w:vertAlign w:val="subscript"/>
        </w:rPr>
        <w:t>2</w:t>
      </w:r>
      <w:r w:rsidR="007C40D3" w:rsidRPr="007C40D3">
        <w:rPr>
          <w:rStyle w:val="H1GChar"/>
          <w:b/>
        </w:rPr>
        <w:t xml:space="preserve"> or M</w:t>
      </w:r>
      <w:r w:rsidR="007C40D3" w:rsidRPr="0096333D">
        <w:rPr>
          <w:rStyle w:val="H1GChar"/>
          <w:b/>
          <w:vertAlign w:val="subscript"/>
        </w:rPr>
        <w:t>3</w:t>
      </w:r>
      <w:r w:rsidR="007C40D3" w:rsidRPr="007C40D3">
        <w:rPr>
          <w:rStyle w:val="H1GChar"/>
          <w:b/>
        </w:rPr>
        <w:t xml:space="preserve"> vehicles with regard to their general construction</w:t>
      </w:r>
    </w:p>
    <w:p w:rsidR="00941D16" w:rsidRPr="00941D16" w:rsidRDefault="00941D16" w:rsidP="004647EB">
      <w:pPr>
        <w:pStyle w:val="SingleTxtG"/>
        <w:spacing w:after="0"/>
      </w:pPr>
      <w:r w:rsidRPr="00941D16">
        <w:t>This document is meant purely as documentation tool. The authentic and legal binding text is: ECE/TRANS/WP.29/2014/</w:t>
      </w:r>
      <w:r w:rsidR="004647EB">
        <w:t>69</w:t>
      </w:r>
      <w:r w:rsidR="004647EB" w:rsidRPr="004647EB">
        <w:rPr>
          <w:spacing w:val="-6"/>
          <w:lang w:eastAsia="en-GB"/>
        </w:rPr>
        <w:t xml:space="preserve"> </w:t>
      </w:r>
      <w:r w:rsidR="004647EB">
        <w:rPr>
          <w:spacing w:val="-6"/>
          <w:lang w:eastAsia="en-GB"/>
        </w:rPr>
        <w:t>(as amended by paragraph 62 of the report ECE/TRANS/WP.29/</w:t>
      </w:r>
      <w:r w:rsidR="004647EB">
        <w:rPr>
          <w:lang w:eastAsia="en-GB"/>
        </w:rPr>
        <w:t>1112)</w:t>
      </w:r>
      <w:r w:rsidR="00543BEB">
        <w:rPr>
          <w:lang w:eastAsia="en-GB"/>
        </w:rPr>
        <w:t>.</w:t>
      </w:r>
    </w:p>
    <w:p w:rsidR="000D3A4F" w:rsidRPr="000D3A4F" w:rsidRDefault="00106E3B" w:rsidP="000D3A4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0.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C40D3" w:rsidRPr="00026C25" w:rsidRDefault="007C40D3" w:rsidP="007C40D3">
      <w:pPr>
        <w:spacing w:after="120" w:line="240" w:lineRule="auto"/>
        <w:ind w:left="1134" w:right="1134"/>
        <w:jc w:val="both"/>
        <w:rPr>
          <w:i/>
        </w:rPr>
      </w:pPr>
      <w:r>
        <w:rPr>
          <w:i/>
        </w:rPr>
        <w:t>Insert new p</w:t>
      </w:r>
      <w:r w:rsidRPr="00026C25">
        <w:rPr>
          <w:i/>
        </w:rPr>
        <w:t>aragraph</w:t>
      </w:r>
      <w:r w:rsidR="004647EB">
        <w:rPr>
          <w:i/>
        </w:rPr>
        <w:t>s</w:t>
      </w:r>
      <w:r w:rsidRPr="00026C25">
        <w:rPr>
          <w:i/>
        </w:rPr>
        <w:t xml:space="preserve"> 10.24</w:t>
      </w:r>
      <w:r w:rsidRPr="00026C25">
        <w:t>.</w:t>
      </w:r>
      <w:r w:rsidR="004647EB">
        <w:t xml:space="preserve"> and 10.25.</w:t>
      </w:r>
      <w:r w:rsidRPr="00026C25">
        <w:t>, to read:</w:t>
      </w:r>
    </w:p>
    <w:p w:rsidR="00543BEB" w:rsidRDefault="007C40D3" w:rsidP="004647EB">
      <w:pPr>
        <w:spacing w:after="120"/>
        <w:ind w:left="2268" w:right="1134" w:hanging="1134"/>
        <w:jc w:val="both"/>
        <w:rPr>
          <w:lang w:val="en-US"/>
        </w:rPr>
      </w:pPr>
      <w:r>
        <w:rPr>
          <w:lang w:val="en-US"/>
        </w:rPr>
        <w:t>"10.24.</w:t>
      </w:r>
      <w:r>
        <w:rPr>
          <w:lang w:val="en-US"/>
        </w:rPr>
        <w:tab/>
        <w:t xml:space="preserve">Notwithstanding paragraphs 10.22. and 10.23., </w:t>
      </w:r>
      <w:r w:rsidRPr="00E24682">
        <w:t>Contracting Parties applying this Regulation shall continue to accept type approvals granted to the preceding series of amendments, which are not affected by the 05 series of amendments.</w:t>
      </w:r>
      <w:r w:rsidR="004647EB" w:rsidRPr="00E24682" w:rsidDel="004647EB">
        <w:rPr>
          <w:lang w:val="en-US"/>
        </w:rPr>
        <w:t xml:space="preserve"> </w:t>
      </w:r>
    </w:p>
    <w:p w:rsidR="007C40D3" w:rsidRPr="00E24682" w:rsidRDefault="007C40D3" w:rsidP="004647EB">
      <w:pPr>
        <w:spacing w:after="120"/>
        <w:ind w:left="2268" w:right="1134" w:hanging="1134"/>
        <w:jc w:val="both"/>
      </w:pPr>
      <w:r w:rsidRPr="00E24682">
        <w:t>10.25.</w:t>
      </w:r>
      <w:r w:rsidRPr="00E24682">
        <w:tab/>
      </w:r>
      <w:r w:rsidRPr="00E24682">
        <w:rPr>
          <w:lang w:val="en-US"/>
        </w:rPr>
        <w:t>Contracting Parties applying this Regulation shall not refuse to grant extensions of approval for vehicles which are not affected by the 05 series of amendments</w:t>
      </w:r>
      <w:r w:rsidRPr="00E24682">
        <w:t>.</w:t>
      </w:r>
      <w:r w:rsidRPr="00E24682">
        <w:rPr>
          <w:lang w:val="en-US"/>
        </w:rPr>
        <w:t>"</w:t>
      </w:r>
    </w:p>
    <w:p w:rsidR="007C40D3" w:rsidRDefault="007C40D3" w:rsidP="007C40D3">
      <w:pPr>
        <w:spacing w:after="120" w:line="240" w:lineRule="auto"/>
        <w:ind w:left="1134" w:right="1134"/>
        <w:jc w:val="both"/>
        <w:rPr>
          <w:i/>
        </w:rPr>
      </w:pPr>
      <w:r w:rsidRPr="00990EAE">
        <w:rPr>
          <w:i/>
        </w:rPr>
        <w:t xml:space="preserve">Annex 3, </w:t>
      </w:r>
    </w:p>
    <w:p w:rsidR="007C40D3" w:rsidRPr="00990EAE" w:rsidRDefault="007C40D3" w:rsidP="007C40D3">
      <w:pPr>
        <w:spacing w:after="120" w:line="240" w:lineRule="auto"/>
        <w:ind w:left="1134" w:right="1134"/>
        <w:jc w:val="both"/>
        <w:rPr>
          <w:iCs/>
        </w:rPr>
      </w:pPr>
      <w:r>
        <w:rPr>
          <w:i/>
        </w:rPr>
        <w:t>P</w:t>
      </w:r>
      <w:r w:rsidRPr="00990EAE">
        <w:rPr>
          <w:i/>
        </w:rPr>
        <w:t xml:space="preserve">aragraph 7.3., </w:t>
      </w:r>
      <w:r w:rsidRPr="00990EAE">
        <w:rPr>
          <w:iCs/>
        </w:rPr>
        <w:t>amend to read:</w:t>
      </w:r>
    </w:p>
    <w:p w:rsidR="007C40D3" w:rsidRPr="00990EAE" w:rsidRDefault="007C40D3" w:rsidP="007C40D3">
      <w:pPr>
        <w:tabs>
          <w:tab w:val="left" w:pos="1080"/>
        </w:tabs>
        <w:spacing w:after="120" w:line="240" w:lineRule="auto"/>
        <w:ind w:left="2268" w:right="1134" w:hanging="1134"/>
        <w:jc w:val="both"/>
        <w:rPr>
          <w:b/>
        </w:rPr>
      </w:pPr>
      <w:r>
        <w:rPr>
          <w:lang w:val="en-US"/>
        </w:rPr>
        <w:t>"7.3.</w:t>
      </w:r>
      <w:r>
        <w:rPr>
          <w:lang w:val="en-US"/>
        </w:rPr>
        <w:tab/>
      </w:r>
      <w:r w:rsidRPr="00E24682">
        <w:rPr>
          <w:lang w:val="en-US"/>
        </w:rPr>
        <w:t>Prevention of accidents</w:t>
      </w:r>
      <w:r w:rsidRPr="00E24682">
        <w:t>"</w:t>
      </w:r>
    </w:p>
    <w:p w:rsidR="007C40D3" w:rsidRPr="00990EAE" w:rsidRDefault="007C40D3" w:rsidP="007C40D3">
      <w:pPr>
        <w:spacing w:after="120" w:line="240" w:lineRule="auto"/>
        <w:ind w:left="2268" w:right="1134" w:hanging="1134"/>
        <w:jc w:val="both"/>
        <w:rPr>
          <w:iCs/>
        </w:rPr>
      </w:pPr>
      <w:r>
        <w:rPr>
          <w:i/>
        </w:rPr>
        <w:t>I</w:t>
      </w:r>
      <w:r w:rsidRPr="00990EAE">
        <w:rPr>
          <w:i/>
        </w:rPr>
        <w:t xml:space="preserve">nsert </w:t>
      </w:r>
      <w:r>
        <w:rPr>
          <w:i/>
        </w:rPr>
        <w:t xml:space="preserve">a </w:t>
      </w:r>
      <w:r w:rsidRPr="00990EAE">
        <w:rPr>
          <w:i/>
        </w:rPr>
        <w:t>new paragraph 7.3.1.,</w:t>
      </w:r>
      <w:r w:rsidRPr="00990EAE">
        <w:rPr>
          <w:iCs/>
        </w:rPr>
        <w:t xml:space="preserve"> to read:</w:t>
      </w:r>
    </w:p>
    <w:p w:rsidR="007C40D3" w:rsidRDefault="007C40D3" w:rsidP="007C40D3">
      <w:pPr>
        <w:pStyle w:val="TxBrp5"/>
        <w:tabs>
          <w:tab w:val="clear" w:pos="4688"/>
          <w:tab w:val="left" w:pos="2268"/>
        </w:tabs>
        <w:spacing w:after="120" w:line="240" w:lineRule="auto"/>
        <w:ind w:left="2268" w:right="1134" w:hanging="1134"/>
        <w:jc w:val="both"/>
      </w:pPr>
      <w:r>
        <w:t>"</w:t>
      </w:r>
      <w:r w:rsidRPr="00E24682">
        <w:t>7.3.1.</w:t>
      </w:r>
      <w:r w:rsidRPr="00E24682">
        <w:tab/>
        <w:t>If the engine compartment of a vehicle is located to the rear of the driver's compartment, it shall not be possible to start the engine from the driver's position when the main engine access panel located in the rear face of the vehicle is open and which provide direct access to parts that represent a hazard when the engine is running (e.g. pulley of belt drives)."</w:t>
      </w:r>
    </w:p>
    <w:p w:rsidR="007C40D3" w:rsidRPr="00026C25" w:rsidRDefault="007C40D3" w:rsidP="007C40D3">
      <w:pPr>
        <w:spacing w:after="120" w:line="240" w:lineRule="auto"/>
        <w:ind w:left="1134" w:right="1134"/>
        <w:jc w:val="both"/>
      </w:pPr>
      <w:r>
        <w:rPr>
          <w:i/>
        </w:rPr>
        <w:t>P</w:t>
      </w:r>
      <w:r w:rsidRPr="00026C25">
        <w:rPr>
          <w:i/>
        </w:rPr>
        <w:t>aragraphs 7.6.8.2. to 7.6.8.2.</w:t>
      </w:r>
      <w:r>
        <w:rPr>
          <w:i/>
        </w:rPr>
        <w:t>1</w:t>
      </w:r>
      <w:r w:rsidRPr="00026C25">
        <w:rPr>
          <w:i/>
        </w:rPr>
        <w:t>.,</w:t>
      </w:r>
      <w:r w:rsidRPr="00026C25">
        <w:t xml:space="preserve"> amend to read:</w:t>
      </w:r>
    </w:p>
    <w:p w:rsidR="007C40D3" w:rsidRPr="00E24682" w:rsidRDefault="007C40D3" w:rsidP="004647EB">
      <w:pPr>
        <w:tabs>
          <w:tab w:val="left" w:pos="2268"/>
        </w:tabs>
        <w:spacing w:after="120"/>
        <w:ind w:left="2268" w:right="420" w:hanging="1134"/>
        <w:jc w:val="both"/>
      </w:pPr>
      <w:r w:rsidRPr="00026C25">
        <w:t>"7.6.8.2.</w:t>
      </w:r>
      <w:r w:rsidRPr="00026C25">
        <w:tab/>
      </w:r>
      <w:r w:rsidRPr="00E24682">
        <w:t>Every emergency window shall either:</w:t>
      </w:r>
    </w:p>
    <w:p w:rsidR="007C40D3" w:rsidRPr="00E24682" w:rsidRDefault="007C40D3" w:rsidP="007C40D3">
      <w:pPr>
        <w:pStyle w:val="TxBrp5"/>
        <w:tabs>
          <w:tab w:val="clear" w:pos="4688"/>
          <w:tab w:val="left" w:pos="2268"/>
        </w:tabs>
        <w:spacing w:after="120" w:line="240" w:lineRule="auto"/>
        <w:ind w:left="2268" w:right="1134" w:hanging="1134"/>
        <w:jc w:val="both"/>
      </w:pPr>
      <w:r w:rsidRPr="00E24682">
        <w:t>7.6.8.2.1.</w:t>
      </w:r>
      <w:r w:rsidRPr="00E24682">
        <w:tab/>
        <w:t>Be capable of being easily and instantaneously operated from inside and from outside the vehicle by means of a device recognised as satisfactory. This provision includes the possibility of using e.g. panes of laminated glass or plastic material, or</w:t>
      </w:r>
      <w:r w:rsidR="004647EB">
        <w:t xml:space="preserve"> …</w:t>
      </w:r>
      <w:r w:rsidRPr="00E24682">
        <w:t>"</w:t>
      </w:r>
    </w:p>
    <w:p w:rsidR="00C20856" w:rsidRDefault="007C40D3" w:rsidP="007C40D3">
      <w:pPr>
        <w:spacing w:after="120" w:line="240" w:lineRule="auto"/>
        <w:ind w:left="1134" w:right="1134"/>
        <w:jc w:val="both"/>
        <w:rPr>
          <w:i/>
        </w:rPr>
      </w:pPr>
      <w:r w:rsidRPr="002F55CB">
        <w:rPr>
          <w:i/>
        </w:rPr>
        <w:t xml:space="preserve">Annex 8, </w:t>
      </w:r>
    </w:p>
    <w:p w:rsidR="007C40D3" w:rsidRPr="002F55CB" w:rsidRDefault="00C20856" w:rsidP="007C40D3">
      <w:pPr>
        <w:spacing w:after="120" w:line="240" w:lineRule="auto"/>
        <w:ind w:left="1134" w:right="1134"/>
        <w:jc w:val="both"/>
      </w:pPr>
      <w:r>
        <w:rPr>
          <w:i/>
        </w:rPr>
        <w:t>P</w:t>
      </w:r>
      <w:r w:rsidR="007C40D3" w:rsidRPr="002F55CB">
        <w:rPr>
          <w:i/>
        </w:rPr>
        <w:t>aragraph 3</w:t>
      </w:r>
      <w:r w:rsidR="007C40D3">
        <w:rPr>
          <w:i/>
        </w:rPr>
        <w:t>.1</w:t>
      </w:r>
      <w:r w:rsidR="007C40D3" w:rsidRPr="002F55CB">
        <w:rPr>
          <w:i/>
        </w:rPr>
        <w:t>.,</w:t>
      </w:r>
      <w:r w:rsidR="007C40D3" w:rsidRPr="002F55CB">
        <w:t xml:space="preserve"> amend to read:</w:t>
      </w:r>
    </w:p>
    <w:p w:rsidR="007C40D3" w:rsidRPr="002F55CB" w:rsidRDefault="007C40D3" w:rsidP="007C40D3">
      <w:pPr>
        <w:tabs>
          <w:tab w:val="left" w:pos="2268"/>
        </w:tabs>
        <w:spacing w:after="120" w:line="240" w:lineRule="auto"/>
        <w:ind w:left="1134" w:right="1134"/>
        <w:jc w:val="both"/>
      </w:pPr>
      <w:r w:rsidRPr="002F55CB">
        <w:t>"3.1.</w:t>
      </w:r>
      <w:r w:rsidRPr="002F55CB">
        <w:tab/>
        <w:t>Steps</w:t>
      </w:r>
    </w:p>
    <w:p w:rsidR="007C40D3" w:rsidRPr="00E24682" w:rsidRDefault="007C40D3" w:rsidP="007C40D3">
      <w:pPr>
        <w:tabs>
          <w:tab w:val="left" w:pos="2268"/>
        </w:tabs>
        <w:spacing w:after="120" w:line="240" w:lineRule="auto"/>
        <w:ind w:left="2268" w:right="1134"/>
        <w:jc w:val="both"/>
        <w:rPr>
          <w:lang w:val="en-US"/>
        </w:rPr>
      </w:pPr>
      <w:r w:rsidRPr="00E24682">
        <w:rPr>
          <w:lang w:val="en-US"/>
        </w:rPr>
        <w:t>The height of the first step … of Class</w:t>
      </w:r>
      <w:r w:rsidR="00C20856">
        <w:rPr>
          <w:lang w:val="en-US"/>
        </w:rPr>
        <w:t>es</w:t>
      </w:r>
      <w:r w:rsidRPr="00E24682">
        <w:rPr>
          <w:lang w:val="en-US"/>
        </w:rPr>
        <w:t xml:space="preserve"> II, III and B. In the case where only one service door meets this requirement there shall be no barrier or sign which prevents that door from being used as both an entrance and an exit.</w:t>
      </w:r>
    </w:p>
    <w:p w:rsidR="007C40D3" w:rsidRPr="00E24682" w:rsidRDefault="007C40D3" w:rsidP="007C40D3">
      <w:pPr>
        <w:tabs>
          <w:tab w:val="left" w:pos="2268"/>
        </w:tabs>
        <w:spacing w:after="120" w:line="240" w:lineRule="auto"/>
        <w:ind w:left="2268" w:right="1134"/>
        <w:jc w:val="both"/>
        <w:rPr>
          <w:lang w:val="en-US"/>
        </w:rPr>
      </w:pPr>
      <w:r w:rsidRPr="00E24682">
        <w:rPr>
          <w:lang w:val="en-US"/>
        </w:rPr>
        <w:t>As an alternative for vehicles of Class</w:t>
      </w:r>
      <w:r w:rsidR="00C20856">
        <w:rPr>
          <w:lang w:val="en-US"/>
        </w:rPr>
        <w:t>es</w:t>
      </w:r>
      <w:r w:rsidRPr="00E24682">
        <w:rPr>
          <w:lang w:val="en-US"/>
        </w:rPr>
        <w:t xml:space="preserve"> I and A, the first step from the ground shall not exceed 270 mm in two door openings, one entrance and one exit.</w:t>
      </w:r>
    </w:p>
    <w:p w:rsidR="007C40D3" w:rsidRPr="00E24682" w:rsidRDefault="007C40D3" w:rsidP="007C40D3">
      <w:pPr>
        <w:tabs>
          <w:tab w:val="left" w:pos="2268"/>
        </w:tabs>
        <w:spacing w:after="120" w:line="240" w:lineRule="auto"/>
        <w:ind w:left="2268" w:right="1134"/>
        <w:jc w:val="both"/>
        <w:rPr>
          <w:lang w:val="en-US"/>
        </w:rPr>
      </w:pPr>
      <w:r w:rsidRPr="00E24682">
        <w:rPr>
          <w:lang w:val="en-US"/>
        </w:rPr>
        <w:t>In low floor vehicles only a kneeling system, but not a retractable step, may be engaged.</w:t>
      </w:r>
    </w:p>
    <w:p w:rsidR="007C40D3" w:rsidRPr="00E24682" w:rsidRDefault="007C40D3" w:rsidP="007C40D3">
      <w:pPr>
        <w:tabs>
          <w:tab w:val="left" w:pos="2268"/>
        </w:tabs>
        <w:spacing w:after="120" w:line="240" w:lineRule="auto"/>
        <w:ind w:left="2268" w:right="1134"/>
        <w:jc w:val="both"/>
        <w:rPr>
          <w:lang w:val="en-US"/>
        </w:rPr>
      </w:pPr>
      <w:r w:rsidRPr="00E24682">
        <w:rPr>
          <w:lang w:val="en-US"/>
        </w:rPr>
        <w:t>In other vehicles either a kneeling system and/or a retractable step may be engaged.</w:t>
      </w:r>
    </w:p>
    <w:p w:rsidR="007C40D3" w:rsidRPr="00E24682" w:rsidRDefault="007C40D3" w:rsidP="007C40D3">
      <w:pPr>
        <w:pStyle w:val="para"/>
        <w:tabs>
          <w:tab w:val="left" w:pos="2268"/>
        </w:tabs>
        <w:spacing w:line="240" w:lineRule="auto"/>
        <w:ind w:firstLine="0"/>
        <w:rPr>
          <w:lang w:val="en-US"/>
        </w:rPr>
      </w:pPr>
      <w:r>
        <w:rPr>
          <w:lang w:val="en-US"/>
        </w:rPr>
        <w:tab/>
        <w:t>The height of steps in ...</w:t>
      </w:r>
      <w:r w:rsidRPr="00E24682">
        <w:rPr>
          <w:lang w:val="en-US"/>
        </w:rPr>
        <w:t>"</w:t>
      </w:r>
    </w:p>
    <w:p w:rsidR="007C40D3" w:rsidRPr="00AF2205" w:rsidRDefault="007C40D3" w:rsidP="007C40D3">
      <w:pPr>
        <w:spacing w:before="240"/>
        <w:ind w:left="1134" w:right="1134"/>
        <w:jc w:val="center"/>
        <w:rPr>
          <w:u w:val="single"/>
        </w:rPr>
      </w:pPr>
      <w:r w:rsidRPr="00EB72C9">
        <w:rPr>
          <w:u w:val="single"/>
        </w:rPr>
        <w:tab/>
      </w:r>
      <w:r w:rsidRPr="00EB72C9">
        <w:rPr>
          <w:u w:val="single"/>
        </w:rPr>
        <w:tab/>
      </w:r>
      <w:r w:rsidRPr="00EB72C9">
        <w:rPr>
          <w:u w:val="single"/>
        </w:rPr>
        <w:tab/>
      </w:r>
    </w:p>
    <w:p w:rsidR="00776D12" w:rsidRDefault="00776D12" w:rsidP="007C40D3">
      <w:pPr>
        <w:jc w:val="center"/>
      </w:pPr>
    </w:p>
    <w:sectPr w:rsidR="00776D12"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3F" w:rsidRDefault="0036523F"/>
  </w:endnote>
  <w:endnote w:type="continuationSeparator" w:id="0">
    <w:p w:rsidR="0036523F" w:rsidRDefault="0036523F"/>
  </w:endnote>
  <w:endnote w:type="continuationNotice" w:id="1">
    <w:p w:rsidR="0036523F" w:rsidRDefault="00365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06E3B">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647EB">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106E3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3F" w:rsidRPr="000B175B" w:rsidRDefault="0036523F" w:rsidP="000B175B">
      <w:pPr>
        <w:tabs>
          <w:tab w:val="right" w:pos="2155"/>
        </w:tabs>
        <w:spacing w:after="80"/>
        <w:ind w:left="680"/>
        <w:rPr>
          <w:u w:val="single"/>
        </w:rPr>
      </w:pPr>
      <w:r>
        <w:rPr>
          <w:u w:val="single"/>
        </w:rPr>
        <w:tab/>
      </w:r>
    </w:p>
  </w:footnote>
  <w:footnote w:type="continuationSeparator" w:id="0">
    <w:p w:rsidR="0036523F" w:rsidRPr="00FC68B7" w:rsidRDefault="0036523F" w:rsidP="00FC68B7">
      <w:pPr>
        <w:tabs>
          <w:tab w:val="left" w:pos="2155"/>
        </w:tabs>
        <w:spacing w:after="80"/>
        <w:ind w:left="680"/>
        <w:rPr>
          <w:u w:val="single"/>
        </w:rPr>
      </w:pPr>
      <w:r>
        <w:rPr>
          <w:u w:val="single"/>
        </w:rPr>
        <w:tab/>
      </w:r>
    </w:p>
  </w:footnote>
  <w:footnote w:type="continuationNotice" w:id="1">
    <w:p w:rsidR="0036523F" w:rsidRDefault="0036523F"/>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7C40D3">
    <w:pPr>
      <w:pStyle w:val="Header"/>
    </w:pPr>
    <w:r w:rsidRPr="00D623A7">
      <w:t>E/ECE/324</w:t>
    </w:r>
    <w:r w:rsidR="007C40D3">
      <w:t>/Rev.2/Add.106/Rev.5/Amend.1</w:t>
    </w:r>
    <w:r>
      <w:br/>
    </w:r>
    <w:r w:rsidRPr="00D623A7">
      <w:t>E/ECE/TRANS/505</w:t>
    </w:r>
    <w:r w:rsidR="007C40D3">
      <w:t>/Rev.2/Add.106/Rev.5/Amend.1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E/ECE/324/Add.</w:t>
    </w:r>
    <w:r>
      <w:t>x</w:t>
    </w:r>
    <w:r w:rsidRPr="00D623A7">
      <w:t>/Rev.</w:t>
    </w:r>
    <w:r>
      <w:t>x</w:t>
    </w:r>
    <w:r w:rsidRPr="00D623A7">
      <w:t>/Amend.</w:t>
    </w:r>
    <w:r>
      <w:t>x</w:t>
    </w:r>
    <w:r>
      <w:br/>
    </w:r>
    <w:r w:rsidRPr="00D623A7">
      <w:t>E/ECE/TRANS/505/Add.</w:t>
    </w:r>
    <w:r>
      <w:t>x</w:t>
    </w:r>
    <w:r w:rsidRPr="00D623A7">
      <w:t>/Rev.</w:t>
    </w:r>
    <w:r>
      <w:t>x</w:t>
    </w:r>
    <w:r w:rsidRPr="00D623A7">
      <w:t>/Amend.</w:t>
    </w:r>
    <w:r>
      <w:t>x</w:t>
    </w:r>
  </w:p>
  <w:p w:rsidR="00BF4A36" w:rsidRPr="00BF4A36" w:rsidRDefault="00BF4A36" w:rsidP="00BF4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0D3"/>
    <w:rsid w:val="00050F6B"/>
    <w:rsid w:val="00072C8C"/>
    <w:rsid w:val="000931C0"/>
    <w:rsid w:val="000B175B"/>
    <w:rsid w:val="000B3A0F"/>
    <w:rsid w:val="000D3A4F"/>
    <w:rsid w:val="000E0415"/>
    <w:rsid w:val="00106E3B"/>
    <w:rsid w:val="001220B8"/>
    <w:rsid w:val="00134B40"/>
    <w:rsid w:val="001352D9"/>
    <w:rsid w:val="00165E82"/>
    <w:rsid w:val="001B4B04"/>
    <w:rsid w:val="001C6663"/>
    <w:rsid w:val="001C7895"/>
    <w:rsid w:val="001D26DF"/>
    <w:rsid w:val="00211E0B"/>
    <w:rsid w:val="0021630E"/>
    <w:rsid w:val="002405A7"/>
    <w:rsid w:val="0024686B"/>
    <w:rsid w:val="00271A7F"/>
    <w:rsid w:val="002A1E3A"/>
    <w:rsid w:val="003107FA"/>
    <w:rsid w:val="003229D8"/>
    <w:rsid w:val="0033745A"/>
    <w:rsid w:val="0036523F"/>
    <w:rsid w:val="0039277A"/>
    <w:rsid w:val="003972E0"/>
    <w:rsid w:val="003C2CC4"/>
    <w:rsid w:val="003C3936"/>
    <w:rsid w:val="003D4B23"/>
    <w:rsid w:val="003F1ED3"/>
    <w:rsid w:val="00406D19"/>
    <w:rsid w:val="004325CB"/>
    <w:rsid w:val="00446DE4"/>
    <w:rsid w:val="004647EB"/>
    <w:rsid w:val="004A41CA"/>
    <w:rsid w:val="004E3FEB"/>
    <w:rsid w:val="00503228"/>
    <w:rsid w:val="00505384"/>
    <w:rsid w:val="00522890"/>
    <w:rsid w:val="00534E6D"/>
    <w:rsid w:val="005420F2"/>
    <w:rsid w:val="00543BEB"/>
    <w:rsid w:val="0054561B"/>
    <w:rsid w:val="005B3DB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0D3"/>
    <w:rsid w:val="007C4F4B"/>
    <w:rsid w:val="007F0B83"/>
    <w:rsid w:val="007F6611"/>
    <w:rsid w:val="008175E9"/>
    <w:rsid w:val="008242D7"/>
    <w:rsid w:val="00827E05"/>
    <w:rsid w:val="008311A3"/>
    <w:rsid w:val="00841EB5"/>
    <w:rsid w:val="0084541B"/>
    <w:rsid w:val="00871FD5"/>
    <w:rsid w:val="008979B1"/>
    <w:rsid w:val="008A6B25"/>
    <w:rsid w:val="008A6C4F"/>
    <w:rsid w:val="008E0E46"/>
    <w:rsid w:val="00907AD2"/>
    <w:rsid w:val="00941D16"/>
    <w:rsid w:val="0096333D"/>
    <w:rsid w:val="00963CBA"/>
    <w:rsid w:val="00974A8D"/>
    <w:rsid w:val="00991261"/>
    <w:rsid w:val="009F3A17"/>
    <w:rsid w:val="00A1427D"/>
    <w:rsid w:val="00A24979"/>
    <w:rsid w:val="00A569D6"/>
    <w:rsid w:val="00A72F22"/>
    <w:rsid w:val="00A748A6"/>
    <w:rsid w:val="00A85956"/>
    <w:rsid w:val="00A879A4"/>
    <w:rsid w:val="00B30179"/>
    <w:rsid w:val="00B33EC0"/>
    <w:rsid w:val="00B701B3"/>
    <w:rsid w:val="00B81E12"/>
    <w:rsid w:val="00BC2683"/>
    <w:rsid w:val="00BC358D"/>
    <w:rsid w:val="00BC74E9"/>
    <w:rsid w:val="00BD2146"/>
    <w:rsid w:val="00BD538F"/>
    <w:rsid w:val="00BE4F74"/>
    <w:rsid w:val="00BE618E"/>
    <w:rsid w:val="00BF4A36"/>
    <w:rsid w:val="00C17699"/>
    <w:rsid w:val="00C20856"/>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128C3"/>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7C40D3"/>
    <w:rPr>
      <w:lang w:eastAsia="en-US"/>
    </w:rPr>
  </w:style>
  <w:style w:type="paragraph" w:customStyle="1" w:styleId="TxBrp5">
    <w:name w:val="TxBr_p5"/>
    <w:basedOn w:val="Normal"/>
    <w:rsid w:val="007C40D3"/>
    <w:pPr>
      <w:tabs>
        <w:tab w:val="left" w:pos="4688"/>
      </w:tabs>
      <w:suppressAutoHyphens w:val="0"/>
      <w:autoSpaceDE w:val="0"/>
      <w:autoSpaceDN w:val="0"/>
      <w:adjustRightInd w:val="0"/>
      <w:ind w:left="568"/>
    </w:pPr>
    <w:rPr>
      <w:szCs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0</TotalTime>
  <Pages>2</Pages>
  <Words>432</Words>
  <Characters>2469</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3</cp:revision>
  <cp:lastPrinted>2015-06-05T12:43:00Z</cp:lastPrinted>
  <dcterms:created xsi:type="dcterms:W3CDTF">2015-06-15T11:59:00Z</dcterms:created>
  <dcterms:modified xsi:type="dcterms:W3CDTF">2015-06-22T09:37:00Z</dcterms:modified>
</cp:coreProperties>
</file>