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F4448E">
            <w:pPr>
              <w:jc w:val="right"/>
            </w:pPr>
            <w:r w:rsidRPr="00495A7B">
              <w:rPr>
                <w:sz w:val="40"/>
              </w:rPr>
              <w:t>E</w:t>
            </w:r>
            <w:r>
              <w:t>/ECE/324/</w:t>
            </w:r>
            <w:r w:rsidR="000F17F6">
              <w:t>Rev.</w:t>
            </w:r>
            <w:r w:rsidR="00FC2CA9">
              <w:t>2</w:t>
            </w:r>
            <w:r w:rsidR="000F17F6">
              <w:t>/</w:t>
            </w:r>
            <w:r>
              <w:t>Add.</w:t>
            </w:r>
            <w:r w:rsidR="00FC2CA9">
              <w:t>10</w:t>
            </w:r>
            <w:r w:rsidR="00F4448E">
              <w:t>5</w:t>
            </w:r>
            <w:r>
              <w:t>/Rev.</w:t>
            </w:r>
            <w:r w:rsidR="00F4448E">
              <w:t>2</w:t>
            </w:r>
            <w:r>
              <w:t>/Amend.</w:t>
            </w:r>
            <w:r w:rsidR="00F4448E">
              <w:t>1</w:t>
            </w:r>
            <w:r>
              <w:t>−</w:t>
            </w:r>
            <w:r w:rsidRPr="00495A7B">
              <w:rPr>
                <w:sz w:val="40"/>
              </w:rPr>
              <w:t>E</w:t>
            </w:r>
            <w:r>
              <w:t>/ECE/TRANS/505</w:t>
            </w:r>
            <w:r w:rsidR="00F4448E">
              <w:t>/Rev.2/Add.105/Rev.2/Amend.1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5C4C8F" w:rsidRPr="00DB58B5" w:rsidRDefault="006569A1" w:rsidP="00495A7B">
            <w:pPr>
              <w:spacing w:before="480" w:line="240" w:lineRule="exact"/>
            </w:pPr>
            <w:r>
              <w:t>22</w:t>
            </w:r>
            <w:bookmarkStart w:id="0" w:name="_GoBack"/>
            <w:bookmarkEnd w:id="0"/>
            <w:r w:rsidR="005C4C8F">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F4448E">
        <w:t>105</w:t>
      </w:r>
      <w:r w:rsidR="00421A10" w:rsidRPr="006549FF">
        <w:t>: Règlement</w:t>
      </w:r>
      <w:r w:rsidR="00421A10">
        <w:t xml:space="preserve"> </w:t>
      </w:r>
      <w:r w:rsidR="00421A10" w:rsidRPr="00B371BF">
        <w:t>n</w:t>
      </w:r>
      <w:r w:rsidR="00421A10" w:rsidRPr="00B371BF">
        <w:rPr>
          <w:vertAlign w:val="superscript"/>
        </w:rPr>
        <w:t>o</w:t>
      </w:r>
      <w:r w:rsidR="00421A10">
        <w:t> </w:t>
      </w:r>
      <w:r w:rsidR="00F4448E">
        <w:t>106</w:t>
      </w:r>
    </w:p>
    <w:p w:rsidR="00421A10" w:rsidRPr="006549FF" w:rsidRDefault="0029791D" w:rsidP="00242268">
      <w:pPr>
        <w:pStyle w:val="H1G"/>
        <w:spacing w:before="220" w:after="100" w:line="240" w:lineRule="exact"/>
      </w:pPr>
      <w:r>
        <w:tab/>
      </w:r>
      <w:r>
        <w:tab/>
      </w:r>
      <w:r w:rsidR="00421A10" w:rsidRPr="006549FF">
        <w:t xml:space="preserve">Révision </w:t>
      </w:r>
      <w:r w:rsidR="00F4448E">
        <w:t>2</w:t>
      </w:r>
      <w:r w:rsidR="000314C7">
        <w:t xml:space="preserve"> − Amendement </w:t>
      </w:r>
      <w:r w:rsidR="00F4448E">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F4448E">
        <w:rPr>
          <w:spacing w:val="-2"/>
        </w:rPr>
        <w:t>11</w:t>
      </w:r>
      <w:r w:rsidR="00FC2CA9" w:rsidRPr="00FC2CA9">
        <w:rPr>
          <w:spacing w:val="-2"/>
        </w:rPr>
        <w:t xml:space="preserve"> </w:t>
      </w:r>
      <w:r w:rsidRPr="00FC2CA9">
        <w:rPr>
          <w:spacing w:val="-2"/>
        </w:rPr>
        <w:t>à la</w:t>
      </w:r>
      <w:r w:rsidR="00F4448E">
        <w:rPr>
          <w:spacing w:val="-2"/>
        </w:rPr>
        <w:t xml:space="preserve"> version originale du</w:t>
      </w:r>
      <w:r w:rsidR="00015650" w:rsidRPr="00FC2CA9">
        <w:rPr>
          <w:spacing w:val="-2"/>
        </w:rPr>
        <w:t xml:space="preserve"> Règlement − Date d’entrée en vigueur: 15 jui</w:t>
      </w:r>
      <w:r w:rsidR="00A92017" w:rsidRPr="00FC2CA9">
        <w:rPr>
          <w:spacing w:val="-2"/>
        </w:rPr>
        <w:t>n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F4448E" w:rsidRPr="00F4448E">
        <w:rPr>
          <w:spacing w:val="-2"/>
        </w:rPr>
        <w:t>Prescriptions uniformes concernant l'homologation des pneumatiques pour véhicules agricoles et leurs remorques</w:t>
      </w:r>
    </w:p>
    <w:p w:rsidR="00FC2CA9" w:rsidRDefault="001D3393" w:rsidP="00FC2CA9">
      <w:pPr>
        <w:pStyle w:val="SingleTxtG"/>
        <w:rPr>
          <w:lang w:val="en-GB" w:eastAsia="en-GB"/>
        </w:rPr>
      </w:pPr>
      <w:r w:rsidRPr="001D3393">
        <w:rPr>
          <w:lang w:val="en-GB" w:eastAsia="en-GB"/>
        </w:rPr>
        <w:t>Ce document constitue un outil de documentation. Le texte authentique et contraignant juridique est ECE/TRANS/WP.29/201</w:t>
      </w:r>
      <w:r w:rsidR="00FC2CA9">
        <w:rPr>
          <w:lang w:val="en-GB" w:eastAsia="en-GB"/>
        </w:rPr>
        <w:t>4/</w:t>
      </w:r>
      <w:r w:rsidR="00F4448E">
        <w:rPr>
          <w:lang w:val="en-GB" w:eastAsia="en-GB"/>
        </w:rPr>
        <w:t>50/Rev.1</w:t>
      </w:r>
      <w:r w:rsidR="00855B79">
        <w:rPr>
          <w:lang w:val="en-GB" w:eastAsia="en-GB"/>
        </w:rPr>
        <w:t>.</w:t>
      </w:r>
    </w:p>
    <w:p w:rsidR="001F369E" w:rsidRPr="00876F4A" w:rsidRDefault="00DD1ED8" w:rsidP="001F369E">
      <w:pPr>
        <w:pStyle w:val="SingleTxtG"/>
        <w:rPr>
          <w:lang w:eastAsia="ar-SA"/>
        </w:rPr>
      </w:pPr>
      <w:r>
        <w:br w:type="page"/>
      </w:r>
      <w:r w:rsidR="001F369E" w:rsidRPr="00876F4A">
        <w:rPr>
          <w:i/>
          <w:lang w:eastAsia="ar-SA"/>
        </w:rPr>
        <w:lastRenderedPageBreak/>
        <w:t>Paragraphe 1</w:t>
      </w:r>
      <w:r w:rsidR="001F369E" w:rsidRPr="00876F4A">
        <w:rPr>
          <w:lang w:eastAsia="ar-SA"/>
        </w:rPr>
        <w:t xml:space="preserve">, </w:t>
      </w:r>
      <w:r w:rsidR="001F369E" w:rsidRPr="00876F4A">
        <w:rPr>
          <w:szCs w:val="24"/>
          <w:lang w:eastAsia="ar-SA"/>
        </w:rPr>
        <w:t xml:space="preserve">modifier </w:t>
      </w:r>
      <w:r w:rsidR="001F369E" w:rsidRPr="00876F4A">
        <w:t>comme</w:t>
      </w:r>
      <w:r w:rsidR="001F369E" w:rsidRPr="00876F4A">
        <w:rPr>
          <w:szCs w:val="24"/>
          <w:lang w:eastAsia="ar-SA"/>
        </w:rPr>
        <w:t xml:space="preserve"> suit:</w:t>
      </w:r>
    </w:p>
    <w:p w:rsidR="001F369E" w:rsidRPr="00876F4A" w:rsidRDefault="001F369E" w:rsidP="001F369E">
      <w:pPr>
        <w:pStyle w:val="SingleTxtG"/>
        <w:ind w:left="2268" w:hanging="1134"/>
      </w:pPr>
      <w:bookmarkStart w:id="1" w:name="_Toc365964465"/>
      <w:r w:rsidRPr="00876F4A">
        <w:rPr>
          <w:b/>
        </w:rPr>
        <w:t>«</w:t>
      </w:r>
      <w:r w:rsidRPr="00A57A45">
        <w:rPr>
          <w:rStyle w:val="H1GCar"/>
        </w:rPr>
        <w:t>1.</w:t>
      </w:r>
      <w:bookmarkEnd w:id="1"/>
      <w:r w:rsidRPr="00A57A45">
        <w:rPr>
          <w:rStyle w:val="H1GCar"/>
        </w:rPr>
        <w:tab/>
        <w:t>Domaine d’application</w:t>
      </w:r>
    </w:p>
    <w:p w:rsidR="001F369E" w:rsidRPr="00876F4A" w:rsidRDefault="001F369E" w:rsidP="001F369E">
      <w:pPr>
        <w:pStyle w:val="SingleTxtG"/>
        <w:ind w:left="2268"/>
      </w:pPr>
      <w:r w:rsidRPr="00876F4A">
        <w:t>…</w:t>
      </w:r>
    </w:p>
    <w:p w:rsidR="001F369E" w:rsidRPr="00876F4A" w:rsidRDefault="001F369E" w:rsidP="001F369E">
      <w:pPr>
        <w:pStyle w:val="SingleTxtG"/>
        <w:ind w:left="2268"/>
      </w:pPr>
      <w:r w:rsidRPr="00876F4A">
        <w:t>Il ne s</w:t>
      </w:r>
      <w:r>
        <w:t>’</w:t>
      </w:r>
      <w:r w:rsidRPr="00876F4A">
        <w:t>applique pas aux types de pneumatiques principalement conçus pour d</w:t>
      </w:r>
      <w:r>
        <w:t>’</w:t>
      </w:r>
      <w:r w:rsidRPr="00876F4A">
        <w:t>autres usages, tels que:</w:t>
      </w:r>
    </w:p>
    <w:p w:rsidR="001F369E" w:rsidRPr="00876F4A" w:rsidRDefault="001F369E" w:rsidP="001F369E">
      <w:pPr>
        <w:pStyle w:val="SingleTxtG"/>
        <w:ind w:left="2268"/>
        <w:jc w:val="left"/>
      </w:pPr>
      <w:r w:rsidRPr="00876F4A">
        <w:t>a)</w:t>
      </w:r>
      <w:r w:rsidRPr="00876F4A">
        <w:tab/>
        <w:t>Les engins de terrassement;</w:t>
      </w:r>
    </w:p>
    <w:p w:rsidR="001F369E" w:rsidRPr="00876F4A" w:rsidRDefault="001F369E" w:rsidP="001F369E">
      <w:pPr>
        <w:pStyle w:val="SingleTxtG"/>
        <w:ind w:left="2268"/>
        <w:jc w:val="left"/>
      </w:pPr>
      <w:r w:rsidRPr="00876F4A">
        <w:t>b)</w:t>
      </w:r>
      <w:r w:rsidRPr="00876F4A">
        <w:tab/>
        <w:t>Les engins de manutention et les chariots élévateurs.».</w:t>
      </w:r>
    </w:p>
    <w:p w:rsidR="001F369E" w:rsidRPr="00876F4A" w:rsidRDefault="001F369E" w:rsidP="001F369E">
      <w:pPr>
        <w:pStyle w:val="SingleTxtG"/>
        <w:rPr>
          <w:lang w:eastAsia="ar-SA"/>
        </w:rPr>
      </w:pPr>
      <w:r w:rsidRPr="00876F4A">
        <w:rPr>
          <w:i/>
          <w:lang w:eastAsia="ar-SA"/>
        </w:rPr>
        <w:t>Paragraphe 2.1.3</w:t>
      </w:r>
      <w:r w:rsidRPr="00876F4A">
        <w:rPr>
          <w:lang w:eastAsia="ar-SA"/>
        </w:rPr>
        <w:t xml:space="preserve">, </w:t>
      </w:r>
      <w:r w:rsidRPr="00876F4A">
        <w:rPr>
          <w:szCs w:val="24"/>
          <w:lang w:eastAsia="ar-SA"/>
        </w:rPr>
        <w:t>modifier comme suit:</w:t>
      </w:r>
    </w:p>
    <w:p w:rsidR="001F369E" w:rsidRPr="00876F4A" w:rsidRDefault="001F369E" w:rsidP="001F369E">
      <w:pPr>
        <w:pStyle w:val="SingleTxtG"/>
        <w:ind w:left="2268" w:hanging="1134"/>
      </w:pPr>
      <w:r>
        <w:t>«</w:t>
      </w:r>
      <w:r>
        <w:tab/>
      </w:r>
      <w:r w:rsidRPr="00876F4A">
        <w:t>La catégorie d</w:t>
      </w:r>
      <w:r>
        <w:t>’</w:t>
      </w:r>
      <w:r w:rsidRPr="00876F4A">
        <w:t>utilisation:</w:t>
      </w:r>
    </w:p>
    <w:p w:rsidR="001F369E" w:rsidRPr="00876F4A" w:rsidRDefault="001F369E" w:rsidP="001F369E">
      <w:pPr>
        <w:pStyle w:val="SingleTxtG"/>
        <w:ind w:left="2268"/>
        <w:rPr>
          <w:lang w:eastAsia="ar-SA"/>
        </w:rPr>
      </w:pPr>
      <w:r w:rsidRPr="00876F4A">
        <w:rPr>
          <w:lang w:eastAsia="ar-SA"/>
        </w:rPr>
        <w:t>…</w:t>
      </w:r>
    </w:p>
    <w:p w:rsidR="001F369E" w:rsidRPr="00876F4A" w:rsidRDefault="001F369E" w:rsidP="001F369E">
      <w:pPr>
        <w:pStyle w:val="SingleTxtG"/>
        <w:ind w:left="2268"/>
        <w:jc w:val="left"/>
        <w:rPr>
          <w:lang w:eastAsia="ar-SA"/>
        </w:rPr>
      </w:pPr>
      <w:r w:rsidRPr="00876F4A">
        <w:rPr>
          <w:lang w:eastAsia="ar-SA"/>
        </w:rPr>
        <w:t>g)</w:t>
      </w:r>
      <w:r w:rsidRPr="00876F4A">
        <w:rPr>
          <w:lang w:eastAsia="ar-SA"/>
        </w:rPr>
        <w:tab/>
        <w:t>Machine forestière − bande de roulement ordinaire;</w:t>
      </w:r>
    </w:p>
    <w:p w:rsidR="001F369E" w:rsidRPr="00876F4A" w:rsidRDefault="001F369E" w:rsidP="001F369E">
      <w:pPr>
        <w:pStyle w:val="SingleTxtG"/>
        <w:ind w:left="2268"/>
        <w:jc w:val="left"/>
        <w:rPr>
          <w:lang w:eastAsia="ar-SA"/>
        </w:rPr>
      </w:pPr>
      <w:r w:rsidRPr="00876F4A">
        <w:rPr>
          <w:lang w:eastAsia="ar-SA"/>
        </w:rPr>
        <w:t>h)</w:t>
      </w:r>
      <w:r w:rsidRPr="00876F4A">
        <w:rPr>
          <w:lang w:eastAsia="ar-SA"/>
        </w:rPr>
        <w:tab/>
      </w:r>
      <w:r w:rsidRPr="00876F4A">
        <w:t xml:space="preserve">Machine </w:t>
      </w:r>
      <w:r w:rsidRPr="00876F4A">
        <w:rPr>
          <w:lang w:eastAsia="ar-SA"/>
        </w:rPr>
        <w:t>forestière</w:t>
      </w:r>
      <w:r w:rsidRPr="00876F4A">
        <w:t xml:space="preserve"> − bande de roulement spéciale;</w:t>
      </w:r>
    </w:p>
    <w:p w:rsidR="001F369E" w:rsidRPr="00876F4A" w:rsidRDefault="001F369E" w:rsidP="001F369E">
      <w:pPr>
        <w:pStyle w:val="SingleTxtG"/>
        <w:ind w:left="2268"/>
        <w:jc w:val="left"/>
        <w:rPr>
          <w:lang w:eastAsia="ar-SA"/>
        </w:rPr>
      </w:pPr>
      <w:r w:rsidRPr="00876F4A">
        <w:rPr>
          <w:lang w:eastAsia="ar-SA"/>
        </w:rPr>
        <w:t>i)</w:t>
      </w:r>
      <w:r w:rsidRPr="00876F4A">
        <w:rPr>
          <w:bCs/>
          <w:lang w:eastAsia="ar-SA"/>
        </w:rPr>
        <w:tab/>
        <w:t xml:space="preserve">Engin de </w:t>
      </w:r>
      <w:r w:rsidRPr="00876F4A">
        <w:rPr>
          <w:lang w:eastAsia="ar-SA"/>
        </w:rPr>
        <w:t>travaux</w:t>
      </w:r>
      <w:r w:rsidRPr="00876F4A">
        <w:rPr>
          <w:bCs/>
          <w:lang w:eastAsia="ar-SA"/>
        </w:rPr>
        <w:t xml:space="preserve"> publics (IND);».</w:t>
      </w:r>
    </w:p>
    <w:p w:rsidR="001F369E" w:rsidRPr="00876F4A" w:rsidRDefault="001F369E" w:rsidP="001F369E">
      <w:pPr>
        <w:pStyle w:val="SingleTxtG"/>
        <w:rPr>
          <w:lang w:eastAsia="ar-SA"/>
        </w:rPr>
      </w:pPr>
      <w:r w:rsidRPr="00876F4A">
        <w:rPr>
          <w:i/>
          <w:lang w:eastAsia="ar-SA"/>
        </w:rPr>
        <w:t>Ajouter un nouveau paragraphe, 2.15.11</w:t>
      </w:r>
      <w:r w:rsidRPr="00876F4A">
        <w:rPr>
          <w:lang w:eastAsia="ar-SA"/>
        </w:rPr>
        <w:t xml:space="preserve">, ainsi </w:t>
      </w:r>
      <w:r w:rsidRPr="00876F4A">
        <w:rPr>
          <w:szCs w:val="24"/>
          <w:lang w:eastAsia="ar-SA"/>
        </w:rPr>
        <w:t>conçu</w:t>
      </w:r>
      <w:r w:rsidRPr="00876F4A">
        <w:rPr>
          <w:lang w:eastAsia="ar-SA"/>
        </w:rPr>
        <w:t>:</w:t>
      </w:r>
    </w:p>
    <w:p w:rsidR="001F369E" w:rsidRPr="00876F4A" w:rsidRDefault="001F369E" w:rsidP="001F369E">
      <w:pPr>
        <w:pStyle w:val="SingleTxtG"/>
        <w:ind w:left="2268" w:hanging="1134"/>
      </w:pPr>
      <w:r w:rsidRPr="00876F4A">
        <w:t>«2.15.11</w:t>
      </w:r>
      <w:r w:rsidRPr="00876F4A">
        <w:tab/>
        <w:t>Les lettres “IND” après le diamètre nominal de la jante dans le cas des pneumatiques pour engins de travaux publics (tracteurs industriels);».</w:t>
      </w:r>
    </w:p>
    <w:p w:rsidR="001F369E" w:rsidRPr="00876F4A" w:rsidRDefault="001F369E" w:rsidP="001F369E">
      <w:pPr>
        <w:pStyle w:val="SingleTxtG"/>
        <w:rPr>
          <w:lang w:eastAsia="ar-SA"/>
        </w:rPr>
      </w:pPr>
      <w:r w:rsidRPr="00876F4A">
        <w:rPr>
          <w:i/>
          <w:lang w:eastAsia="ar-SA"/>
        </w:rPr>
        <w:t>Ajouter un nouveau paragraphe, 2.42</w:t>
      </w:r>
      <w:r w:rsidRPr="00876F4A">
        <w:rPr>
          <w:lang w:eastAsia="ar-SA"/>
        </w:rPr>
        <w:t>,</w:t>
      </w:r>
      <w:r w:rsidRPr="00876F4A">
        <w:rPr>
          <w:i/>
          <w:lang w:eastAsia="ar-SA"/>
        </w:rPr>
        <w:t xml:space="preserve"> </w:t>
      </w:r>
      <w:r w:rsidRPr="00876F4A">
        <w:rPr>
          <w:lang w:eastAsia="ar-SA"/>
        </w:rPr>
        <w:t xml:space="preserve">ainsi </w:t>
      </w:r>
      <w:r w:rsidRPr="00876F4A">
        <w:rPr>
          <w:szCs w:val="24"/>
          <w:lang w:eastAsia="ar-SA"/>
        </w:rPr>
        <w:t>conçu</w:t>
      </w:r>
      <w:r w:rsidRPr="00876F4A">
        <w:rPr>
          <w:lang w:eastAsia="ar-SA"/>
        </w:rPr>
        <w:t>:</w:t>
      </w:r>
    </w:p>
    <w:p w:rsidR="001F369E" w:rsidRPr="00876F4A" w:rsidRDefault="001F369E" w:rsidP="001F369E">
      <w:pPr>
        <w:pStyle w:val="SingleTxtG"/>
        <w:ind w:left="2268" w:hanging="1134"/>
        <w:rPr>
          <w:b/>
          <w:bCs/>
          <w:color w:val="231F20"/>
          <w:lang w:eastAsia="ar-SA"/>
        </w:rPr>
      </w:pPr>
      <w:r w:rsidRPr="00876F4A">
        <w:t>«2.42</w:t>
      </w:r>
      <w:r w:rsidRPr="00876F4A">
        <w:tab/>
        <w:t>“</w:t>
      </w:r>
      <w:r w:rsidRPr="00876F4A">
        <w:rPr>
          <w:i/>
        </w:rPr>
        <w:t>Pneumatique pour engin de travaux publics (tracteur industriel)</w:t>
      </w:r>
      <w:r w:rsidRPr="00876F4A">
        <w:t>”, un pneumatique conçu pour équiper les tracteurs industriels, chargeuses</w:t>
      </w:r>
      <w:r w:rsidRPr="00876F4A">
        <w:noBreakHyphen/>
        <w:t>pelleteuses et autres véhicules utilisés dans l</w:t>
      </w:r>
      <w:r>
        <w:t>’</w:t>
      </w:r>
      <w:r w:rsidRPr="00876F4A">
        <w:t>industrie ou les travaux publics (par exemple, les chargeuses, les excavatrices, etc.), ou certains véhicules agricoles (par exemple, les chargeuses télescopiques).».</w:t>
      </w:r>
    </w:p>
    <w:p w:rsidR="001F369E" w:rsidRPr="00876F4A" w:rsidRDefault="001F369E" w:rsidP="001F369E">
      <w:pPr>
        <w:pStyle w:val="SingleTxtG"/>
        <w:rPr>
          <w:i/>
          <w:lang w:eastAsia="en-GB"/>
        </w:rPr>
      </w:pPr>
      <w:r w:rsidRPr="00876F4A">
        <w:rPr>
          <w:i/>
          <w:lang w:eastAsia="en-GB"/>
        </w:rPr>
        <w:t>Paragraphes 3.1.4.1 et 3.1.4.2</w:t>
      </w:r>
      <w:r w:rsidRPr="00A57A45">
        <w:rPr>
          <w:lang w:eastAsia="en-GB"/>
        </w:rPr>
        <w:t>,</w:t>
      </w:r>
      <w:r w:rsidRPr="00876F4A">
        <w:rPr>
          <w:i/>
          <w:lang w:eastAsia="en-GB"/>
        </w:rPr>
        <w:t xml:space="preserve"> </w:t>
      </w:r>
      <w:r w:rsidRPr="00876F4A">
        <w:rPr>
          <w:lang w:eastAsia="en-GB"/>
        </w:rPr>
        <w:t>modifier comme suit:</w:t>
      </w:r>
    </w:p>
    <w:p w:rsidR="001F369E" w:rsidRPr="00876F4A" w:rsidRDefault="001F369E" w:rsidP="001F369E">
      <w:pPr>
        <w:pStyle w:val="SingleTxtG"/>
        <w:ind w:left="2268" w:hanging="1134"/>
        <w:rPr>
          <w:szCs w:val="24"/>
          <w:lang w:eastAsia="en-GB"/>
        </w:rPr>
      </w:pPr>
      <w:r>
        <w:t>«</w:t>
      </w:r>
      <w:r w:rsidRPr="00876F4A">
        <w:t>3.1.4.1</w:t>
      </w:r>
      <w:r w:rsidRPr="00876F4A">
        <w:tab/>
        <w:t>Sur les pneumatiques pour machines agricoles, la description d</w:t>
      </w:r>
      <w:r>
        <w:t>’</w:t>
      </w:r>
      <w:r w:rsidRPr="00876F4A">
        <w:t>utilisation accompagnée du symbole d</w:t>
      </w:r>
      <w:r>
        <w:t>’</w:t>
      </w:r>
      <w:r w:rsidRPr="00876F4A">
        <w:t>application approprié;</w:t>
      </w:r>
    </w:p>
    <w:p w:rsidR="001F369E" w:rsidRPr="00876F4A" w:rsidRDefault="001F369E" w:rsidP="001F369E">
      <w:pPr>
        <w:pStyle w:val="SingleTxtG"/>
        <w:ind w:left="2268" w:hanging="1134"/>
      </w:pPr>
      <w:r w:rsidRPr="00876F4A">
        <w:t>3.1.4.2</w:t>
      </w:r>
      <w:r w:rsidRPr="00876F4A">
        <w:tab/>
        <w:t>Sur les pneumatiques polyvalents pour machines agricoles, deux descriptions d</w:t>
      </w:r>
      <w:r>
        <w:t>’</w:t>
      </w:r>
      <w:r w:rsidRPr="00876F4A">
        <w:t>utilisation, la première pour les applications “remorque” et la seconde pour les applications “tracteur”;».</w:t>
      </w:r>
    </w:p>
    <w:p w:rsidR="001F369E" w:rsidRPr="00876F4A" w:rsidRDefault="001F369E" w:rsidP="001F369E">
      <w:pPr>
        <w:pStyle w:val="SingleTxtG"/>
        <w:rPr>
          <w:lang w:eastAsia="ar-SA"/>
        </w:rPr>
      </w:pPr>
      <w:r w:rsidRPr="00876F4A">
        <w:rPr>
          <w:i/>
          <w:lang w:eastAsia="ar-SA"/>
        </w:rPr>
        <w:t>Paragraphe 3.1.7</w:t>
      </w:r>
      <w:r w:rsidRPr="00876F4A">
        <w:rPr>
          <w:lang w:eastAsia="ar-SA"/>
        </w:rPr>
        <w:t xml:space="preserve">, </w:t>
      </w:r>
      <w:r w:rsidRPr="00876F4A">
        <w:rPr>
          <w:szCs w:val="24"/>
          <w:lang w:eastAsia="ar-SA"/>
        </w:rPr>
        <w:t>modifier comme suit:</w:t>
      </w:r>
    </w:p>
    <w:p w:rsidR="001F369E" w:rsidRPr="00876F4A" w:rsidRDefault="001F369E" w:rsidP="001F369E">
      <w:pPr>
        <w:pStyle w:val="SingleTxtG"/>
        <w:ind w:left="2268" w:hanging="1134"/>
      </w:pPr>
      <w:r w:rsidRPr="00876F4A">
        <w:t>«3.1.7</w:t>
      </w:r>
      <w:r w:rsidRPr="00876F4A">
        <w:tab/>
        <w:t>Les mentions “F-1”, “F-2” ou “F-3” sur les pneumatiques pour roues directrices de tracteur ne portant pas encore l</w:t>
      </w:r>
      <w:r>
        <w:t>’</w:t>
      </w:r>
      <w:r w:rsidRPr="00876F4A">
        <w:t>inscription prévue au paragraphe 2.15.6 ci-dessus;».</w:t>
      </w:r>
    </w:p>
    <w:p w:rsidR="001F369E" w:rsidRPr="00876F4A" w:rsidRDefault="001F369E" w:rsidP="001F369E">
      <w:pPr>
        <w:pStyle w:val="SingleTxtG"/>
        <w:rPr>
          <w:lang w:eastAsia="ar-SA"/>
        </w:rPr>
      </w:pPr>
      <w:r w:rsidRPr="00876F4A">
        <w:rPr>
          <w:i/>
          <w:lang w:eastAsia="ar-SA"/>
        </w:rPr>
        <w:t>Paragraphe 3.1.12</w:t>
      </w:r>
      <w:r w:rsidRPr="00876F4A">
        <w:rPr>
          <w:lang w:eastAsia="ar-SA"/>
        </w:rPr>
        <w:t xml:space="preserve">, </w:t>
      </w:r>
      <w:r w:rsidRPr="00876F4A">
        <w:rPr>
          <w:szCs w:val="24"/>
          <w:lang w:eastAsia="ar-SA"/>
        </w:rPr>
        <w:t>modifier comme suit:</w:t>
      </w:r>
    </w:p>
    <w:p w:rsidR="001F369E" w:rsidRPr="00876F4A" w:rsidRDefault="001F369E" w:rsidP="001F369E">
      <w:pPr>
        <w:pStyle w:val="SingleTxtG"/>
        <w:ind w:left="2268" w:hanging="1134"/>
      </w:pPr>
      <w:r w:rsidRPr="00876F4A">
        <w:t>«3.1.12</w:t>
      </w:r>
      <w:r w:rsidRPr="00876F4A">
        <w:tab/>
        <w:t xml:space="preserve">La mention “IF” devant la </w:t>
      </w:r>
      <w:r w:rsidRPr="00876F4A">
        <w:rPr>
          <w:lang w:eastAsia="ar-SA"/>
        </w:rPr>
        <w:t>désignation</w:t>
      </w:r>
      <w:r w:rsidRPr="00876F4A">
        <w:t xml:space="preserve"> de la dimension du pneumatique lorsqu</w:t>
      </w:r>
      <w:r>
        <w:t>’</w:t>
      </w:r>
      <w:r w:rsidRPr="00876F4A">
        <w:t>il s</w:t>
      </w:r>
      <w:r>
        <w:t>’</w:t>
      </w:r>
      <w:r w:rsidRPr="00876F4A">
        <w:t>agit d</w:t>
      </w:r>
      <w:r>
        <w:t>’</w:t>
      </w:r>
      <w:r w:rsidRPr="00876F4A">
        <w:t>un pneumatique à enfoncement amélioré;</w:t>
      </w:r>
    </w:p>
    <w:p w:rsidR="001F369E" w:rsidRPr="00876F4A" w:rsidRDefault="001F369E" w:rsidP="001F369E">
      <w:pPr>
        <w:pStyle w:val="SingleTxtG"/>
        <w:ind w:left="2268"/>
        <w:jc w:val="left"/>
      </w:pPr>
      <w:r w:rsidRPr="00876F4A">
        <w:t>La mention “VF” devant la désignation de la dimension du pneumatique lorsqu</w:t>
      </w:r>
      <w:r>
        <w:t>’</w:t>
      </w:r>
      <w:r w:rsidRPr="00876F4A">
        <w:t>il s</w:t>
      </w:r>
      <w:r>
        <w:t>’</w:t>
      </w:r>
      <w:r w:rsidRPr="00876F4A">
        <w:t>agit d</w:t>
      </w:r>
      <w:r>
        <w:t>’</w:t>
      </w:r>
      <w:r w:rsidRPr="00876F4A">
        <w:t>un pneumatique à très grand enfoncement;».</w:t>
      </w:r>
    </w:p>
    <w:p w:rsidR="001F369E" w:rsidRPr="00876F4A" w:rsidRDefault="001F369E" w:rsidP="001F369E">
      <w:pPr>
        <w:pStyle w:val="SingleTxtG"/>
        <w:keepNext/>
        <w:rPr>
          <w:lang w:eastAsia="ar-SA"/>
        </w:rPr>
      </w:pPr>
      <w:r w:rsidRPr="00876F4A">
        <w:rPr>
          <w:i/>
          <w:lang w:eastAsia="ar-SA"/>
        </w:rPr>
        <w:lastRenderedPageBreak/>
        <w:t>Ajouter un nouveau paragraphe 3.1.13</w:t>
      </w:r>
      <w:r w:rsidRPr="00A57A45">
        <w:rPr>
          <w:lang w:eastAsia="ar-SA"/>
        </w:rPr>
        <w:t>,</w:t>
      </w:r>
      <w:r w:rsidRPr="00876F4A">
        <w:rPr>
          <w:lang w:eastAsia="ar-SA"/>
        </w:rPr>
        <w:t xml:space="preserve"> ainsi </w:t>
      </w:r>
      <w:r w:rsidRPr="00876F4A">
        <w:rPr>
          <w:szCs w:val="24"/>
          <w:lang w:eastAsia="ar-SA"/>
        </w:rPr>
        <w:t>conçu</w:t>
      </w:r>
      <w:r>
        <w:rPr>
          <w:lang w:eastAsia="ar-SA"/>
        </w:rPr>
        <w:t>:</w:t>
      </w:r>
    </w:p>
    <w:p w:rsidR="001F369E" w:rsidRPr="00876F4A" w:rsidRDefault="001F369E" w:rsidP="001F369E">
      <w:pPr>
        <w:pStyle w:val="SingleTxtG"/>
        <w:ind w:left="2268" w:hanging="1134"/>
        <w:rPr>
          <w:lang w:eastAsia="ar-SA"/>
        </w:rPr>
      </w:pPr>
      <w:r w:rsidRPr="00876F4A">
        <w:rPr>
          <w:bCs/>
          <w:lang w:eastAsia="ar-SA"/>
        </w:rPr>
        <w:t>«3.1.13</w:t>
      </w:r>
      <w:r w:rsidRPr="00876F4A">
        <w:rPr>
          <w:bCs/>
          <w:lang w:eastAsia="ar-SA"/>
        </w:rPr>
        <w:tab/>
        <w:t xml:space="preserve">La mention “R-4” sur </w:t>
      </w:r>
      <w:r w:rsidRPr="00876F4A">
        <w:t>les</w:t>
      </w:r>
      <w:r w:rsidRPr="00876F4A">
        <w:rPr>
          <w:bCs/>
          <w:lang w:eastAsia="ar-SA"/>
        </w:rPr>
        <w:t xml:space="preserve"> pneumatiques pour engins de travaux publics, identifiés au tableau 9 de </w:t>
      </w:r>
      <w:r w:rsidRPr="00876F4A">
        <w:t>l</w:t>
      </w:r>
      <w:r>
        <w:t>’</w:t>
      </w:r>
      <w:r w:rsidRPr="00876F4A">
        <w:t>annexe</w:t>
      </w:r>
      <w:r w:rsidRPr="00876F4A">
        <w:rPr>
          <w:bCs/>
          <w:lang w:eastAsia="ar-SA"/>
        </w:rPr>
        <w:t xml:space="preserve"> 5, </w:t>
      </w:r>
      <w:r w:rsidRPr="00876F4A">
        <w:t>ne</w:t>
      </w:r>
      <w:r w:rsidRPr="00876F4A">
        <w:rPr>
          <w:bCs/>
          <w:lang w:eastAsia="ar-SA"/>
        </w:rPr>
        <w:t xml:space="preserve"> portant pas encore la marque prévue au paragraphe 2.15.11 ci-dessus.».</w:t>
      </w:r>
    </w:p>
    <w:p w:rsidR="001F369E" w:rsidRPr="00876F4A" w:rsidRDefault="001F369E" w:rsidP="001F369E">
      <w:pPr>
        <w:pStyle w:val="SingleTxtG"/>
        <w:rPr>
          <w:szCs w:val="24"/>
          <w:lang w:eastAsia="en-GB"/>
        </w:rPr>
      </w:pPr>
      <w:r w:rsidRPr="00876F4A">
        <w:rPr>
          <w:i/>
          <w:szCs w:val="24"/>
          <w:lang w:eastAsia="ar-SA"/>
        </w:rPr>
        <w:t>L</w:t>
      </w:r>
      <w:r>
        <w:rPr>
          <w:i/>
          <w:szCs w:val="24"/>
          <w:lang w:eastAsia="ar-SA"/>
        </w:rPr>
        <w:t>’</w:t>
      </w:r>
      <w:r w:rsidRPr="00876F4A">
        <w:rPr>
          <w:i/>
          <w:szCs w:val="24"/>
          <w:lang w:eastAsia="ar-SA"/>
        </w:rPr>
        <w:t>ancien paragraphe 3.1.13</w:t>
      </w:r>
      <w:r w:rsidRPr="00876F4A">
        <w:rPr>
          <w:szCs w:val="24"/>
          <w:lang w:eastAsia="ar-SA"/>
        </w:rPr>
        <w:t xml:space="preserve"> devient le paragraphe 3.2.</w:t>
      </w:r>
    </w:p>
    <w:p w:rsidR="001F369E" w:rsidRPr="00876F4A" w:rsidRDefault="001F369E" w:rsidP="001F369E">
      <w:pPr>
        <w:pStyle w:val="SingleTxtG"/>
        <w:rPr>
          <w:i/>
          <w:lang w:eastAsia="ar-SA"/>
        </w:rPr>
      </w:pPr>
      <w:r w:rsidRPr="00876F4A">
        <w:rPr>
          <w:i/>
          <w:lang w:eastAsia="en-GB"/>
        </w:rPr>
        <w:t>Les paragraphes 3.2 à 3.5</w:t>
      </w:r>
      <w:r w:rsidRPr="00876F4A">
        <w:rPr>
          <w:lang w:eastAsia="en-GB"/>
        </w:rPr>
        <w:t xml:space="preserve"> deviennent les </w:t>
      </w:r>
      <w:r w:rsidRPr="00876F4A">
        <w:rPr>
          <w:szCs w:val="24"/>
          <w:lang w:eastAsia="ar-SA"/>
        </w:rPr>
        <w:t>paragraphes</w:t>
      </w:r>
      <w:r w:rsidRPr="00876F4A">
        <w:rPr>
          <w:lang w:eastAsia="en-GB"/>
        </w:rPr>
        <w:t> 3.3 à 3.6</w:t>
      </w:r>
      <w:r w:rsidRPr="00876F4A">
        <w:rPr>
          <w:i/>
          <w:lang w:eastAsia="en-GB"/>
        </w:rPr>
        <w:t>.</w:t>
      </w:r>
    </w:p>
    <w:p w:rsidR="001F369E" w:rsidRPr="00876F4A" w:rsidRDefault="001F369E" w:rsidP="001F369E">
      <w:pPr>
        <w:pStyle w:val="SingleTxtG"/>
        <w:rPr>
          <w:lang w:eastAsia="ar-SA"/>
        </w:rPr>
      </w:pPr>
      <w:r w:rsidRPr="00876F4A">
        <w:rPr>
          <w:i/>
          <w:lang w:eastAsia="ar-SA"/>
        </w:rPr>
        <w:t>Paragraphe 6.4.2</w:t>
      </w:r>
      <w:r w:rsidRPr="00A57A45">
        <w:rPr>
          <w:lang w:eastAsia="ar-SA"/>
        </w:rPr>
        <w:t>,</w:t>
      </w:r>
      <w:r w:rsidRPr="00876F4A">
        <w:rPr>
          <w:lang w:eastAsia="ar-SA"/>
        </w:rPr>
        <w:t xml:space="preserve"> ajouter à la fin du tableau une </w:t>
      </w:r>
      <w:r w:rsidRPr="00876F4A">
        <w:rPr>
          <w:szCs w:val="24"/>
          <w:lang w:eastAsia="ar-SA"/>
        </w:rPr>
        <w:t>nouvelle</w:t>
      </w:r>
      <w:r w:rsidRPr="00876F4A">
        <w:rPr>
          <w:lang w:eastAsia="ar-SA"/>
        </w:rPr>
        <w:t xml:space="preserve"> rangée, ainsi conçue: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1134"/>
        <w:gridCol w:w="1134"/>
        <w:gridCol w:w="1134"/>
        <w:gridCol w:w="1134"/>
      </w:tblGrid>
      <w:tr w:rsidR="001F369E" w:rsidRPr="00876F4A" w:rsidTr="004130B4">
        <w:tc>
          <w:tcPr>
            <w:tcW w:w="2835" w:type="dxa"/>
            <w:tcBorders>
              <w:bottom w:val="nil"/>
            </w:tcBorders>
            <w:shd w:val="clear" w:color="auto" w:fill="auto"/>
          </w:tcPr>
          <w:p w:rsidR="001F369E" w:rsidRPr="00876F4A" w:rsidRDefault="001F369E" w:rsidP="004130B4">
            <w:pPr>
              <w:spacing w:before="60" w:after="60"/>
              <w:ind w:left="57" w:right="57"/>
              <w:rPr>
                <w:u w:val="dashLong"/>
                <w:lang w:eastAsia="ar-SA"/>
              </w:rPr>
            </w:pPr>
            <w:r w:rsidRPr="00876F4A">
              <w:rPr>
                <w:lang w:eastAsia="ar-SA"/>
              </w:rPr>
              <w:t>…</w:t>
            </w:r>
          </w:p>
        </w:tc>
        <w:tc>
          <w:tcPr>
            <w:tcW w:w="1134" w:type="dxa"/>
            <w:tcBorders>
              <w:bottom w:val="nil"/>
            </w:tcBorders>
            <w:shd w:val="clear" w:color="auto" w:fill="auto"/>
          </w:tcPr>
          <w:p w:rsidR="001F369E" w:rsidRPr="00876F4A" w:rsidRDefault="001F369E" w:rsidP="004130B4">
            <w:pPr>
              <w:spacing w:before="60" w:after="60"/>
              <w:ind w:left="57" w:right="57"/>
              <w:jc w:val="center"/>
              <w:rPr>
                <w:u w:val="dashLong"/>
                <w:lang w:eastAsia="ar-SA"/>
              </w:rPr>
            </w:pPr>
          </w:p>
        </w:tc>
        <w:tc>
          <w:tcPr>
            <w:tcW w:w="1134" w:type="dxa"/>
            <w:tcBorders>
              <w:bottom w:val="nil"/>
            </w:tcBorders>
            <w:shd w:val="clear" w:color="auto" w:fill="auto"/>
          </w:tcPr>
          <w:p w:rsidR="001F369E" w:rsidRPr="00876F4A" w:rsidRDefault="001F369E" w:rsidP="004130B4">
            <w:pPr>
              <w:spacing w:before="60" w:after="60"/>
              <w:ind w:left="57" w:right="57"/>
              <w:jc w:val="center"/>
              <w:rPr>
                <w:u w:val="dashLong"/>
                <w:lang w:eastAsia="ar-SA"/>
              </w:rPr>
            </w:pPr>
          </w:p>
        </w:tc>
        <w:tc>
          <w:tcPr>
            <w:tcW w:w="1134" w:type="dxa"/>
            <w:tcBorders>
              <w:bottom w:val="nil"/>
            </w:tcBorders>
            <w:shd w:val="clear" w:color="auto" w:fill="auto"/>
          </w:tcPr>
          <w:p w:rsidR="001F369E" w:rsidRPr="00876F4A" w:rsidRDefault="001F369E" w:rsidP="004130B4">
            <w:pPr>
              <w:spacing w:before="60" w:after="60"/>
              <w:ind w:left="57" w:right="57"/>
              <w:jc w:val="center"/>
              <w:rPr>
                <w:u w:val="dashLong"/>
                <w:lang w:eastAsia="ar-SA"/>
              </w:rPr>
            </w:pPr>
          </w:p>
        </w:tc>
        <w:tc>
          <w:tcPr>
            <w:tcW w:w="1134" w:type="dxa"/>
            <w:tcBorders>
              <w:bottom w:val="nil"/>
            </w:tcBorders>
            <w:shd w:val="clear" w:color="auto" w:fill="auto"/>
          </w:tcPr>
          <w:p w:rsidR="001F369E" w:rsidRPr="00876F4A" w:rsidRDefault="001F369E" w:rsidP="004130B4">
            <w:pPr>
              <w:spacing w:before="60" w:after="60"/>
              <w:ind w:left="57" w:right="57"/>
              <w:jc w:val="center"/>
              <w:rPr>
                <w:u w:val="dashLong"/>
                <w:lang w:eastAsia="ar-SA"/>
              </w:rPr>
            </w:pPr>
          </w:p>
        </w:tc>
      </w:tr>
      <w:tr w:rsidR="001F369E" w:rsidRPr="00876F4A" w:rsidTr="004130B4">
        <w:tc>
          <w:tcPr>
            <w:tcW w:w="2835" w:type="dxa"/>
            <w:tcBorders>
              <w:top w:val="nil"/>
            </w:tcBorders>
            <w:shd w:val="clear" w:color="auto" w:fill="auto"/>
          </w:tcPr>
          <w:p w:rsidR="001F369E" w:rsidRPr="00876F4A" w:rsidRDefault="001F369E" w:rsidP="004130B4">
            <w:pPr>
              <w:spacing w:before="60" w:after="60"/>
              <w:ind w:left="57" w:right="57"/>
              <w:rPr>
                <w:u w:val="dashLong"/>
                <w:lang w:eastAsia="ar-SA"/>
              </w:rPr>
            </w:pPr>
            <w:r w:rsidRPr="00876F4A">
              <w:rPr>
                <w:lang w:eastAsia="ar-SA"/>
              </w:rPr>
              <w:t>Pour engins de travaux publics</w:t>
            </w:r>
          </w:p>
        </w:tc>
        <w:tc>
          <w:tcPr>
            <w:tcW w:w="1134" w:type="dxa"/>
            <w:tcBorders>
              <w:top w:val="nil"/>
            </w:tcBorders>
            <w:shd w:val="clear" w:color="auto" w:fill="auto"/>
          </w:tcPr>
          <w:p w:rsidR="001F369E" w:rsidRPr="00876F4A" w:rsidRDefault="001F369E" w:rsidP="004130B4">
            <w:pPr>
              <w:spacing w:before="60" w:after="60"/>
              <w:ind w:left="57" w:right="57"/>
              <w:jc w:val="center"/>
              <w:rPr>
                <w:u w:val="dashLong"/>
                <w:lang w:eastAsia="ar-SA"/>
              </w:rPr>
            </w:pPr>
            <w:r w:rsidRPr="00876F4A">
              <w:rPr>
                <w:lang w:eastAsia="ar-SA"/>
              </w:rPr>
              <w:t>0,96</w:t>
            </w:r>
          </w:p>
        </w:tc>
        <w:tc>
          <w:tcPr>
            <w:tcW w:w="1134" w:type="dxa"/>
            <w:tcBorders>
              <w:top w:val="nil"/>
            </w:tcBorders>
            <w:shd w:val="clear" w:color="auto" w:fill="auto"/>
          </w:tcPr>
          <w:p w:rsidR="001F369E" w:rsidRPr="00876F4A" w:rsidRDefault="001F369E" w:rsidP="004130B4">
            <w:pPr>
              <w:spacing w:before="60" w:after="60"/>
              <w:ind w:left="57" w:right="57"/>
              <w:jc w:val="center"/>
              <w:rPr>
                <w:u w:val="dashLong"/>
                <w:lang w:eastAsia="ar-SA"/>
              </w:rPr>
            </w:pPr>
            <w:r w:rsidRPr="00876F4A">
              <w:rPr>
                <w:lang w:eastAsia="ar-SA"/>
              </w:rPr>
              <w:t>1,04</w:t>
            </w:r>
          </w:p>
        </w:tc>
        <w:tc>
          <w:tcPr>
            <w:tcW w:w="1134" w:type="dxa"/>
            <w:tcBorders>
              <w:top w:val="nil"/>
            </w:tcBorders>
            <w:shd w:val="clear" w:color="auto" w:fill="auto"/>
          </w:tcPr>
          <w:p w:rsidR="001F369E" w:rsidRPr="00876F4A" w:rsidRDefault="001F369E" w:rsidP="004130B4">
            <w:pPr>
              <w:spacing w:before="60" w:after="60"/>
              <w:ind w:left="57" w:right="57"/>
              <w:jc w:val="center"/>
              <w:rPr>
                <w:u w:val="dashLong"/>
                <w:lang w:eastAsia="ar-SA"/>
              </w:rPr>
            </w:pPr>
            <w:r w:rsidRPr="00876F4A">
              <w:rPr>
                <w:lang w:eastAsia="ar-SA"/>
              </w:rPr>
              <w:t>0,97</w:t>
            </w:r>
          </w:p>
        </w:tc>
        <w:tc>
          <w:tcPr>
            <w:tcW w:w="1134" w:type="dxa"/>
            <w:tcBorders>
              <w:top w:val="nil"/>
            </w:tcBorders>
            <w:shd w:val="clear" w:color="auto" w:fill="auto"/>
          </w:tcPr>
          <w:p w:rsidR="001F369E" w:rsidRPr="00876F4A" w:rsidRDefault="001F369E" w:rsidP="004130B4">
            <w:pPr>
              <w:spacing w:before="60" w:after="60"/>
              <w:ind w:left="57" w:right="57"/>
              <w:jc w:val="center"/>
              <w:rPr>
                <w:lang w:eastAsia="ar-SA"/>
              </w:rPr>
            </w:pPr>
            <w:r w:rsidRPr="00876F4A">
              <w:rPr>
                <w:lang w:eastAsia="ar-SA"/>
              </w:rPr>
              <w:t>1,07</w:t>
            </w:r>
          </w:p>
        </w:tc>
      </w:tr>
    </w:tbl>
    <w:p w:rsidR="00855B79" w:rsidRDefault="001F369E" w:rsidP="001F369E">
      <w:pPr>
        <w:pStyle w:val="SingleTxtG"/>
        <w:spacing w:before="240"/>
        <w:rPr>
          <w:lang w:eastAsia="ar-SA"/>
        </w:rPr>
      </w:pPr>
      <w:r w:rsidRPr="00876F4A">
        <w:rPr>
          <w:i/>
          <w:lang w:eastAsia="ar-SA"/>
        </w:rPr>
        <w:t>Annexe 3,</w:t>
      </w:r>
      <w:r w:rsidRPr="00876F4A">
        <w:rPr>
          <w:lang w:eastAsia="ar-SA"/>
        </w:rPr>
        <w:t xml:space="preserve"> </w:t>
      </w:r>
    </w:p>
    <w:p w:rsidR="001F369E" w:rsidRPr="00876F4A" w:rsidRDefault="00855B79" w:rsidP="001F369E">
      <w:pPr>
        <w:pStyle w:val="SingleTxtG"/>
        <w:spacing w:before="240"/>
        <w:rPr>
          <w:lang w:eastAsia="ar-SA"/>
        </w:rPr>
      </w:pPr>
      <w:r>
        <w:rPr>
          <w:lang w:eastAsia="ar-SA"/>
        </w:rPr>
        <w:t>A</w:t>
      </w:r>
      <w:r w:rsidR="001F369E" w:rsidRPr="00876F4A">
        <w:rPr>
          <w:i/>
          <w:lang w:eastAsia="ar-SA"/>
        </w:rPr>
        <w:t>jouter une nouvelle partie, E</w:t>
      </w:r>
      <w:r w:rsidR="001F369E" w:rsidRPr="00A57A45">
        <w:rPr>
          <w:lang w:eastAsia="ar-SA"/>
        </w:rPr>
        <w:t xml:space="preserve">, </w:t>
      </w:r>
      <w:r w:rsidR="001F369E" w:rsidRPr="00876F4A">
        <w:rPr>
          <w:lang w:eastAsia="ar-SA"/>
        </w:rPr>
        <w:t xml:space="preserve">ainsi </w:t>
      </w:r>
      <w:r w:rsidR="001F369E" w:rsidRPr="00876F4A">
        <w:rPr>
          <w:szCs w:val="24"/>
          <w:lang w:eastAsia="ar-SA"/>
        </w:rPr>
        <w:t>conçue</w:t>
      </w:r>
      <w:r w:rsidR="001F369E" w:rsidRPr="00876F4A">
        <w:rPr>
          <w:lang w:eastAsia="ar-SA"/>
        </w:rPr>
        <w:t>:</w:t>
      </w:r>
    </w:p>
    <w:p w:rsidR="001F369E" w:rsidRPr="00876F4A" w:rsidRDefault="001F369E" w:rsidP="001F369E">
      <w:pPr>
        <w:pStyle w:val="SingleTxtG"/>
        <w:rPr>
          <w:b/>
          <w:lang w:eastAsia="ar-SA"/>
        </w:rPr>
      </w:pPr>
      <w:r w:rsidRPr="00876F4A">
        <w:rPr>
          <w:lang w:eastAsia="ar-SA"/>
        </w:rPr>
        <w:t xml:space="preserve">«Partie E: Pneumatiques pour engins de travaux </w:t>
      </w:r>
      <w:r w:rsidRPr="00876F4A">
        <w:rPr>
          <w:szCs w:val="24"/>
          <w:lang w:eastAsia="ar-SA"/>
        </w:rPr>
        <w:t>publics</w:t>
      </w:r>
      <w:r w:rsidRPr="00876F4A">
        <w:rPr>
          <w:lang w:eastAsia="ar-SA"/>
        </w:rPr>
        <w:t xml:space="preserve"> (tracteurs industriels)</w:t>
      </w:r>
    </w:p>
    <w:p w:rsidR="001F369E" w:rsidRDefault="001F369E" w:rsidP="001F369E">
      <w:pPr>
        <w:pStyle w:val="SingleTxtG"/>
        <w:rPr>
          <w:lang w:eastAsia="ar-SA"/>
        </w:rPr>
      </w:pPr>
      <w:r w:rsidRPr="00876F4A">
        <w:rPr>
          <w:lang w:eastAsia="ar-SA"/>
        </w:rPr>
        <w:t>Exemples d</w:t>
      </w:r>
      <w:r>
        <w:rPr>
          <w:lang w:eastAsia="ar-SA"/>
        </w:rPr>
        <w:t>’</w:t>
      </w:r>
      <w:r w:rsidRPr="00876F4A">
        <w:rPr>
          <w:lang w:eastAsia="ar-SA"/>
        </w:rPr>
        <w:t>inscriptions devant figurer sur les types de pneumatiques satisfaisant au présent Règlement:</w:t>
      </w:r>
    </w:p>
    <w:tbl>
      <w:tblPr>
        <w:tblW w:w="6237" w:type="dxa"/>
        <w:tblInd w:w="1701" w:type="dxa"/>
        <w:tblLayout w:type="fixed"/>
        <w:tblCellMar>
          <w:left w:w="0" w:type="dxa"/>
          <w:right w:w="0" w:type="dxa"/>
        </w:tblCellMar>
        <w:tblLook w:val="01E0" w:firstRow="1" w:lastRow="1" w:firstColumn="1" w:lastColumn="1" w:noHBand="0" w:noVBand="0"/>
      </w:tblPr>
      <w:tblGrid>
        <w:gridCol w:w="227"/>
        <w:gridCol w:w="340"/>
        <w:gridCol w:w="567"/>
        <w:gridCol w:w="142"/>
        <w:gridCol w:w="142"/>
        <w:gridCol w:w="283"/>
        <w:gridCol w:w="227"/>
        <w:gridCol w:w="482"/>
        <w:gridCol w:w="142"/>
        <w:gridCol w:w="227"/>
        <w:gridCol w:w="56"/>
        <w:gridCol w:w="171"/>
        <w:gridCol w:w="538"/>
        <w:gridCol w:w="284"/>
        <w:gridCol w:w="29"/>
        <w:gridCol w:w="227"/>
        <w:gridCol w:w="311"/>
        <w:gridCol w:w="283"/>
        <w:gridCol w:w="142"/>
        <w:gridCol w:w="115"/>
        <w:gridCol w:w="227"/>
        <w:gridCol w:w="851"/>
        <w:gridCol w:w="224"/>
      </w:tblGrid>
      <w:tr w:rsidR="001F369E" w:rsidRPr="00876F4A" w:rsidTr="004130B4">
        <w:trPr>
          <w:trHeight w:val="591"/>
        </w:trPr>
        <w:tc>
          <w:tcPr>
            <w:tcW w:w="227" w:type="dxa"/>
            <w:shd w:val="clear" w:color="auto" w:fill="auto"/>
          </w:tcPr>
          <w:p w:rsidR="001F369E" w:rsidRPr="00876F4A" w:rsidRDefault="001F369E" w:rsidP="004130B4">
            <w:pPr>
              <w:spacing w:before="120"/>
              <w:jc w:val="center"/>
              <w:rPr>
                <w:u w:val="dashLong"/>
              </w:rPr>
            </w:pPr>
            <w:r w:rsidRPr="00876F4A">
              <w:t>b</w:t>
            </w:r>
          </w:p>
        </w:tc>
        <w:tc>
          <w:tcPr>
            <w:tcW w:w="1474" w:type="dxa"/>
            <w:gridSpan w:val="5"/>
            <w:shd w:val="clear" w:color="auto" w:fill="auto"/>
          </w:tcPr>
          <w:p w:rsidR="001F369E" w:rsidRPr="00876F4A" w:rsidRDefault="001F369E" w:rsidP="004130B4">
            <w:pPr>
              <w:spacing w:before="120"/>
              <w:jc w:val="center"/>
              <w:rPr>
                <w:u w:val="dashLong"/>
              </w:rPr>
            </w:pPr>
            <w:r w:rsidRPr="00876F4A">
              <w:rPr>
                <w:bCs/>
              </w:rPr>
              <w:t xml:space="preserve">400/80 </w:t>
            </w:r>
            <w:r>
              <w:rPr>
                <w:bCs/>
              </w:rPr>
              <w:t>−</w:t>
            </w:r>
            <w:r w:rsidRPr="00876F4A">
              <w:rPr>
                <w:bCs/>
              </w:rPr>
              <w:t xml:space="preserve"> 24 IND</w:t>
            </w:r>
          </w:p>
        </w:tc>
        <w:tc>
          <w:tcPr>
            <w:tcW w:w="227" w:type="dxa"/>
            <w:shd w:val="clear" w:color="auto" w:fill="auto"/>
          </w:tcPr>
          <w:p w:rsidR="001F369E" w:rsidRPr="00876F4A" w:rsidRDefault="001F369E" w:rsidP="004130B4">
            <w:pPr>
              <w:spacing w:before="120"/>
              <w:jc w:val="center"/>
              <w:rPr>
                <w:u w:val="dashLong"/>
              </w:rPr>
            </w:pPr>
            <w:r w:rsidRPr="00876F4A">
              <w:t>b</w:t>
            </w:r>
          </w:p>
        </w:tc>
        <w:tc>
          <w:tcPr>
            <w:tcW w:w="851" w:type="dxa"/>
            <w:gridSpan w:val="3"/>
            <w:shd w:val="clear" w:color="auto" w:fill="auto"/>
          </w:tcPr>
          <w:p w:rsidR="001F369E" w:rsidRPr="00876F4A" w:rsidRDefault="001F369E" w:rsidP="004130B4">
            <w:pPr>
              <w:spacing w:before="120"/>
              <w:jc w:val="center"/>
              <w:rPr>
                <w:u w:val="dashLong"/>
              </w:rPr>
            </w:pPr>
          </w:p>
        </w:tc>
        <w:tc>
          <w:tcPr>
            <w:tcW w:w="227" w:type="dxa"/>
            <w:gridSpan w:val="2"/>
            <w:shd w:val="clear" w:color="auto" w:fill="auto"/>
          </w:tcPr>
          <w:p w:rsidR="001F369E" w:rsidRPr="00876F4A" w:rsidRDefault="001F369E" w:rsidP="004130B4">
            <w:pPr>
              <w:spacing w:before="120"/>
              <w:jc w:val="center"/>
              <w:rPr>
                <w:u w:val="dashLong"/>
              </w:rPr>
            </w:pPr>
            <w:r w:rsidRPr="00876F4A">
              <w:t>b</w:t>
            </w:r>
          </w:p>
        </w:tc>
        <w:tc>
          <w:tcPr>
            <w:tcW w:w="851" w:type="dxa"/>
            <w:gridSpan w:val="3"/>
            <w:shd w:val="clear" w:color="auto" w:fill="auto"/>
          </w:tcPr>
          <w:p w:rsidR="001F369E" w:rsidRPr="00876F4A" w:rsidRDefault="001F369E" w:rsidP="004130B4">
            <w:pPr>
              <w:spacing w:before="120"/>
              <w:jc w:val="center"/>
              <w:rPr>
                <w:u w:val="dashLong"/>
              </w:rPr>
            </w:pPr>
            <w:r w:rsidRPr="00876F4A">
              <w:rPr>
                <w:bCs/>
              </w:rPr>
              <w:t>156 A8</w:t>
            </w:r>
          </w:p>
        </w:tc>
        <w:tc>
          <w:tcPr>
            <w:tcW w:w="227" w:type="dxa"/>
            <w:shd w:val="clear" w:color="auto" w:fill="auto"/>
          </w:tcPr>
          <w:p w:rsidR="001F369E" w:rsidRPr="00876F4A" w:rsidRDefault="001F369E" w:rsidP="004130B4">
            <w:pPr>
              <w:spacing w:before="120"/>
              <w:jc w:val="center"/>
              <w:rPr>
                <w:u w:val="dashLong"/>
              </w:rPr>
            </w:pPr>
            <w:r w:rsidRPr="00876F4A">
              <w:t>b</w:t>
            </w:r>
          </w:p>
        </w:tc>
        <w:tc>
          <w:tcPr>
            <w:tcW w:w="851" w:type="dxa"/>
            <w:gridSpan w:val="4"/>
            <w:shd w:val="clear" w:color="auto" w:fill="auto"/>
          </w:tcPr>
          <w:p w:rsidR="001F369E" w:rsidRPr="00876F4A" w:rsidRDefault="001F369E" w:rsidP="004130B4">
            <w:pPr>
              <w:spacing w:before="120"/>
              <w:jc w:val="center"/>
              <w:rPr>
                <w:u w:val="dashLong"/>
              </w:rPr>
            </w:pPr>
          </w:p>
        </w:tc>
        <w:tc>
          <w:tcPr>
            <w:tcW w:w="227" w:type="dxa"/>
            <w:shd w:val="clear" w:color="auto" w:fill="auto"/>
          </w:tcPr>
          <w:p w:rsidR="001F369E" w:rsidRPr="00876F4A" w:rsidRDefault="001F369E" w:rsidP="004130B4">
            <w:pPr>
              <w:spacing w:before="120"/>
              <w:jc w:val="center"/>
              <w:rPr>
                <w:u w:val="dashLong"/>
              </w:rPr>
            </w:pPr>
            <w:r w:rsidRPr="00876F4A">
              <w:t>b</w:t>
            </w:r>
          </w:p>
        </w:tc>
        <w:tc>
          <w:tcPr>
            <w:tcW w:w="851" w:type="dxa"/>
            <w:shd w:val="clear" w:color="auto" w:fill="auto"/>
          </w:tcPr>
          <w:p w:rsidR="001F369E" w:rsidRPr="00876F4A" w:rsidRDefault="006569A1" w:rsidP="004130B4">
            <w:pPr>
              <w:spacing w:before="120"/>
              <w:jc w:val="center"/>
              <w:rPr>
                <w:u w:val="dashLong"/>
              </w:rPr>
            </w:pPr>
            <w:r>
              <w:rPr>
                <w:lang w:eastAsia="ar-SA"/>
              </w:rPr>
              <w:pict>
                <v:oval id="_x0000_s1026" style="position:absolute;left:0;text-align:left;margin-left:6.7pt;margin-top:-.5pt;width:28.35pt;height:28.35pt;z-index:251657728;mso-wrap-style:none;mso-position-horizontal-relative:text;mso-position-vertical-relative:text;v-text-anchor:middle" filled="f" strokeweight="1.16pt"/>
              </w:pict>
            </w:r>
            <w:r w:rsidR="001F369E" w:rsidRPr="00876F4A">
              <w:rPr>
                <w:bCs/>
              </w:rPr>
              <w:t>153 B</w:t>
            </w:r>
          </w:p>
        </w:tc>
        <w:tc>
          <w:tcPr>
            <w:tcW w:w="224" w:type="dxa"/>
            <w:shd w:val="clear" w:color="auto" w:fill="auto"/>
          </w:tcPr>
          <w:p w:rsidR="001F369E" w:rsidRPr="00876F4A" w:rsidRDefault="001F369E" w:rsidP="004130B4">
            <w:pPr>
              <w:spacing w:before="120"/>
              <w:jc w:val="center"/>
            </w:pPr>
            <w:r w:rsidRPr="00876F4A">
              <w:t>b</w:t>
            </w:r>
          </w:p>
        </w:tc>
      </w:tr>
      <w:tr w:rsidR="001F369E" w:rsidRPr="00876F4A" w:rsidTr="004130B4">
        <w:trPr>
          <w:trHeight w:val="284"/>
        </w:trPr>
        <w:tc>
          <w:tcPr>
            <w:tcW w:w="6237" w:type="dxa"/>
            <w:gridSpan w:val="23"/>
            <w:shd w:val="clear" w:color="auto" w:fill="auto"/>
          </w:tcPr>
          <w:p w:rsidR="001F369E" w:rsidRPr="00876F4A" w:rsidRDefault="001F369E" w:rsidP="004130B4">
            <w:pPr>
              <w:jc w:val="center"/>
            </w:pPr>
          </w:p>
        </w:tc>
      </w:tr>
      <w:tr w:rsidR="001F369E" w:rsidRPr="00876F4A" w:rsidTr="004130B4">
        <w:tc>
          <w:tcPr>
            <w:tcW w:w="1134" w:type="dxa"/>
            <w:gridSpan w:val="3"/>
          </w:tcPr>
          <w:p w:rsidR="001F369E" w:rsidRPr="00876F4A" w:rsidRDefault="001F369E" w:rsidP="004130B4">
            <w:pPr>
              <w:jc w:val="center"/>
            </w:pPr>
          </w:p>
        </w:tc>
        <w:tc>
          <w:tcPr>
            <w:tcW w:w="284" w:type="dxa"/>
            <w:gridSpan w:val="2"/>
            <w:shd w:val="clear" w:color="auto" w:fill="auto"/>
          </w:tcPr>
          <w:p w:rsidR="001F369E" w:rsidRPr="00876F4A" w:rsidRDefault="001F369E" w:rsidP="004130B4">
            <w:pPr>
              <w:jc w:val="center"/>
              <w:rPr>
                <w:u w:val="dashLong"/>
              </w:rPr>
            </w:pPr>
            <w:r w:rsidRPr="00876F4A">
              <w:t>c</w:t>
            </w:r>
          </w:p>
        </w:tc>
        <w:tc>
          <w:tcPr>
            <w:tcW w:w="1134" w:type="dxa"/>
            <w:gridSpan w:val="4"/>
            <w:shd w:val="clear" w:color="auto" w:fill="auto"/>
            <w:vAlign w:val="center"/>
          </w:tcPr>
          <w:p w:rsidR="001F369E" w:rsidRPr="00876F4A" w:rsidRDefault="001F369E" w:rsidP="004130B4">
            <w:pPr>
              <w:rPr>
                <w:u w:val="dashLong"/>
              </w:rPr>
            </w:pPr>
            <w:r w:rsidRPr="00876F4A">
              <w:rPr>
                <w:bCs/>
              </w:rPr>
              <w:t>TUBELESS</w:t>
            </w:r>
          </w:p>
        </w:tc>
        <w:tc>
          <w:tcPr>
            <w:tcW w:w="283" w:type="dxa"/>
            <w:gridSpan w:val="2"/>
            <w:shd w:val="clear" w:color="auto" w:fill="auto"/>
          </w:tcPr>
          <w:p w:rsidR="001F369E" w:rsidRPr="00876F4A" w:rsidRDefault="001F369E" w:rsidP="004130B4">
            <w:pPr>
              <w:jc w:val="center"/>
              <w:rPr>
                <w:u w:val="dashLong"/>
              </w:rPr>
            </w:pPr>
            <w:r w:rsidRPr="00876F4A">
              <w:t>c</w:t>
            </w:r>
          </w:p>
        </w:tc>
        <w:tc>
          <w:tcPr>
            <w:tcW w:w="709" w:type="dxa"/>
            <w:gridSpan w:val="2"/>
            <w:shd w:val="clear" w:color="auto" w:fill="auto"/>
          </w:tcPr>
          <w:p w:rsidR="001F369E" w:rsidRPr="00876F4A" w:rsidRDefault="001F369E" w:rsidP="004130B4">
            <w:pPr>
              <w:jc w:val="center"/>
              <w:rPr>
                <w:u w:val="dashLong"/>
              </w:rPr>
            </w:pPr>
          </w:p>
        </w:tc>
        <w:tc>
          <w:tcPr>
            <w:tcW w:w="284" w:type="dxa"/>
            <w:shd w:val="clear" w:color="auto" w:fill="auto"/>
          </w:tcPr>
          <w:p w:rsidR="001F369E" w:rsidRPr="00876F4A" w:rsidRDefault="001F369E" w:rsidP="004130B4">
            <w:pPr>
              <w:jc w:val="center"/>
              <w:rPr>
                <w:u w:val="dashLong"/>
              </w:rPr>
            </w:pPr>
            <w:r w:rsidRPr="00876F4A">
              <w:t>c</w:t>
            </w:r>
          </w:p>
        </w:tc>
        <w:tc>
          <w:tcPr>
            <w:tcW w:w="567" w:type="dxa"/>
            <w:gridSpan w:val="3"/>
            <w:shd w:val="clear" w:color="auto" w:fill="auto"/>
          </w:tcPr>
          <w:p w:rsidR="001F369E" w:rsidRPr="00876F4A" w:rsidRDefault="001F369E" w:rsidP="004130B4">
            <w:pPr>
              <w:jc w:val="center"/>
              <w:rPr>
                <w:u w:val="dashLong"/>
              </w:rPr>
            </w:pPr>
            <w:r w:rsidRPr="00876F4A">
              <w:rPr>
                <w:bCs/>
              </w:rPr>
              <w:t>2513</w:t>
            </w:r>
          </w:p>
        </w:tc>
        <w:tc>
          <w:tcPr>
            <w:tcW w:w="283" w:type="dxa"/>
            <w:shd w:val="clear" w:color="auto" w:fill="auto"/>
          </w:tcPr>
          <w:p w:rsidR="001F369E" w:rsidRPr="00876F4A" w:rsidRDefault="001F369E" w:rsidP="004130B4">
            <w:pPr>
              <w:jc w:val="center"/>
              <w:rPr>
                <w:u w:val="dashLong"/>
              </w:rPr>
            </w:pPr>
            <w:r w:rsidRPr="00876F4A">
              <w:t>c</w:t>
            </w:r>
          </w:p>
        </w:tc>
        <w:tc>
          <w:tcPr>
            <w:tcW w:w="1559" w:type="dxa"/>
            <w:gridSpan w:val="5"/>
            <w:shd w:val="clear" w:color="auto" w:fill="auto"/>
          </w:tcPr>
          <w:p w:rsidR="001F369E" w:rsidRPr="00876F4A" w:rsidRDefault="001F369E" w:rsidP="004130B4">
            <w:pPr>
              <w:jc w:val="center"/>
              <w:rPr>
                <w:u w:val="dashLong"/>
              </w:rPr>
            </w:pPr>
          </w:p>
        </w:tc>
      </w:tr>
      <w:tr w:rsidR="001F369E" w:rsidRPr="00876F4A" w:rsidTr="004130B4">
        <w:tc>
          <w:tcPr>
            <w:tcW w:w="6237" w:type="dxa"/>
            <w:gridSpan w:val="23"/>
          </w:tcPr>
          <w:p w:rsidR="001F369E" w:rsidRPr="00876F4A" w:rsidRDefault="001F369E" w:rsidP="004130B4">
            <w:pPr>
              <w:jc w:val="center"/>
              <w:rPr>
                <w:u w:val="dashLong"/>
              </w:rPr>
            </w:pPr>
          </w:p>
        </w:tc>
      </w:tr>
      <w:tr w:rsidR="001F369E" w:rsidRPr="00876F4A" w:rsidTr="004130B4">
        <w:tc>
          <w:tcPr>
            <w:tcW w:w="6237" w:type="dxa"/>
            <w:gridSpan w:val="23"/>
          </w:tcPr>
          <w:p w:rsidR="001F369E" w:rsidRPr="00876F4A" w:rsidRDefault="001F369E" w:rsidP="004130B4">
            <w:pPr>
              <w:jc w:val="center"/>
            </w:pPr>
            <w:r w:rsidRPr="00876F4A">
              <w:rPr>
                <w:lang w:eastAsia="ar-SA"/>
              </w:rPr>
              <w:t>Hauteur minimum des inscriptions:</w:t>
            </w:r>
          </w:p>
        </w:tc>
      </w:tr>
      <w:tr w:rsidR="001F369E" w:rsidRPr="00876F4A" w:rsidTr="004130B4">
        <w:tc>
          <w:tcPr>
            <w:tcW w:w="6237" w:type="dxa"/>
            <w:gridSpan w:val="23"/>
          </w:tcPr>
          <w:p w:rsidR="001F369E" w:rsidRPr="00876F4A" w:rsidRDefault="001F369E" w:rsidP="004130B4">
            <w:pPr>
              <w:jc w:val="center"/>
              <w:rPr>
                <w:lang w:eastAsia="ar-SA"/>
              </w:rPr>
            </w:pPr>
          </w:p>
        </w:tc>
      </w:tr>
      <w:tr w:rsidR="001F369E" w:rsidRPr="00876F4A" w:rsidTr="004130B4">
        <w:tc>
          <w:tcPr>
            <w:tcW w:w="567" w:type="dxa"/>
            <w:gridSpan w:val="2"/>
          </w:tcPr>
          <w:p w:rsidR="001F369E" w:rsidRPr="00876F4A" w:rsidRDefault="001F369E" w:rsidP="004130B4"/>
        </w:tc>
        <w:tc>
          <w:tcPr>
            <w:tcW w:w="709" w:type="dxa"/>
            <w:gridSpan w:val="2"/>
          </w:tcPr>
          <w:p w:rsidR="001F369E" w:rsidRPr="00876F4A" w:rsidRDefault="001F369E" w:rsidP="004130B4">
            <w:pPr>
              <w:jc w:val="center"/>
            </w:pPr>
          </w:p>
        </w:tc>
        <w:tc>
          <w:tcPr>
            <w:tcW w:w="1134" w:type="dxa"/>
            <w:gridSpan w:val="4"/>
            <w:shd w:val="clear" w:color="auto" w:fill="auto"/>
          </w:tcPr>
          <w:p w:rsidR="001F369E" w:rsidRPr="00115B69" w:rsidRDefault="001F369E" w:rsidP="004130B4">
            <w:pPr>
              <w:jc w:val="center"/>
              <w:rPr>
                <w:bCs/>
              </w:rPr>
            </w:pPr>
            <w:r w:rsidRPr="00876F4A">
              <w:t>b:</w:t>
            </w:r>
            <w:r w:rsidRPr="00876F4A">
              <w:rPr>
                <w:bCs/>
              </w:rPr>
              <w:t xml:space="preserve"> 9 мм</w:t>
            </w:r>
          </w:p>
        </w:tc>
        <w:tc>
          <w:tcPr>
            <w:tcW w:w="1134" w:type="dxa"/>
            <w:gridSpan w:val="5"/>
            <w:shd w:val="clear" w:color="auto" w:fill="auto"/>
          </w:tcPr>
          <w:p w:rsidR="001F369E" w:rsidRPr="00876F4A" w:rsidRDefault="001F369E" w:rsidP="004130B4">
            <w:pPr>
              <w:jc w:val="center"/>
              <w:rPr>
                <w:u w:val="dashLong"/>
              </w:rPr>
            </w:pPr>
          </w:p>
        </w:tc>
        <w:tc>
          <w:tcPr>
            <w:tcW w:w="1276" w:type="dxa"/>
            <w:gridSpan w:val="6"/>
            <w:shd w:val="clear" w:color="auto" w:fill="auto"/>
          </w:tcPr>
          <w:p w:rsidR="001F369E" w:rsidRPr="00876F4A" w:rsidRDefault="001F369E" w:rsidP="004130B4">
            <w:pPr>
              <w:jc w:val="center"/>
            </w:pPr>
            <w:r w:rsidRPr="00876F4A">
              <w:t>c: 4 мм</w:t>
            </w:r>
          </w:p>
        </w:tc>
        <w:tc>
          <w:tcPr>
            <w:tcW w:w="1417" w:type="dxa"/>
            <w:gridSpan w:val="4"/>
            <w:shd w:val="clear" w:color="auto" w:fill="auto"/>
          </w:tcPr>
          <w:p w:rsidR="001F369E" w:rsidRPr="00876F4A" w:rsidRDefault="001F369E" w:rsidP="004130B4">
            <w:pPr>
              <w:jc w:val="center"/>
            </w:pPr>
          </w:p>
        </w:tc>
      </w:tr>
    </w:tbl>
    <w:p w:rsidR="001F369E" w:rsidRPr="00876F4A" w:rsidRDefault="001F369E" w:rsidP="001F369E">
      <w:pPr>
        <w:pStyle w:val="SingleTxtG"/>
        <w:spacing w:before="240"/>
        <w:ind w:left="2268"/>
      </w:pPr>
      <w:r w:rsidRPr="00876F4A">
        <w:t>Ces inscriptions signifient que le pneumatique pour engin de travaux publics (IND):</w:t>
      </w:r>
    </w:p>
    <w:p w:rsidR="001F369E" w:rsidRPr="00B73EF1" w:rsidRDefault="001F369E" w:rsidP="001F369E">
      <w:pPr>
        <w:pStyle w:val="SingleTxtG"/>
        <w:ind w:left="2268"/>
      </w:pPr>
      <w:r w:rsidRPr="00B73EF1">
        <w:t>a)</w:t>
      </w:r>
      <w:r w:rsidRPr="00B73EF1">
        <w:tab/>
        <w:t>A une grosseur nominale de boudin de 400;</w:t>
      </w:r>
    </w:p>
    <w:p w:rsidR="001F369E" w:rsidRPr="00B73EF1" w:rsidRDefault="001F369E" w:rsidP="001F369E">
      <w:pPr>
        <w:pStyle w:val="SingleTxtG"/>
        <w:ind w:left="2268"/>
      </w:pPr>
      <w:r w:rsidRPr="00B73EF1">
        <w:t>b)</w:t>
      </w:r>
      <w:r w:rsidRPr="00B73EF1">
        <w:tab/>
        <w:t>A un rapport nominal d’aspect de 80;</w:t>
      </w:r>
    </w:p>
    <w:p w:rsidR="001F369E" w:rsidRPr="00B73EF1" w:rsidRDefault="001F369E" w:rsidP="001F369E">
      <w:pPr>
        <w:pStyle w:val="SingleTxtG"/>
        <w:ind w:left="2268"/>
      </w:pPr>
      <w:r w:rsidRPr="00B73EF1">
        <w:t>c)</w:t>
      </w:r>
      <w:r w:rsidRPr="00B73EF1">
        <w:tab/>
        <w:t>A une structure diagonale (-);</w:t>
      </w:r>
    </w:p>
    <w:p w:rsidR="001F369E" w:rsidRPr="00B73EF1" w:rsidRDefault="001F369E" w:rsidP="001F369E">
      <w:pPr>
        <w:pStyle w:val="SingleTxtG"/>
        <w:ind w:left="2268"/>
      </w:pPr>
      <w:r w:rsidRPr="00B73EF1">
        <w:t>d)</w:t>
      </w:r>
      <w:r w:rsidRPr="00B73EF1">
        <w:tab/>
        <w:t>A un diamètre nominal de jante de 610 mm (code 24);</w:t>
      </w:r>
    </w:p>
    <w:p w:rsidR="001F369E" w:rsidRPr="00B73EF1" w:rsidRDefault="001F369E" w:rsidP="001F369E">
      <w:pPr>
        <w:pStyle w:val="SingleTxtG"/>
        <w:ind w:left="2835" w:hanging="567"/>
      </w:pPr>
      <w:r w:rsidRPr="00B73EF1">
        <w:t>e)</w:t>
      </w:r>
      <w:r w:rsidRPr="00B73EF1">
        <w:tab/>
        <w:t>A une capacité de charge de 4 000 kg (soit un indice de 156 selon l’annexe 4);</w:t>
      </w:r>
    </w:p>
    <w:p w:rsidR="001F369E" w:rsidRPr="00B73EF1" w:rsidRDefault="001F369E" w:rsidP="001F369E">
      <w:pPr>
        <w:pStyle w:val="SingleTxtG"/>
        <w:ind w:left="2835" w:hanging="567"/>
      </w:pPr>
      <w:r w:rsidRPr="00B73EF1">
        <w:t>f)</w:t>
      </w:r>
      <w:r w:rsidRPr="00B73EF1">
        <w:tab/>
        <w:t>Est classé dans la catégorie de vitesse A8 (vitesse de référence: 40 km/h);</w:t>
      </w:r>
    </w:p>
    <w:p w:rsidR="001F369E" w:rsidRPr="00B73EF1" w:rsidRDefault="001F369E" w:rsidP="001F369E">
      <w:pPr>
        <w:pStyle w:val="SingleTxtG"/>
        <w:ind w:left="2835" w:hanging="567"/>
      </w:pPr>
      <w:r w:rsidRPr="00B73EF1">
        <w:t>g)</w:t>
      </w:r>
      <w:r w:rsidRPr="00B73EF1">
        <w:tab/>
        <w:t>Peut être utilisé également à 50 km/h (catégorie de vitesse B), avec une capacité de charge de 3 650 kg (soit un indice de 153 selon l’annexe 4);</w:t>
      </w:r>
    </w:p>
    <w:p w:rsidR="001F369E" w:rsidRPr="00876F4A" w:rsidRDefault="001F369E" w:rsidP="001F369E">
      <w:pPr>
        <w:pStyle w:val="SingleTxtG"/>
        <w:ind w:left="2268"/>
      </w:pPr>
      <w:r w:rsidRPr="00B73EF1">
        <w:t>h)</w:t>
      </w:r>
      <w:r w:rsidRPr="00B73EF1">
        <w:tab/>
        <w:t>Doit être monté sans chambre à air (</w:t>
      </w:r>
      <w:r>
        <w:t>“</w:t>
      </w:r>
      <w:r w:rsidRPr="00B73EF1">
        <w:t>TUBELESS</w:t>
      </w:r>
      <w:r>
        <w:t>”</w:t>
      </w:r>
      <w:r w:rsidRPr="00B73EF1">
        <w:t>);</w:t>
      </w:r>
    </w:p>
    <w:p w:rsidR="001F369E" w:rsidRPr="00B73EF1" w:rsidRDefault="001F369E" w:rsidP="001F369E">
      <w:pPr>
        <w:pStyle w:val="SingleTxtG"/>
        <w:ind w:left="2835" w:hanging="567"/>
      </w:pPr>
      <w:r w:rsidRPr="00B73EF1">
        <w:t>i)</w:t>
      </w:r>
      <w:r w:rsidRPr="00B73EF1">
        <w:tab/>
        <w:t>A été fabriqué au cours de la vingt-cinquième semaine de l’année 2013 (voir le paragraphe 3.2 du présent Règlement).</w:t>
      </w:r>
    </w:p>
    <w:p w:rsidR="001F369E" w:rsidRPr="00876F4A" w:rsidRDefault="001F369E" w:rsidP="001F369E">
      <w:pPr>
        <w:pStyle w:val="SingleTxtG"/>
        <w:keepNext/>
        <w:ind w:left="2268"/>
      </w:pPr>
      <w:r w:rsidRPr="00876F4A">
        <w:t>Les inscriptions constituant la désignation du pneumatique doivent être disposées comme suit:</w:t>
      </w:r>
    </w:p>
    <w:p w:rsidR="001F369E" w:rsidRPr="00B73EF1" w:rsidRDefault="001F369E" w:rsidP="001F369E">
      <w:pPr>
        <w:pStyle w:val="SingleTxtG"/>
        <w:ind w:left="2835" w:hanging="567"/>
      </w:pPr>
      <w:r w:rsidRPr="00B73EF1">
        <w:t>a)</w:t>
      </w:r>
      <w:r w:rsidRPr="00B73EF1">
        <w:tab/>
        <w:t>La désignation de la dimension, qui se compose de la grosseur nominale du boudin, du rapport nominal d’aspect, du symbole du type de structure, du diamètre nominal de la jante et de la mention IND, doit apparaître sous forme groupée, comme indiqué dans l’exemple ci</w:t>
      </w:r>
      <w:r w:rsidRPr="00B73EF1">
        <w:noBreakHyphen/>
        <w:t>dessus: 400/80</w:t>
      </w:r>
      <w:r>
        <w:t>-</w:t>
      </w:r>
      <w:r w:rsidRPr="00B73EF1">
        <w:t>24 IND;</w:t>
      </w:r>
    </w:p>
    <w:p w:rsidR="001F369E" w:rsidRPr="00B73EF1" w:rsidRDefault="001F369E" w:rsidP="001F369E">
      <w:pPr>
        <w:pStyle w:val="SingleTxtG"/>
        <w:ind w:left="2835" w:hanging="567"/>
      </w:pPr>
      <w:r w:rsidRPr="00B73EF1">
        <w:t>b)</w:t>
      </w:r>
      <w:r w:rsidRPr="00B73EF1">
        <w:tab/>
        <w:t>La description de service (indice de charge plus code de catégorie de vitesse) est placée à proximité de la désignation de la dimension, soit avant, soit après, soit au-dessus, soit au-dessous;</w:t>
      </w:r>
    </w:p>
    <w:p w:rsidR="001F369E" w:rsidRPr="00B73EF1" w:rsidRDefault="001F369E" w:rsidP="001F369E">
      <w:pPr>
        <w:pStyle w:val="SingleTxtG"/>
        <w:ind w:left="2835" w:hanging="567"/>
      </w:pPr>
      <w:r w:rsidRPr="00B73EF1">
        <w:t>c)</w:t>
      </w:r>
      <w:r w:rsidRPr="00B73EF1">
        <w:tab/>
        <w:t>Les inscriptions “TUBELESS” et “R-4”, s’il y a lieu, et la date de fabrication peuvent être séparées de la désignation de la dimension;</w:t>
      </w:r>
    </w:p>
    <w:p w:rsidR="001F369E" w:rsidRPr="00B73EF1" w:rsidRDefault="001F369E" w:rsidP="001F369E">
      <w:pPr>
        <w:pStyle w:val="SingleTxtG"/>
        <w:ind w:left="2835" w:hanging="567"/>
      </w:pPr>
      <w:r w:rsidRPr="00B73EF1">
        <w:t>d)</w:t>
      </w:r>
      <w:r w:rsidRPr="00B73EF1">
        <w:tab/>
        <w:t>Le cas échéant, la description de service supplémentaire inscrite à l’intérieur d’un cercle peut faire apparaître le code de catégorie de vitesse soit après, soit au-dessous de l’indice de charge.».</w:t>
      </w:r>
    </w:p>
    <w:p w:rsidR="001F369E" w:rsidRPr="00876F4A" w:rsidRDefault="001F369E" w:rsidP="001F369E">
      <w:pPr>
        <w:pStyle w:val="SingleTxtG"/>
        <w:rPr>
          <w:i/>
          <w:lang w:eastAsia="ar-SA"/>
        </w:rPr>
      </w:pPr>
      <w:r w:rsidRPr="00876F4A">
        <w:rPr>
          <w:i/>
          <w:lang w:eastAsia="ar-SA"/>
        </w:rPr>
        <w:t>Annexe 5</w:t>
      </w:r>
      <w:r w:rsidRPr="00C21BC0">
        <w:rPr>
          <w:lang w:eastAsia="ar-SA"/>
        </w:rPr>
        <w:t>,</w:t>
      </w:r>
    </w:p>
    <w:p w:rsidR="001F369E" w:rsidRPr="00876F4A" w:rsidRDefault="001F369E" w:rsidP="001F369E">
      <w:pPr>
        <w:pStyle w:val="SingleTxtG"/>
        <w:rPr>
          <w:lang w:eastAsia="ar-SA"/>
        </w:rPr>
      </w:pPr>
      <w:r w:rsidRPr="00876F4A">
        <w:rPr>
          <w:i/>
          <w:lang w:eastAsia="ar-SA"/>
        </w:rPr>
        <w:t>Tableau 1</w:t>
      </w:r>
      <w:r w:rsidRPr="00876F4A">
        <w:rPr>
          <w:lang w:eastAsia="ar-SA"/>
        </w:rPr>
        <w:t xml:space="preserve">, </w:t>
      </w:r>
      <w:r w:rsidRPr="00876F4A">
        <w:rPr>
          <w:i/>
          <w:lang w:eastAsia="ar-SA"/>
        </w:rPr>
        <w:t>note 1</w:t>
      </w:r>
      <w:r w:rsidRPr="00876F4A">
        <w:rPr>
          <w:lang w:eastAsia="ar-SA"/>
        </w:rPr>
        <w:t xml:space="preserve">, </w:t>
      </w:r>
      <w:r w:rsidRPr="00876F4A">
        <w:rPr>
          <w:szCs w:val="24"/>
          <w:lang w:eastAsia="ar-SA"/>
        </w:rPr>
        <w:t>modifier comme suit:</w:t>
      </w:r>
      <w:r w:rsidRPr="00876F4A">
        <w:rPr>
          <w:lang w:eastAsia="ar-SA"/>
        </w:rPr>
        <w:t xml:space="preserve"> </w:t>
      </w:r>
    </w:p>
    <w:p w:rsidR="001F369E" w:rsidRPr="00876F4A" w:rsidRDefault="001F369E" w:rsidP="001F369E">
      <w:pPr>
        <w:pStyle w:val="SingleTxtG"/>
        <w:ind w:left="2268" w:hanging="1134"/>
        <w:rPr>
          <w:lang w:eastAsia="ar-SA"/>
        </w:rPr>
      </w:pPr>
      <w:r w:rsidRPr="00876F4A">
        <w:rPr>
          <w:lang w:eastAsia="ar-SA"/>
        </w:rPr>
        <w:t>«1.</w:t>
      </w:r>
      <w:r w:rsidRPr="00876F4A">
        <w:rPr>
          <w:lang w:eastAsia="ar-SA"/>
        </w:rPr>
        <w:tab/>
        <w:t>Les pneumatiques pour roues directrices de machines agricoles sont reconnaissables à la mention “Front”, placée après la désignation de la dimension du pneumatique (par exemple, 4.00 − 9 Front), ou à l</w:t>
      </w:r>
      <w:r>
        <w:rPr>
          <w:lang w:eastAsia="ar-SA"/>
        </w:rPr>
        <w:t>’</w:t>
      </w:r>
      <w:r w:rsidRPr="00876F4A">
        <w:rPr>
          <w:lang w:eastAsia="ar-SA"/>
        </w:rPr>
        <w:t>une des mentions supplémentaires suivantes, figurant sur les flancs du pneumatique: “F</w:t>
      </w:r>
      <w:r w:rsidRPr="00876F4A">
        <w:rPr>
          <w:lang w:eastAsia="ar-SA"/>
        </w:rPr>
        <w:noBreakHyphen/>
        <w:t>1”, “F</w:t>
      </w:r>
      <w:r w:rsidRPr="00876F4A">
        <w:rPr>
          <w:lang w:eastAsia="ar-SA"/>
        </w:rPr>
        <w:noBreakHyphen/>
        <w:t xml:space="preserve">2” </w:t>
      </w:r>
      <w:r w:rsidRPr="00876F4A">
        <w:rPr>
          <w:bCs/>
          <w:lang w:eastAsia="ar-SA"/>
        </w:rPr>
        <w:t>ou “F</w:t>
      </w:r>
      <w:r w:rsidRPr="00876F4A">
        <w:rPr>
          <w:bCs/>
          <w:lang w:eastAsia="ar-SA"/>
        </w:rPr>
        <w:noBreakHyphen/>
        <w:t>3</w:t>
      </w:r>
      <w:r w:rsidRPr="00876F4A">
        <w:rPr>
          <w:lang w:eastAsia="ar-SA"/>
        </w:rPr>
        <w:t>”.».</w:t>
      </w:r>
    </w:p>
    <w:p w:rsidR="001F369E" w:rsidRPr="00876F4A" w:rsidRDefault="001F369E" w:rsidP="001F369E">
      <w:pPr>
        <w:pStyle w:val="SingleTxtG"/>
        <w:rPr>
          <w:i/>
          <w:lang w:eastAsia="ar-SA"/>
        </w:rPr>
      </w:pPr>
      <w:r w:rsidRPr="00876F4A">
        <w:rPr>
          <w:i/>
          <w:lang w:eastAsia="ar-SA"/>
        </w:rPr>
        <w:t>Ajouter deux nouveaux tableaux, 8 et 9</w:t>
      </w:r>
      <w:r w:rsidRPr="00884B58">
        <w:rPr>
          <w:lang w:eastAsia="ar-SA"/>
        </w:rPr>
        <w:t xml:space="preserve">, </w:t>
      </w:r>
      <w:r w:rsidRPr="00876F4A">
        <w:rPr>
          <w:lang w:eastAsia="ar-SA"/>
        </w:rPr>
        <w:t xml:space="preserve">ainsi </w:t>
      </w:r>
      <w:r w:rsidRPr="00876F4A">
        <w:rPr>
          <w:szCs w:val="24"/>
          <w:lang w:eastAsia="ar-SA"/>
        </w:rPr>
        <w:t>conçus</w:t>
      </w:r>
      <w:r w:rsidRPr="00876F4A">
        <w:rPr>
          <w:lang w:eastAsia="ar-SA"/>
        </w:rPr>
        <w:t>:</w:t>
      </w:r>
    </w:p>
    <w:p w:rsidR="001F369E" w:rsidRPr="00876F4A" w:rsidRDefault="001F369E" w:rsidP="001F369E">
      <w:pPr>
        <w:pStyle w:val="SingleTxtG"/>
        <w:jc w:val="left"/>
      </w:pPr>
      <w:r w:rsidRPr="00876F4A">
        <w:t>«Tableau 8</w:t>
      </w:r>
      <w:r w:rsidRPr="00876F4A">
        <w:br/>
      </w:r>
      <w:r w:rsidRPr="00B73EF1">
        <w:rPr>
          <w:b/>
        </w:rPr>
        <w:t>Pneumatiques pour engins forestiers − Dimensions codées</w:t>
      </w:r>
    </w:p>
    <w:tbl>
      <w:tblPr>
        <w:tblW w:w="7370" w:type="dxa"/>
        <w:tblInd w:w="1134" w:type="dxa"/>
        <w:tblLayout w:type="fixed"/>
        <w:tblCellMar>
          <w:left w:w="57" w:type="dxa"/>
          <w:right w:w="57" w:type="dxa"/>
        </w:tblCellMar>
        <w:tblLook w:val="01E0" w:firstRow="1" w:lastRow="1" w:firstColumn="1" w:lastColumn="1" w:noHBand="0" w:noVBand="0"/>
      </w:tblPr>
      <w:tblGrid>
        <w:gridCol w:w="1474"/>
        <w:gridCol w:w="1474"/>
        <w:gridCol w:w="1474"/>
        <w:gridCol w:w="1474"/>
        <w:gridCol w:w="1474"/>
      </w:tblGrid>
      <w:tr w:rsidR="001F369E" w:rsidRPr="00876F4A" w:rsidTr="004130B4">
        <w:trPr>
          <w:tblHeader/>
        </w:trPr>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40" w:after="40" w:line="200" w:lineRule="exact"/>
              <w:ind w:left="57" w:right="57"/>
              <w:rPr>
                <w:i/>
                <w:sz w:val="16"/>
                <w:u w:val="dashLong"/>
              </w:rPr>
            </w:pPr>
            <w:r w:rsidRPr="00876F4A">
              <w:rPr>
                <w:i/>
                <w:sz w:val="16"/>
              </w:rPr>
              <w:t>Désignation</w:t>
            </w:r>
            <w:r w:rsidRPr="00876F4A">
              <w:rPr>
                <w:i/>
                <w:sz w:val="16"/>
              </w:rPr>
              <w:br/>
              <w:t>de la dimension</w:t>
            </w:r>
            <w:r w:rsidRPr="00876F4A">
              <w:rPr>
                <w:i/>
                <w:sz w:val="16"/>
              </w:rPr>
              <w:br/>
              <w:t>du pneumatique</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u w:val="dashLong"/>
              </w:rPr>
            </w:pPr>
            <w:r w:rsidRPr="00876F4A">
              <w:rPr>
                <w:i/>
                <w:sz w:val="16"/>
              </w:rPr>
              <w:t>Code de la largeur</w:t>
            </w:r>
            <w:r w:rsidRPr="00876F4A">
              <w:rPr>
                <w:i/>
                <w:sz w:val="16"/>
              </w:rPr>
              <w:br/>
              <w:t>théorique de la jante (A1)</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u w:val="dashLong"/>
              </w:rPr>
            </w:pPr>
            <w:r w:rsidRPr="00876F4A">
              <w:rPr>
                <w:i/>
                <w:sz w:val="16"/>
              </w:rPr>
              <w:t>Grosseur nominale</w:t>
            </w:r>
            <w:r w:rsidRPr="00876F4A">
              <w:rPr>
                <w:i/>
                <w:sz w:val="16"/>
              </w:rPr>
              <w:br/>
              <w:t>du boudin (S1)</w:t>
            </w:r>
            <w:r w:rsidRPr="00876F4A">
              <w:rPr>
                <w:i/>
                <w:sz w:val="16"/>
              </w:rPr>
              <w:br/>
              <w:t>(mm)</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u w:val="dashLong"/>
              </w:rPr>
            </w:pPr>
            <w:r w:rsidRPr="00876F4A">
              <w:rPr>
                <w:i/>
                <w:sz w:val="16"/>
              </w:rPr>
              <w:t>Diamètre</w:t>
            </w:r>
            <w:r w:rsidRPr="00876F4A">
              <w:rPr>
                <w:i/>
                <w:sz w:val="16"/>
              </w:rPr>
              <w:br/>
              <w:t>hors tout (D)</w:t>
            </w:r>
            <w:r w:rsidRPr="00876F4A">
              <w:rPr>
                <w:i/>
                <w:sz w:val="16"/>
              </w:rPr>
              <w:br/>
              <w:t>(mm)</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u w:val="dashLong"/>
              </w:rPr>
            </w:pPr>
            <w:r w:rsidRPr="00876F4A">
              <w:rPr>
                <w:i/>
                <w:sz w:val="16"/>
              </w:rPr>
              <w:t>Diamètre nominal</w:t>
            </w:r>
            <w:r w:rsidRPr="00876F4A">
              <w:rPr>
                <w:i/>
                <w:sz w:val="16"/>
              </w:rPr>
              <w:br/>
              <w:t>de la jante (d)</w:t>
            </w:r>
            <w:r w:rsidRPr="00876F4A">
              <w:rPr>
                <w:i/>
                <w:sz w:val="16"/>
              </w:rPr>
              <w:br/>
              <w:t>(mm)</w:t>
            </w:r>
          </w:p>
        </w:tc>
      </w:tr>
      <w:tr w:rsidR="001F369E" w:rsidRPr="00876F4A" w:rsidTr="004130B4">
        <w:tc>
          <w:tcPr>
            <w:tcW w:w="147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rPr>
            </w:pPr>
            <w:r w:rsidRPr="00876F4A">
              <w:rPr>
                <w:sz w:val="18"/>
              </w:rPr>
              <w:t>23.1-26 LS</w:t>
            </w:r>
          </w:p>
        </w:tc>
        <w:tc>
          <w:tcPr>
            <w:tcW w:w="147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szCs w:val="18"/>
              </w:rPr>
              <w:t>20</w:t>
            </w:r>
          </w:p>
        </w:tc>
        <w:tc>
          <w:tcPr>
            <w:tcW w:w="147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szCs w:val="18"/>
              </w:rPr>
              <w:t>587</w:t>
            </w:r>
          </w:p>
        </w:tc>
        <w:tc>
          <w:tcPr>
            <w:tcW w:w="147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szCs w:val="18"/>
              </w:rPr>
              <w:t>1 632</w:t>
            </w:r>
          </w:p>
        </w:tc>
        <w:tc>
          <w:tcPr>
            <w:tcW w:w="1474"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szCs w:val="18"/>
              </w:rPr>
              <w:t>660</w:t>
            </w:r>
          </w:p>
        </w:tc>
      </w:tr>
      <w:tr w:rsidR="001F369E" w:rsidRPr="00876F4A" w:rsidTr="004130B4">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rPr>
            </w:pPr>
            <w:r w:rsidRPr="00876F4A">
              <w:rPr>
                <w:sz w:val="18"/>
              </w:rPr>
              <w:t>24.5-32 LS</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21</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622</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1 831</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813</w:t>
            </w:r>
          </w:p>
        </w:tc>
      </w:tr>
      <w:tr w:rsidR="001F369E" w:rsidRPr="00876F4A" w:rsidTr="004130B4">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rPr>
            </w:pPr>
            <w:r w:rsidRPr="00876F4A">
              <w:rPr>
                <w:sz w:val="18"/>
                <w:szCs w:val="18"/>
              </w:rPr>
              <w:t>28L-26 LS</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25</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714</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1 644</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660</w:t>
            </w:r>
          </w:p>
        </w:tc>
      </w:tr>
      <w:tr w:rsidR="001F369E" w:rsidRPr="00876F4A" w:rsidTr="004130B4">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rPr>
            </w:pPr>
            <w:r w:rsidRPr="00876F4A">
              <w:rPr>
                <w:sz w:val="18"/>
              </w:rPr>
              <w:t>30.5L-32 LS</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27</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775</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1 847</w:t>
            </w:r>
          </w:p>
        </w:tc>
        <w:tc>
          <w:tcPr>
            <w:tcW w:w="147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813</w:t>
            </w:r>
          </w:p>
        </w:tc>
      </w:tr>
      <w:tr w:rsidR="001F369E" w:rsidRPr="00876F4A" w:rsidTr="004130B4">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rPr>
            </w:pPr>
            <w:r w:rsidRPr="00876F4A">
              <w:rPr>
                <w:sz w:val="18"/>
                <w:szCs w:val="18"/>
              </w:rPr>
              <w:t>35.5L-32 LS</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31</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902</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rPr>
            </w:pPr>
            <w:r w:rsidRPr="00876F4A">
              <w:rPr>
                <w:sz w:val="18"/>
              </w:rPr>
              <w:t>2 011</w:t>
            </w:r>
          </w:p>
        </w:tc>
        <w:tc>
          <w:tcPr>
            <w:tcW w:w="1474"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rPr>
            </w:pPr>
            <w:r w:rsidRPr="00876F4A">
              <w:rPr>
                <w:sz w:val="18"/>
              </w:rPr>
              <w:t>813</w:t>
            </w:r>
          </w:p>
        </w:tc>
      </w:tr>
    </w:tbl>
    <w:p w:rsidR="001F369E" w:rsidRPr="00876F4A" w:rsidRDefault="001F369E" w:rsidP="001F369E">
      <w:pPr>
        <w:pStyle w:val="FootnoteText"/>
        <w:spacing w:before="120"/>
        <w:ind w:firstLine="170"/>
        <w:rPr>
          <w:szCs w:val="18"/>
        </w:rPr>
      </w:pPr>
      <w:r w:rsidRPr="00876F4A">
        <w:rPr>
          <w:i/>
          <w:szCs w:val="18"/>
        </w:rPr>
        <w:t>Notes</w:t>
      </w:r>
      <w:r w:rsidRPr="00876F4A">
        <w:rPr>
          <w:szCs w:val="18"/>
        </w:rPr>
        <w:t>:</w:t>
      </w:r>
    </w:p>
    <w:p w:rsidR="001F369E" w:rsidRPr="00876F4A" w:rsidRDefault="001F369E" w:rsidP="001F369E">
      <w:pPr>
        <w:pStyle w:val="FootnoteText"/>
        <w:ind w:firstLine="170"/>
        <w:rPr>
          <w:szCs w:val="18"/>
        </w:rPr>
      </w:pPr>
      <w:r w:rsidRPr="00855B79">
        <w:rPr>
          <w:sz w:val="16"/>
          <w:szCs w:val="16"/>
        </w:rPr>
        <w:t>1</w:t>
      </w:r>
      <w:r w:rsidR="00855B79">
        <w:rPr>
          <w:sz w:val="16"/>
          <w:szCs w:val="16"/>
        </w:rPr>
        <w:t>.</w:t>
      </w:r>
      <w:r w:rsidRPr="00855B79">
        <w:rPr>
          <w:szCs w:val="18"/>
        </w:rPr>
        <w:t xml:space="preserve">  </w:t>
      </w:r>
      <w:r w:rsidRPr="00876F4A">
        <w:rPr>
          <w:szCs w:val="18"/>
        </w:rPr>
        <w:t>Les pneumatiques pour engins forestiers sont désignés par le suffixe «LS-2» ou «LS-3» placé après la désignation de la dimension du pneumatique (par exemple 30.5L-32 LS-2).</w:t>
      </w:r>
    </w:p>
    <w:p w:rsidR="001F369E" w:rsidRDefault="001F369E" w:rsidP="001F369E">
      <w:pPr>
        <w:pStyle w:val="FootnoteText"/>
        <w:spacing w:after="240"/>
        <w:ind w:firstLine="170"/>
        <w:rPr>
          <w:szCs w:val="18"/>
        </w:rPr>
      </w:pPr>
      <w:r w:rsidRPr="00855B79">
        <w:rPr>
          <w:sz w:val="16"/>
          <w:szCs w:val="16"/>
        </w:rPr>
        <w:t>2</w:t>
      </w:r>
      <w:r w:rsidR="00855B79">
        <w:rPr>
          <w:sz w:val="16"/>
          <w:szCs w:val="16"/>
        </w:rPr>
        <w:t>.</w:t>
      </w:r>
      <w:r w:rsidRPr="00855B79">
        <w:rPr>
          <w:szCs w:val="18"/>
        </w:rPr>
        <w:t xml:space="preserve">  </w:t>
      </w:r>
      <w:r w:rsidRPr="00876F4A">
        <w:rPr>
          <w:szCs w:val="18"/>
        </w:rPr>
        <w:t>Les pneumatiques à structure radiale sont désignés par la lettre «</w:t>
      </w:r>
      <w:r>
        <w:rPr>
          <w:szCs w:val="18"/>
        </w:rPr>
        <w:t>R» remplaçant le signe «-» (par </w:t>
      </w:r>
      <w:r w:rsidRPr="00876F4A">
        <w:rPr>
          <w:szCs w:val="18"/>
        </w:rPr>
        <w:t>exemple 30.5LR32 LS).</w:t>
      </w:r>
    </w:p>
    <w:p w:rsidR="001F369E" w:rsidRPr="00C21BC0" w:rsidRDefault="001F369E" w:rsidP="001F369E">
      <w:pPr>
        <w:pStyle w:val="SingleTxtG"/>
        <w:jc w:val="left"/>
        <w:rPr>
          <w:b/>
          <w:lang w:eastAsia="ar-SA"/>
        </w:rPr>
      </w:pPr>
      <w:r>
        <w:rPr>
          <w:szCs w:val="18"/>
        </w:rPr>
        <w:br w:type="page"/>
      </w:r>
      <w:r w:rsidRPr="00876F4A">
        <w:rPr>
          <w:lang w:eastAsia="ar-SA"/>
        </w:rPr>
        <w:t>Tableau 9</w:t>
      </w:r>
      <w:r w:rsidRPr="00876F4A">
        <w:rPr>
          <w:lang w:eastAsia="ar-SA"/>
        </w:rPr>
        <w:br/>
      </w:r>
      <w:r w:rsidRPr="00C21BC0">
        <w:rPr>
          <w:b/>
          <w:lang w:eastAsia="ar-SA"/>
        </w:rPr>
        <w:t xml:space="preserve">Pneumatiques pour </w:t>
      </w:r>
      <w:r w:rsidRPr="00C21BC0">
        <w:rPr>
          <w:b/>
        </w:rPr>
        <w:t>engins</w:t>
      </w:r>
      <w:r w:rsidRPr="00C21BC0">
        <w:rPr>
          <w:b/>
          <w:lang w:eastAsia="ar-SA"/>
        </w:rPr>
        <w:t xml:space="preserve"> de travaux publics (tracteurs industriels)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1418"/>
        <w:gridCol w:w="851"/>
        <w:gridCol w:w="851"/>
        <w:gridCol w:w="851"/>
        <w:gridCol w:w="851"/>
        <w:gridCol w:w="1418"/>
      </w:tblGrid>
      <w:tr w:rsidR="001F369E" w:rsidRPr="00876F4A" w:rsidTr="004130B4">
        <w:trPr>
          <w:tblHeader/>
        </w:trPr>
        <w:tc>
          <w:tcPr>
            <w:tcW w:w="1134" w:type="dxa"/>
            <w:vMerge w:val="restart"/>
            <w:shd w:val="clear" w:color="auto" w:fill="auto"/>
            <w:tcMar>
              <w:left w:w="0" w:type="dxa"/>
              <w:right w:w="0" w:type="dxa"/>
            </w:tcMar>
            <w:vAlign w:val="bottom"/>
          </w:tcPr>
          <w:p w:rsidR="001F369E" w:rsidRPr="00876F4A" w:rsidRDefault="001F369E" w:rsidP="004130B4">
            <w:pPr>
              <w:spacing w:before="40" w:after="40" w:line="200" w:lineRule="exact"/>
              <w:ind w:left="57" w:right="57"/>
              <w:rPr>
                <w:i/>
                <w:sz w:val="16"/>
                <w:u w:val="dashLong"/>
                <w:lang w:eastAsia="ar-SA"/>
              </w:rPr>
            </w:pPr>
            <w:r w:rsidRPr="00876F4A">
              <w:rPr>
                <w:i/>
                <w:sz w:val="16"/>
                <w:szCs w:val="16"/>
              </w:rPr>
              <w:t>Désignation</w:t>
            </w:r>
            <w:r w:rsidRPr="00876F4A">
              <w:rPr>
                <w:i/>
                <w:sz w:val="16"/>
                <w:szCs w:val="16"/>
              </w:rPr>
              <w:br/>
              <w:t>de la dimension du pneumatique</w:t>
            </w:r>
          </w:p>
        </w:tc>
        <w:tc>
          <w:tcPr>
            <w:tcW w:w="1418" w:type="dxa"/>
            <w:vMerge w:val="restart"/>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u w:val="dashLong"/>
                <w:lang w:eastAsia="ar-SA"/>
              </w:rPr>
            </w:pPr>
            <w:r w:rsidRPr="00876F4A">
              <w:rPr>
                <w:i/>
                <w:sz w:val="16"/>
                <w:szCs w:val="16"/>
              </w:rPr>
              <w:t>Code de la largeur théorique de la jante (A1)</w:t>
            </w:r>
          </w:p>
        </w:tc>
        <w:tc>
          <w:tcPr>
            <w:tcW w:w="1702" w:type="dxa"/>
            <w:gridSpan w:val="2"/>
            <w:shd w:val="clear" w:color="auto" w:fill="auto"/>
            <w:tcMar>
              <w:left w:w="0" w:type="dxa"/>
              <w:right w:w="0" w:type="dxa"/>
            </w:tcMar>
            <w:vAlign w:val="bottom"/>
          </w:tcPr>
          <w:p w:rsidR="001F369E" w:rsidRPr="00876F4A" w:rsidRDefault="001F369E" w:rsidP="004130B4">
            <w:pPr>
              <w:spacing w:before="40" w:after="40" w:line="200" w:lineRule="exact"/>
              <w:ind w:left="57" w:right="57"/>
              <w:jc w:val="center"/>
              <w:rPr>
                <w:i/>
                <w:sz w:val="16"/>
                <w:u w:val="dashLong"/>
                <w:lang w:eastAsia="ar-SA"/>
              </w:rPr>
            </w:pPr>
            <w:r w:rsidRPr="00876F4A">
              <w:rPr>
                <w:i/>
                <w:sz w:val="16"/>
                <w:szCs w:val="16"/>
              </w:rPr>
              <w:t>Grosseur nominale</w:t>
            </w:r>
            <w:r w:rsidRPr="00876F4A">
              <w:rPr>
                <w:i/>
                <w:sz w:val="16"/>
                <w:szCs w:val="16"/>
              </w:rPr>
              <w:br/>
              <w:t>du boudin (S1)</w:t>
            </w:r>
            <w:r>
              <w:rPr>
                <w:i/>
                <w:sz w:val="16"/>
                <w:szCs w:val="16"/>
              </w:rPr>
              <w:t xml:space="preserve"> </w:t>
            </w:r>
            <w:r w:rsidRPr="00876F4A">
              <w:rPr>
                <w:i/>
                <w:sz w:val="16"/>
                <w:szCs w:val="16"/>
              </w:rPr>
              <w:t>(mm)</w:t>
            </w:r>
          </w:p>
        </w:tc>
        <w:tc>
          <w:tcPr>
            <w:tcW w:w="1702" w:type="dxa"/>
            <w:gridSpan w:val="2"/>
            <w:shd w:val="clear" w:color="auto" w:fill="auto"/>
            <w:tcMar>
              <w:left w:w="0" w:type="dxa"/>
              <w:right w:w="0" w:type="dxa"/>
            </w:tcMar>
            <w:vAlign w:val="bottom"/>
          </w:tcPr>
          <w:p w:rsidR="001F369E" w:rsidRPr="00876F4A" w:rsidRDefault="001F369E" w:rsidP="004130B4">
            <w:pPr>
              <w:spacing w:before="40" w:after="40" w:line="200" w:lineRule="exact"/>
              <w:ind w:left="57" w:right="57"/>
              <w:jc w:val="center"/>
              <w:rPr>
                <w:i/>
                <w:sz w:val="16"/>
                <w:szCs w:val="16"/>
                <w:u w:val="dashLong"/>
              </w:rPr>
            </w:pPr>
            <w:r w:rsidRPr="00876F4A">
              <w:rPr>
                <w:i/>
                <w:sz w:val="16"/>
                <w:szCs w:val="16"/>
              </w:rPr>
              <w:t>Diamètre hors tout (D)</w:t>
            </w:r>
            <w:r>
              <w:rPr>
                <w:i/>
                <w:sz w:val="16"/>
                <w:szCs w:val="16"/>
              </w:rPr>
              <w:t xml:space="preserve"> </w:t>
            </w:r>
            <w:r w:rsidRPr="00876F4A">
              <w:rPr>
                <w:i/>
                <w:sz w:val="16"/>
                <w:szCs w:val="16"/>
              </w:rPr>
              <w:t>(mm)</w:t>
            </w:r>
          </w:p>
        </w:tc>
        <w:tc>
          <w:tcPr>
            <w:tcW w:w="1418" w:type="dxa"/>
            <w:vMerge w:val="restart"/>
            <w:shd w:val="clear" w:color="auto" w:fill="auto"/>
            <w:tcMar>
              <w:left w:w="0" w:type="dxa"/>
              <w:right w:w="0" w:type="dxa"/>
            </w:tcMar>
            <w:vAlign w:val="bottom"/>
          </w:tcPr>
          <w:p w:rsidR="001F369E" w:rsidRPr="00876F4A" w:rsidRDefault="001F369E" w:rsidP="004130B4">
            <w:pPr>
              <w:spacing w:before="40" w:after="40" w:line="200" w:lineRule="exact"/>
              <w:ind w:left="57" w:right="57"/>
              <w:jc w:val="right"/>
              <w:rPr>
                <w:i/>
                <w:sz w:val="16"/>
                <w:szCs w:val="16"/>
                <w:u w:val="dashLong"/>
              </w:rPr>
            </w:pPr>
            <w:r w:rsidRPr="00876F4A">
              <w:rPr>
                <w:i/>
                <w:sz w:val="16"/>
                <w:szCs w:val="16"/>
              </w:rPr>
              <w:t>Diamètre nominal</w:t>
            </w:r>
            <w:r w:rsidRPr="00876F4A">
              <w:rPr>
                <w:i/>
                <w:sz w:val="16"/>
                <w:szCs w:val="16"/>
              </w:rPr>
              <w:br/>
              <w:t>de la jante (d)</w:t>
            </w:r>
            <w:r w:rsidRPr="00876F4A">
              <w:rPr>
                <w:i/>
                <w:sz w:val="16"/>
                <w:szCs w:val="16"/>
              </w:rPr>
              <w:br/>
              <w:t>(mm))</w:t>
            </w:r>
          </w:p>
        </w:tc>
      </w:tr>
      <w:tr w:rsidR="001F369E" w:rsidRPr="00876F4A" w:rsidTr="004130B4">
        <w:trPr>
          <w:tblHeader/>
        </w:trPr>
        <w:tc>
          <w:tcPr>
            <w:tcW w:w="1134" w:type="dxa"/>
            <w:vMerge/>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p>
        </w:tc>
        <w:tc>
          <w:tcPr>
            <w:tcW w:w="1418" w:type="dxa"/>
            <w:vMerge/>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i/>
                <w:sz w:val="16"/>
                <w:szCs w:val="16"/>
              </w:rPr>
              <w:t>Radial</w:t>
            </w: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i/>
                <w:sz w:val="16"/>
                <w:szCs w:val="16"/>
              </w:rPr>
              <w:t>Diagonal</w:t>
            </w: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i/>
                <w:sz w:val="16"/>
                <w:szCs w:val="16"/>
              </w:rPr>
              <w:t>Radial</w:t>
            </w: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i/>
                <w:sz w:val="16"/>
                <w:szCs w:val="16"/>
              </w:rPr>
              <w:t>Diagonal</w:t>
            </w:r>
          </w:p>
        </w:tc>
        <w:tc>
          <w:tcPr>
            <w:tcW w:w="1418" w:type="dxa"/>
            <w:vMerge/>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r>
      <w:tr w:rsidR="001F369E" w:rsidRPr="00876F4A" w:rsidTr="004130B4">
        <w:tc>
          <w:tcPr>
            <w:tcW w:w="1134"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14.9-24</w:t>
            </w:r>
          </w:p>
        </w:tc>
        <w:tc>
          <w:tcPr>
            <w:tcW w:w="1418"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13</w:t>
            </w:r>
          </w:p>
        </w:tc>
        <w:tc>
          <w:tcPr>
            <w:tcW w:w="851"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378</w:t>
            </w:r>
          </w:p>
        </w:tc>
        <w:tc>
          <w:tcPr>
            <w:tcW w:w="851"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378</w:t>
            </w:r>
          </w:p>
        </w:tc>
        <w:tc>
          <w:tcPr>
            <w:tcW w:w="851"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1 245</w:t>
            </w:r>
          </w:p>
        </w:tc>
        <w:tc>
          <w:tcPr>
            <w:tcW w:w="851"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1 240</w:t>
            </w:r>
          </w:p>
        </w:tc>
        <w:tc>
          <w:tcPr>
            <w:tcW w:w="1418"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610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14.9-28</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13</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378</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378</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1 350</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1 345</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711</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16.9-24</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429</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429</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1 320</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1 310</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610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16.9-28</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429</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429</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1 420</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1 410</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711</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16.9-34</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429</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1 560</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864</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17.5L-24</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445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445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1 250</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1 241</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610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18.4-24</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16</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1 395</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1 375</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610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sz w:val="18"/>
                <w:szCs w:val="18"/>
              </w:rPr>
              <w:t>18.4-26</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16</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1 425</w:t>
            </w:r>
          </w:p>
        </w:tc>
        <w:tc>
          <w:tcPr>
            <w:tcW w:w="1418"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sz w:val="18"/>
                <w:szCs w:val="18"/>
              </w:rPr>
              <w:t>660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r w:rsidRPr="00876F4A">
              <w:rPr>
                <w:sz w:val="18"/>
                <w:szCs w:val="18"/>
              </w:rPr>
              <w:t>18.4-28</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16</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1 490</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1 477</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lang w:eastAsia="ar-SA"/>
              </w:rPr>
              <w:t>711</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r w:rsidRPr="00876F4A">
              <w:rPr>
                <w:sz w:val="18"/>
                <w:szCs w:val="18"/>
              </w:rPr>
              <w:t>18.4-30</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16</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467</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1 525</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762</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r w:rsidRPr="00876F4A">
              <w:rPr>
                <w:sz w:val="18"/>
                <w:szCs w:val="18"/>
              </w:rPr>
              <w:t>19.5L-24</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17</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495</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495</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1 320</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1 314</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610</w:t>
            </w:r>
          </w:p>
        </w:tc>
      </w:tr>
      <w:tr w:rsidR="001F369E" w:rsidRPr="00876F4A" w:rsidTr="004130B4">
        <w:tc>
          <w:tcPr>
            <w:tcW w:w="1134" w:type="dxa"/>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r w:rsidRPr="00876F4A">
              <w:rPr>
                <w:sz w:val="18"/>
                <w:szCs w:val="18"/>
              </w:rPr>
              <w:t>21L-24</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18</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533</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533</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1 395</w:t>
            </w:r>
          </w:p>
        </w:tc>
        <w:tc>
          <w:tcPr>
            <w:tcW w:w="851"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1 378</w:t>
            </w:r>
          </w:p>
        </w:tc>
        <w:tc>
          <w:tcPr>
            <w:tcW w:w="1418" w:type="dxa"/>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610</w:t>
            </w:r>
          </w:p>
        </w:tc>
      </w:tr>
      <w:tr w:rsidR="001F369E" w:rsidRPr="00876F4A" w:rsidTr="004130B4">
        <w:tc>
          <w:tcPr>
            <w:tcW w:w="1134"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r w:rsidRPr="00876F4A">
              <w:rPr>
                <w:sz w:val="18"/>
                <w:szCs w:val="18"/>
              </w:rPr>
              <w:t>23.1-26</w:t>
            </w:r>
          </w:p>
        </w:tc>
        <w:tc>
          <w:tcPr>
            <w:tcW w:w="1418"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20</w:t>
            </w: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587</w:t>
            </w: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p>
        </w:tc>
        <w:tc>
          <w:tcPr>
            <w:tcW w:w="851"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sz w:val="18"/>
                <w:szCs w:val="18"/>
              </w:rPr>
              <w:t>1 580</w:t>
            </w:r>
          </w:p>
        </w:tc>
        <w:tc>
          <w:tcPr>
            <w:tcW w:w="1418"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lang w:eastAsia="ar-SA"/>
              </w:rPr>
            </w:pPr>
            <w:r w:rsidRPr="00876F4A">
              <w:rPr>
                <w:sz w:val="18"/>
                <w:szCs w:val="18"/>
              </w:rPr>
              <w:t>660</w:t>
            </w:r>
          </w:p>
        </w:tc>
      </w:tr>
    </w:tbl>
    <w:p w:rsidR="001F369E" w:rsidRPr="00876F4A" w:rsidRDefault="001F369E" w:rsidP="001F369E">
      <w:pPr>
        <w:pStyle w:val="FootnoteText"/>
        <w:spacing w:before="120"/>
        <w:ind w:firstLine="170"/>
        <w:rPr>
          <w:szCs w:val="18"/>
        </w:rPr>
      </w:pPr>
      <w:r w:rsidRPr="00876F4A">
        <w:rPr>
          <w:i/>
          <w:szCs w:val="18"/>
        </w:rPr>
        <w:t>Notes</w:t>
      </w:r>
      <w:r w:rsidRPr="00876F4A">
        <w:rPr>
          <w:szCs w:val="18"/>
        </w:rPr>
        <w:t>:</w:t>
      </w:r>
    </w:p>
    <w:p w:rsidR="001F369E" w:rsidRPr="00876F4A" w:rsidRDefault="001F369E" w:rsidP="001F369E">
      <w:pPr>
        <w:pStyle w:val="FootnoteText"/>
        <w:ind w:firstLine="170"/>
        <w:rPr>
          <w:szCs w:val="18"/>
        </w:rPr>
      </w:pPr>
      <w:r w:rsidRPr="00855B79">
        <w:rPr>
          <w:i/>
          <w:sz w:val="16"/>
          <w:szCs w:val="16"/>
        </w:rPr>
        <w:t>1</w:t>
      </w:r>
      <w:r w:rsidR="00855B79">
        <w:rPr>
          <w:szCs w:val="18"/>
        </w:rPr>
        <w:t>.</w:t>
      </w:r>
      <w:r w:rsidRPr="00855B79">
        <w:rPr>
          <w:szCs w:val="18"/>
        </w:rPr>
        <w:t xml:space="preserve">  </w:t>
      </w:r>
      <w:r w:rsidRPr="00876F4A">
        <w:rPr>
          <w:szCs w:val="18"/>
        </w:rPr>
        <w:t>Ces pneumatiques sont reconnaissables soit à la mention «IND», pl</w:t>
      </w:r>
      <w:r>
        <w:rPr>
          <w:szCs w:val="18"/>
        </w:rPr>
        <w:t>acée après la désignation de la </w:t>
      </w:r>
      <w:r w:rsidRPr="00876F4A">
        <w:rPr>
          <w:szCs w:val="18"/>
        </w:rPr>
        <w:t>taille du pneumatique (par exemple 14.9-24 IND), soit à la mention supplémentaire suivante figurant sur les flancs du pneumatique: «R – 4».</w:t>
      </w:r>
    </w:p>
    <w:p w:rsidR="001F369E" w:rsidRPr="00876F4A" w:rsidRDefault="001F369E" w:rsidP="001F369E">
      <w:pPr>
        <w:pStyle w:val="FootnoteText"/>
        <w:ind w:firstLine="170"/>
        <w:rPr>
          <w:szCs w:val="18"/>
        </w:rPr>
      </w:pPr>
      <w:r w:rsidRPr="00855B79">
        <w:rPr>
          <w:i/>
          <w:sz w:val="16"/>
          <w:szCs w:val="16"/>
        </w:rPr>
        <w:t>2</w:t>
      </w:r>
      <w:r w:rsidR="00855B79">
        <w:rPr>
          <w:szCs w:val="18"/>
        </w:rPr>
        <w:t>.</w:t>
      </w:r>
      <w:r w:rsidRPr="00855B79">
        <w:rPr>
          <w:szCs w:val="18"/>
        </w:rPr>
        <w:t xml:space="preserve"> </w:t>
      </w:r>
      <w:r>
        <w:rPr>
          <w:szCs w:val="18"/>
        </w:rPr>
        <w:t xml:space="preserve"> </w:t>
      </w:r>
      <w:r w:rsidRPr="00876F4A">
        <w:rPr>
          <w:szCs w:val="18"/>
        </w:rPr>
        <w:t>Les pneumatiques à structure radiale sont reconnaissables à la let</w:t>
      </w:r>
      <w:r>
        <w:rPr>
          <w:szCs w:val="18"/>
        </w:rPr>
        <w:t>tre «R» qui remplace le signe «</w:t>
      </w:r>
      <w:r>
        <w:rPr>
          <w:szCs w:val="18"/>
        </w:rPr>
        <w:noBreakHyphen/>
      </w:r>
      <w:r w:rsidRPr="00876F4A">
        <w:rPr>
          <w:szCs w:val="18"/>
        </w:rPr>
        <w:t>» (par exemple 14.9 R 24).</w:t>
      </w:r>
    </w:p>
    <w:p w:rsidR="001F369E" w:rsidRPr="00876F4A" w:rsidRDefault="001F369E" w:rsidP="001F369E">
      <w:pPr>
        <w:pStyle w:val="FootnoteText"/>
        <w:spacing w:after="240"/>
        <w:ind w:firstLine="170"/>
      </w:pPr>
      <w:r w:rsidRPr="00855B79">
        <w:rPr>
          <w:i/>
          <w:sz w:val="16"/>
          <w:szCs w:val="16"/>
        </w:rPr>
        <w:t>3</w:t>
      </w:r>
      <w:r w:rsidR="00855B79">
        <w:rPr>
          <w:szCs w:val="18"/>
        </w:rPr>
        <w:t>.</w:t>
      </w:r>
      <w:r w:rsidRPr="00855B79">
        <w:rPr>
          <w:szCs w:val="18"/>
        </w:rPr>
        <w:t xml:space="preserve"> </w:t>
      </w:r>
      <w:r>
        <w:rPr>
          <w:szCs w:val="18"/>
        </w:rPr>
        <w:t xml:space="preserve"> </w:t>
      </w:r>
      <w:r w:rsidRPr="00876F4A">
        <w:rPr>
          <w:szCs w:val="18"/>
        </w:rPr>
        <w:t>Coefficient pour le calcul de la largeur hors tout des pneu</w:t>
      </w:r>
      <w:r>
        <w:rPr>
          <w:szCs w:val="18"/>
        </w:rPr>
        <w:t>matiques à structure radiale: +</w:t>
      </w:r>
      <w:r w:rsidRPr="00876F4A">
        <w:rPr>
          <w:szCs w:val="18"/>
        </w:rPr>
        <w:t>8 %.</w:t>
      </w:r>
      <w:r w:rsidRPr="00884B58">
        <w:rPr>
          <w:sz w:val="20"/>
        </w:rPr>
        <w:t>».</w:t>
      </w:r>
    </w:p>
    <w:p w:rsidR="00855B79" w:rsidRDefault="001F369E" w:rsidP="001F369E">
      <w:pPr>
        <w:pStyle w:val="SingleTxtG"/>
        <w:rPr>
          <w:i/>
          <w:lang w:eastAsia="ar-SA"/>
        </w:rPr>
      </w:pPr>
      <w:r w:rsidRPr="00876F4A">
        <w:rPr>
          <w:i/>
          <w:lang w:eastAsia="ar-SA"/>
        </w:rPr>
        <w:t>Annexe 7</w:t>
      </w:r>
      <w:r w:rsidRPr="00884B58">
        <w:rPr>
          <w:i/>
          <w:lang w:eastAsia="ar-SA"/>
        </w:rPr>
        <w:t xml:space="preserve">, </w:t>
      </w:r>
    </w:p>
    <w:p w:rsidR="001F369E" w:rsidRPr="00876F4A" w:rsidRDefault="00855B79" w:rsidP="001F369E">
      <w:pPr>
        <w:pStyle w:val="SingleTxtG"/>
        <w:rPr>
          <w:lang w:eastAsia="ar-SA"/>
        </w:rPr>
      </w:pPr>
      <w:r>
        <w:rPr>
          <w:i/>
          <w:lang w:eastAsia="ar-SA"/>
        </w:rPr>
        <w:t>A</w:t>
      </w:r>
      <w:r w:rsidR="001F369E" w:rsidRPr="00876F4A">
        <w:rPr>
          <w:i/>
        </w:rPr>
        <w:t>jouter une nouvelle partie, E</w:t>
      </w:r>
      <w:r w:rsidR="001F369E" w:rsidRPr="00876F4A">
        <w:t xml:space="preserve">, ainsi </w:t>
      </w:r>
      <w:r w:rsidR="001F369E" w:rsidRPr="00876F4A">
        <w:rPr>
          <w:szCs w:val="24"/>
          <w:lang w:eastAsia="ar-SA"/>
        </w:rPr>
        <w:t>conçue</w:t>
      </w:r>
      <w:r w:rsidR="001F369E" w:rsidRPr="00876F4A">
        <w:t>:</w:t>
      </w:r>
    </w:p>
    <w:p w:rsidR="001F369E" w:rsidRPr="00876F4A" w:rsidRDefault="001F369E" w:rsidP="001F369E">
      <w:pPr>
        <w:pStyle w:val="SingleTxtG"/>
        <w:rPr>
          <w:b/>
          <w:lang w:eastAsia="ar-SA"/>
        </w:rPr>
      </w:pPr>
      <w:r w:rsidRPr="00876F4A">
        <w:rPr>
          <w:lang w:eastAsia="ar-SA"/>
        </w:rPr>
        <w:t xml:space="preserve">«Partie E: Pneumatiques pour engins de travaux </w:t>
      </w:r>
      <w:r w:rsidRPr="00876F4A">
        <w:rPr>
          <w:szCs w:val="24"/>
          <w:lang w:eastAsia="ar-SA"/>
        </w:rPr>
        <w:t>publics</w:t>
      </w:r>
      <w:r w:rsidRPr="00876F4A">
        <w:rPr>
          <w:lang w:eastAsia="ar-SA"/>
        </w:rPr>
        <w:t xml:space="preserve"> (tracteurs industriels)</w:t>
      </w:r>
    </w:p>
    <w:p w:rsidR="001F369E" w:rsidRPr="00876F4A" w:rsidRDefault="001F369E" w:rsidP="001F369E">
      <w:pPr>
        <w:pStyle w:val="SingleTxtG"/>
        <w:ind w:left="2268"/>
        <w:rPr>
          <w:lang w:eastAsia="ar-SA"/>
        </w:rPr>
      </w:pPr>
      <w:r w:rsidRPr="00876F4A">
        <w:rPr>
          <w:lang w:eastAsia="ar-SA"/>
        </w:rPr>
        <w:t xml:space="preserve">Applicable aux pneumatiques </w:t>
      </w:r>
      <w:r w:rsidRPr="00876F4A">
        <w:rPr>
          <w:szCs w:val="24"/>
          <w:lang w:eastAsia="ar-SA"/>
        </w:rPr>
        <w:t>pour</w:t>
      </w:r>
      <w:r w:rsidRPr="00876F4A">
        <w:rPr>
          <w:lang w:eastAsia="ar-SA"/>
        </w:rPr>
        <w:t xml:space="preserve"> la catégorie d</w:t>
      </w:r>
      <w:r>
        <w:rPr>
          <w:lang w:eastAsia="ar-SA"/>
        </w:rPr>
        <w:t>’</w:t>
      </w:r>
      <w:r w:rsidRPr="00876F4A">
        <w:rPr>
          <w:lang w:eastAsia="ar-SA"/>
        </w:rPr>
        <w:t>utilisation “Engins de travaux publics” (voir par. 2.42)</w:t>
      </w:r>
    </w:p>
    <w:p w:rsidR="001F369E" w:rsidRPr="00876F4A" w:rsidRDefault="001F369E" w:rsidP="001F369E">
      <w:pPr>
        <w:pStyle w:val="SingleTxtG"/>
        <w:rPr>
          <w:lang w:eastAsia="ar-SA"/>
        </w:rPr>
      </w:pPr>
      <w:r w:rsidRPr="00876F4A">
        <w:rPr>
          <w:lang w:eastAsia="ar-SA"/>
        </w:rPr>
        <w:t xml:space="preserve">Variation de la capacité de </w:t>
      </w:r>
      <w:r w:rsidRPr="00876F4A">
        <w:rPr>
          <w:szCs w:val="24"/>
          <w:lang w:eastAsia="ar-SA"/>
        </w:rPr>
        <w:t>charge</w:t>
      </w:r>
      <w:r w:rsidRPr="00876F4A">
        <w:rPr>
          <w:lang w:eastAsia="ar-SA"/>
        </w:rPr>
        <w:t xml:space="preserve"> (en pourcentage) pour les pneumatiques portant le symbole de </w:t>
      </w:r>
      <w:r w:rsidRPr="00876F4A">
        <w:rPr>
          <w:szCs w:val="24"/>
          <w:lang w:eastAsia="ar-SA"/>
        </w:rPr>
        <w:t>catégorie</w:t>
      </w:r>
      <w:r w:rsidRPr="00876F4A">
        <w:rPr>
          <w:lang w:eastAsia="ar-SA"/>
        </w:rPr>
        <w:t xml:space="preserve"> de vitesse A8</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56"/>
        <w:gridCol w:w="2457"/>
        <w:gridCol w:w="2457"/>
      </w:tblGrid>
      <w:tr w:rsidR="001F369E" w:rsidRPr="00876F4A" w:rsidTr="004130B4">
        <w:trPr>
          <w:tblHeader/>
        </w:trPr>
        <w:tc>
          <w:tcPr>
            <w:tcW w:w="2456" w:type="dxa"/>
            <w:vMerge w:val="restart"/>
            <w:shd w:val="clear" w:color="auto" w:fill="auto"/>
            <w:tcMar>
              <w:left w:w="0" w:type="dxa"/>
              <w:right w:w="0" w:type="dxa"/>
            </w:tcMar>
            <w:vAlign w:val="bottom"/>
          </w:tcPr>
          <w:p w:rsidR="001F369E" w:rsidRPr="00876F4A" w:rsidRDefault="001F369E" w:rsidP="004130B4">
            <w:pPr>
              <w:spacing w:before="40" w:after="40" w:line="200" w:lineRule="exact"/>
              <w:ind w:left="57" w:right="57"/>
              <w:rPr>
                <w:i/>
                <w:sz w:val="16"/>
                <w:u w:val="dashLong"/>
                <w:lang w:eastAsia="ar-SA"/>
              </w:rPr>
            </w:pPr>
            <w:r w:rsidRPr="00876F4A">
              <w:rPr>
                <w:bCs/>
                <w:i/>
                <w:sz w:val="16"/>
                <w:szCs w:val="16"/>
                <w:lang w:eastAsia="ar-SA"/>
              </w:rPr>
              <w:t>Vitesse (km/h)</w:t>
            </w:r>
          </w:p>
        </w:tc>
        <w:tc>
          <w:tcPr>
            <w:tcW w:w="4914" w:type="dxa"/>
            <w:gridSpan w:val="2"/>
            <w:shd w:val="clear" w:color="auto" w:fill="auto"/>
            <w:tcMar>
              <w:left w:w="0" w:type="dxa"/>
              <w:right w:w="0" w:type="dxa"/>
            </w:tcMar>
            <w:vAlign w:val="bottom"/>
          </w:tcPr>
          <w:p w:rsidR="001F369E" w:rsidRPr="00876F4A" w:rsidRDefault="001F369E" w:rsidP="004130B4">
            <w:pPr>
              <w:spacing w:before="40" w:after="40" w:line="200" w:lineRule="exact"/>
              <w:ind w:left="57" w:right="57"/>
              <w:jc w:val="center"/>
              <w:rPr>
                <w:i/>
                <w:sz w:val="16"/>
                <w:u w:val="dashLong"/>
                <w:lang w:eastAsia="ar-SA"/>
              </w:rPr>
            </w:pPr>
            <w:r w:rsidRPr="00876F4A">
              <w:rPr>
                <w:bCs/>
                <w:i/>
                <w:sz w:val="16"/>
                <w:szCs w:val="16"/>
                <w:lang w:eastAsia="ar-SA"/>
              </w:rPr>
              <w:t>Variation de la capacité de charge (%)</w:t>
            </w:r>
          </w:p>
        </w:tc>
      </w:tr>
      <w:tr w:rsidR="001F369E" w:rsidRPr="00876F4A" w:rsidTr="004130B4">
        <w:trPr>
          <w:tblHeader/>
        </w:trPr>
        <w:tc>
          <w:tcPr>
            <w:tcW w:w="2456" w:type="dxa"/>
            <w:vMerge/>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rPr>
                <w:sz w:val="18"/>
                <w:u w:val="dashLong"/>
                <w:lang w:eastAsia="ar-SA"/>
              </w:rPr>
            </w:pPr>
          </w:p>
        </w:tc>
        <w:tc>
          <w:tcPr>
            <w:tcW w:w="2457"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bCs/>
                <w:i/>
                <w:sz w:val="16"/>
                <w:szCs w:val="16"/>
                <w:lang w:eastAsia="ar-SA"/>
              </w:rPr>
              <w:t>Charge constante</w:t>
            </w:r>
          </w:p>
        </w:tc>
        <w:tc>
          <w:tcPr>
            <w:tcW w:w="2457"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40" w:after="40" w:line="220" w:lineRule="exact"/>
              <w:ind w:left="57" w:right="57"/>
              <w:jc w:val="right"/>
              <w:rPr>
                <w:sz w:val="18"/>
                <w:u w:val="dashLong"/>
                <w:lang w:eastAsia="ar-SA"/>
              </w:rPr>
            </w:pPr>
            <w:r w:rsidRPr="00876F4A">
              <w:rPr>
                <w:bCs/>
                <w:i/>
                <w:sz w:val="16"/>
                <w:szCs w:val="16"/>
                <w:lang w:eastAsia="ar-SA"/>
              </w:rPr>
              <w:t>Applications cycliques</w:t>
            </w:r>
            <w:r w:rsidRPr="00A57A45">
              <w:rPr>
                <w:bCs/>
                <w:i/>
                <w:sz w:val="16"/>
                <w:szCs w:val="16"/>
                <w:vertAlign w:val="superscript"/>
                <w:lang w:eastAsia="ar-SA"/>
              </w:rPr>
              <w:t>+</w:t>
            </w:r>
          </w:p>
        </w:tc>
      </w:tr>
      <w:tr w:rsidR="001F369E" w:rsidRPr="00876F4A" w:rsidTr="004130B4">
        <w:tc>
          <w:tcPr>
            <w:tcW w:w="2456"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5</w:t>
            </w:r>
          </w:p>
        </w:tc>
        <w:tc>
          <w:tcPr>
            <w:tcW w:w="2457"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bCs/>
                <w:sz w:val="18"/>
                <w:szCs w:val="18"/>
                <w:lang w:eastAsia="ar-SA"/>
              </w:rPr>
              <w:t>+45</w:t>
            </w:r>
          </w:p>
        </w:tc>
        <w:tc>
          <w:tcPr>
            <w:tcW w:w="2457" w:type="dxa"/>
            <w:tcBorders>
              <w:top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+67</w:t>
            </w:r>
            <w:r w:rsidRPr="00C21BC0">
              <w:rPr>
                <w:bCs/>
                <w:i/>
                <w:sz w:val="16"/>
                <w:szCs w:val="16"/>
                <w:vertAlign w:val="superscript"/>
                <w:lang w:eastAsia="ar-SA"/>
              </w:rPr>
              <w:t>1</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10</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25</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+50</w:t>
            </w:r>
            <w:r w:rsidRPr="00C21BC0">
              <w:rPr>
                <w:bCs/>
                <w:i/>
                <w:sz w:val="16"/>
                <w:szCs w:val="16"/>
                <w:vertAlign w:val="superscript"/>
                <w:lang w:eastAsia="ar-SA"/>
              </w:rPr>
              <w:t>2</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15</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13</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34</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20</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bCs/>
                <w:sz w:val="18"/>
                <w:szCs w:val="18"/>
                <w:lang w:eastAsia="ar-SA"/>
              </w:rPr>
              <w:t>+9</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23</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rPr>
                <w:sz w:val="18"/>
                <w:u w:val="dashLong"/>
                <w:lang w:eastAsia="ar-SA"/>
              </w:rPr>
            </w:pPr>
            <w:r w:rsidRPr="00876F4A">
              <w:rPr>
                <w:bCs/>
                <w:sz w:val="18"/>
                <w:szCs w:val="18"/>
                <w:lang w:eastAsia="ar-SA"/>
              </w:rPr>
              <w:t>25</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6</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11</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rPr>
                <w:sz w:val="18"/>
                <w:u w:val="dashLong"/>
                <w:lang w:eastAsia="ar-SA"/>
              </w:rPr>
            </w:pPr>
            <w:r w:rsidRPr="00876F4A">
              <w:rPr>
                <w:bCs/>
                <w:sz w:val="18"/>
                <w:szCs w:val="18"/>
                <w:lang w:eastAsia="ar-SA"/>
              </w:rPr>
              <w:t>30</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4</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7</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rPr>
                <w:sz w:val="18"/>
                <w:u w:val="dashLong"/>
                <w:lang w:eastAsia="ar-SA"/>
              </w:rPr>
            </w:pPr>
            <w:r w:rsidRPr="00876F4A">
              <w:rPr>
                <w:bCs/>
                <w:sz w:val="18"/>
                <w:szCs w:val="18"/>
                <w:lang w:eastAsia="ar-SA"/>
              </w:rPr>
              <w:t>35</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2</w:t>
            </w:r>
          </w:p>
        </w:tc>
        <w:tc>
          <w:tcPr>
            <w:tcW w:w="2457" w:type="dxa"/>
            <w:shd w:val="clear" w:color="auto" w:fill="auto"/>
            <w:tcMar>
              <w:left w:w="0" w:type="dxa"/>
              <w:right w:w="0" w:type="dxa"/>
            </w:tcMar>
            <w:vAlign w:val="bottom"/>
          </w:tcPr>
          <w:p w:rsidR="001F369E" w:rsidRPr="00876F4A" w:rsidRDefault="001F369E" w:rsidP="004130B4">
            <w:pPr>
              <w:keepNext/>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3</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40</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bCs/>
                <w:sz w:val="18"/>
                <w:szCs w:val="18"/>
                <w:lang w:eastAsia="ar-SA"/>
              </w:rPr>
              <w:t>[0]</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sidRPr="00876F4A">
              <w:rPr>
                <w:bCs/>
                <w:sz w:val="18"/>
                <w:szCs w:val="18"/>
                <w:lang w:eastAsia="ar-SA"/>
              </w:rPr>
              <w:t>[0]</w:t>
            </w:r>
          </w:p>
        </w:tc>
      </w:tr>
      <w:tr w:rsidR="001F369E" w:rsidRPr="00876F4A" w:rsidTr="004130B4">
        <w:tc>
          <w:tcPr>
            <w:tcW w:w="2456" w:type="dxa"/>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45</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4</w:t>
            </w:r>
          </w:p>
        </w:tc>
        <w:tc>
          <w:tcPr>
            <w:tcW w:w="2457" w:type="dxa"/>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4</w:t>
            </w:r>
          </w:p>
        </w:tc>
      </w:tr>
      <w:tr w:rsidR="001F369E" w:rsidRPr="00876F4A" w:rsidTr="004130B4">
        <w:tc>
          <w:tcPr>
            <w:tcW w:w="2456"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rPr>
                <w:sz w:val="18"/>
                <w:u w:val="dashLong"/>
                <w:lang w:eastAsia="ar-SA"/>
              </w:rPr>
            </w:pPr>
            <w:r w:rsidRPr="00876F4A">
              <w:rPr>
                <w:bCs/>
                <w:sz w:val="18"/>
                <w:szCs w:val="18"/>
                <w:lang w:eastAsia="ar-SA"/>
              </w:rPr>
              <w:t>50</w:t>
            </w:r>
          </w:p>
        </w:tc>
        <w:tc>
          <w:tcPr>
            <w:tcW w:w="2457"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u w:val="dashLong"/>
                <w:lang w:eastAsia="ar-SA"/>
              </w:rPr>
            </w:pPr>
            <w:r>
              <w:rPr>
                <w:bCs/>
                <w:sz w:val="18"/>
                <w:szCs w:val="18"/>
                <w:lang w:eastAsia="ar-SA"/>
              </w:rPr>
              <w:t>-</w:t>
            </w:r>
            <w:r w:rsidRPr="00876F4A">
              <w:rPr>
                <w:bCs/>
                <w:sz w:val="18"/>
                <w:szCs w:val="18"/>
                <w:lang w:eastAsia="ar-SA"/>
              </w:rPr>
              <w:t>9</w:t>
            </w:r>
          </w:p>
        </w:tc>
        <w:tc>
          <w:tcPr>
            <w:tcW w:w="2457" w:type="dxa"/>
            <w:tcBorders>
              <w:bottom w:val="single" w:sz="12" w:space="0" w:color="auto"/>
            </w:tcBorders>
            <w:shd w:val="clear" w:color="auto" w:fill="auto"/>
            <w:tcMar>
              <w:left w:w="0" w:type="dxa"/>
              <w:right w:w="0" w:type="dxa"/>
            </w:tcMar>
            <w:vAlign w:val="bottom"/>
          </w:tcPr>
          <w:p w:rsidR="001F369E" w:rsidRPr="00876F4A" w:rsidRDefault="001F369E" w:rsidP="004130B4">
            <w:pPr>
              <w:spacing w:before="60" w:after="60" w:line="240" w:lineRule="auto"/>
              <w:ind w:left="57" w:right="57"/>
              <w:jc w:val="right"/>
              <w:rPr>
                <w:sz w:val="18"/>
                <w:lang w:eastAsia="ar-SA"/>
              </w:rPr>
            </w:pPr>
            <w:r>
              <w:rPr>
                <w:bCs/>
                <w:sz w:val="18"/>
                <w:szCs w:val="18"/>
                <w:lang w:eastAsia="ar-SA"/>
              </w:rPr>
              <w:t>-</w:t>
            </w:r>
            <w:r w:rsidRPr="00876F4A">
              <w:rPr>
                <w:bCs/>
                <w:sz w:val="18"/>
                <w:szCs w:val="18"/>
                <w:lang w:eastAsia="ar-SA"/>
              </w:rPr>
              <w:t>9</w:t>
            </w:r>
          </w:p>
        </w:tc>
      </w:tr>
    </w:tbl>
    <w:p w:rsidR="001F369E" w:rsidRPr="00876F4A" w:rsidRDefault="001F369E" w:rsidP="001F369E">
      <w:pPr>
        <w:pStyle w:val="FootnoteText"/>
        <w:spacing w:before="120"/>
        <w:ind w:firstLine="170"/>
        <w:rPr>
          <w:szCs w:val="18"/>
          <w:lang w:eastAsia="ar-SA"/>
        </w:rPr>
      </w:pPr>
      <w:r w:rsidRPr="00A57A45">
        <w:rPr>
          <w:szCs w:val="18"/>
          <w:vertAlign w:val="superscript"/>
          <w:lang w:eastAsia="ar-SA"/>
        </w:rPr>
        <w:t>+</w:t>
      </w:r>
      <w:r>
        <w:rPr>
          <w:szCs w:val="18"/>
          <w:lang w:eastAsia="ar-SA"/>
        </w:rPr>
        <w:t xml:space="preserve">  </w:t>
      </w:r>
      <w:r w:rsidRPr="00876F4A">
        <w:rPr>
          <w:szCs w:val="18"/>
          <w:lang w:eastAsia="ar-SA"/>
        </w:rPr>
        <w:t>On entend par «cycliques» les applications dans lesquelles les pneumatiques sont utilisés chargés à l</w:t>
      </w:r>
      <w:r>
        <w:rPr>
          <w:szCs w:val="18"/>
          <w:lang w:eastAsia="ar-SA"/>
        </w:rPr>
        <w:t>’</w:t>
      </w:r>
      <w:r w:rsidRPr="00876F4A">
        <w:rPr>
          <w:szCs w:val="18"/>
          <w:lang w:eastAsia="ar-SA"/>
        </w:rPr>
        <w:t>aller et à vide au retour (chargeuses par exemple).</w:t>
      </w:r>
    </w:p>
    <w:p w:rsidR="001F369E" w:rsidRPr="00876F4A" w:rsidRDefault="001F369E" w:rsidP="001F369E">
      <w:pPr>
        <w:pStyle w:val="FootnoteText"/>
        <w:ind w:firstLine="170"/>
        <w:rPr>
          <w:szCs w:val="18"/>
          <w:lang w:eastAsia="ar-SA"/>
        </w:rPr>
      </w:pPr>
      <w:r w:rsidRPr="00C21BC0">
        <w:rPr>
          <w:i/>
          <w:sz w:val="16"/>
          <w:szCs w:val="16"/>
          <w:vertAlign w:val="superscript"/>
          <w:lang w:eastAsia="ar-SA"/>
        </w:rPr>
        <w:t>1</w:t>
      </w:r>
      <w:r>
        <w:rPr>
          <w:szCs w:val="18"/>
          <w:lang w:eastAsia="ar-SA"/>
        </w:rPr>
        <w:t xml:space="preserve">  </w:t>
      </w:r>
      <w:r w:rsidRPr="00876F4A">
        <w:rPr>
          <w:szCs w:val="18"/>
          <w:lang w:eastAsia="ar-SA"/>
        </w:rPr>
        <w:t xml:space="preserve">Distance </w:t>
      </w:r>
      <w:r w:rsidRPr="00876F4A">
        <w:rPr>
          <w:szCs w:val="18"/>
        </w:rPr>
        <w:t>aller</w:t>
      </w:r>
      <w:r w:rsidRPr="00876F4A">
        <w:rPr>
          <w:szCs w:val="18"/>
          <w:lang w:eastAsia="ar-SA"/>
        </w:rPr>
        <w:t xml:space="preserve"> de 150 m, charge maximale.</w:t>
      </w:r>
    </w:p>
    <w:p w:rsidR="001F369E" w:rsidRPr="00876F4A" w:rsidRDefault="001F369E" w:rsidP="001F369E">
      <w:pPr>
        <w:pStyle w:val="FootnoteText"/>
        <w:spacing w:after="240"/>
        <w:ind w:firstLine="170"/>
        <w:rPr>
          <w:szCs w:val="18"/>
          <w:lang w:eastAsia="ar-SA"/>
        </w:rPr>
      </w:pPr>
      <w:r w:rsidRPr="00C21BC0">
        <w:rPr>
          <w:i/>
          <w:sz w:val="16"/>
          <w:szCs w:val="16"/>
          <w:vertAlign w:val="superscript"/>
          <w:lang w:eastAsia="ar-SA"/>
        </w:rPr>
        <w:t>2</w:t>
      </w:r>
      <w:r>
        <w:rPr>
          <w:szCs w:val="18"/>
          <w:lang w:eastAsia="ar-SA"/>
        </w:rPr>
        <w:t xml:space="preserve">  </w:t>
      </w:r>
      <w:r w:rsidRPr="00876F4A">
        <w:rPr>
          <w:szCs w:val="18"/>
          <w:lang w:eastAsia="ar-SA"/>
        </w:rPr>
        <w:t>Distance aller de 600 m, charge maximale.».</w:t>
      </w:r>
    </w:p>
    <w:p w:rsidR="001F369E" w:rsidRPr="00040124" w:rsidRDefault="001F369E" w:rsidP="001F369E">
      <w:pPr>
        <w:pStyle w:val="SingleTxtG"/>
        <w:spacing w:before="240" w:after="0"/>
        <w:jc w:val="center"/>
        <w:rPr>
          <w:u w:val="single"/>
        </w:rPr>
      </w:pPr>
      <w:r>
        <w:rPr>
          <w:u w:val="single"/>
        </w:rPr>
        <w:tab/>
      </w:r>
      <w:r>
        <w:rPr>
          <w:u w:val="single"/>
        </w:rPr>
        <w:tab/>
      </w:r>
      <w:r>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87" w:rsidRDefault="00D07B87"/>
  </w:endnote>
  <w:endnote w:type="continuationSeparator" w:id="0">
    <w:p w:rsidR="00D07B87" w:rsidRDefault="00D07B87">
      <w:pPr>
        <w:pStyle w:val="Footer"/>
      </w:pPr>
    </w:p>
  </w:endnote>
  <w:endnote w:type="continuationNotice" w:id="1">
    <w:p w:rsidR="00D07B87" w:rsidRPr="00C451B9" w:rsidRDefault="00D07B8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6569A1">
      <w:rPr>
        <w:b/>
        <w:noProof/>
        <w:sz w:val="18"/>
      </w:rPr>
      <w:t>6</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6569A1">
      <w:rPr>
        <w:b/>
        <w:noProof/>
        <w:sz w:val="18"/>
      </w:rPr>
      <w:t>5</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6569A1"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6569A1" w:rsidP="00E97E2C">
    <w:pPr>
      <w:jc w:val="center"/>
      <w:rPr>
        <w:b/>
        <w:bCs/>
        <w:sz w:val="22"/>
      </w:rPr>
    </w:pPr>
    <w:r>
      <w:pict>
        <v:shape id="_x0000_i1025"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87" w:rsidRPr="00D27D5E" w:rsidRDefault="00D07B87" w:rsidP="00D27D5E">
      <w:pPr>
        <w:tabs>
          <w:tab w:val="right" w:pos="2155"/>
        </w:tabs>
        <w:spacing w:after="80"/>
        <w:ind w:left="680"/>
        <w:rPr>
          <w:u w:val="single"/>
        </w:rPr>
      </w:pPr>
      <w:r>
        <w:rPr>
          <w:u w:val="single"/>
        </w:rPr>
        <w:tab/>
      </w:r>
    </w:p>
  </w:footnote>
  <w:footnote w:type="continuationSeparator" w:id="0">
    <w:p w:rsidR="00D07B87" w:rsidRPr="00D171D4" w:rsidRDefault="00D07B87" w:rsidP="00D171D4">
      <w:pPr>
        <w:tabs>
          <w:tab w:val="right" w:pos="2155"/>
        </w:tabs>
        <w:spacing w:after="80"/>
        <w:ind w:left="680"/>
        <w:rPr>
          <w:u w:val="single"/>
        </w:rPr>
      </w:pPr>
      <w:r w:rsidRPr="00D171D4">
        <w:rPr>
          <w:u w:val="single"/>
        </w:rPr>
        <w:tab/>
      </w:r>
    </w:p>
  </w:footnote>
  <w:footnote w:type="continuationNotice" w:id="1">
    <w:p w:rsidR="00D07B87" w:rsidRPr="00C451B9" w:rsidRDefault="00D07B87"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E/ECE/324</w:t>
    </w:r>
    <w:r w:rsidR="00F4448E" w:rsidRPr="00F4448E">
      <w:t>/Rev.2/Add.105/Rev.2/Amend.1</w:t>
    </w:r>
    <w:r>
      <w:br/>
      <w:t>E/ECE/TRANS/505</w:t>
    </w:r>
    <w:r w:rsidR="00F4448E" w:rsidRPr="00F4448E">
      <w:t>/Rev.2/Add.105/Rev.2/Amend.1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1F369E" w:rsidP="000314C7">
    <w:pPr>
      <w:pStyle w:val="Header"/>
      <w:jc w:val="right"/>
    </w:pPr>
    <w:r>
      <w:t>E/ECE/324</w:t>
    </w:r>
    <w:r w:rsidRPr="00F4448E">
      <w:t>/Rev.2/Add.105/Rev.2/Amend.1</w:t>
    </w:r>
    <w:r>
      <w:br/>
      <w:t>E/ECE/TRANS/505</w:t>
    </w:r>
    <w:r w:rsidRPr="00F4448E">
      <w:t>/Rev.2/Add.105/Rev.2/Amend.1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48E"/>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69E"/>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0B4"/>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80CA6"/>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4C8F"/>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569A1"/>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3E3F"/>
    <w:rsid w:val="007A79CD"/>
    <w:rsid w:val="007D2668"/>
    <w:rsid w:val="007D3119"/>
    <w:rsid w:val="007E3CBD"/>
    <w:rsid w:val="007F1867"/>
    <w:rsid w:val="007F1EC4"/>
    <w:rsid w:val="007F55CB"/>
    <w:rsid w:val="007F768E"/>
    <w:rsid w:val="008021D4"/>
    <w:rsid w:val="008030D1"/>
    <w:rsid w:val="008149F9"/>
    <w:rsid w:val="008245B7"/>
    <w:rsid w:val="0082755E"/>
    <w:rsid w:val="00831A18"/>
    <w:rsid w:val="008345F4"/>
    <w:rsid w:val="00837345"/>
    <w:rsid w:val="00844750"/>
    <w:rsid w:val="00851A74"/>
    <w:rsid w:val="00853AB8"/>
    <w:rsid w:val="00854C34"/>
    <w:rsid w:val="0085586A"/>
    <w:rsid w:val="00855B79"/>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5EC3"/>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476DE"/>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129"/>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07B87"/>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71D2"/>
    <w:rsid w:val="00E23117"/>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448E"/>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link w:val="H1GCar"/>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character" w:customStyle="1" w:styleId="FootnoteTextChar">
    <w:name w:val="Footnote Text Char"/>
    <w:aliases w:val="5_G Char"/>
    <w:link w:val="FootnoteText"/>
    <w:rsid w:val="001F369E"/>
    <w:rPr>
      <w:sz w:val="18"/>
      <w:lang w:val="fr-CH" w:eastAsia="en-US"/>
    </w:rPr>
  </w:style>
  <w:style w:type="character" w:customStyle="1" w:styleId="H1GCar">
    <w:name w:val="_ H_1_G Car"/>
    <w:link w:val="H1G"/>
    <w:rsid w:val="001F369E"/>
    <w:rPr>
      <w:b/>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03</dc:creator>
  <cp:lastModifiedBy>04</cp:lastModifiedBy>
  <cp:revision>3</cp:revision>
  <cp:lastPrinted>2015-06-05T10:31:00Z</cp:lastPrinted>
  <dcterms:created xsi:type="dcterms:W3CDTF">2015-06-15T09:20:00Z</dcterms:created>
  <dcterms:modified xsi:type="dcterms:W3CDTF">2015-06-22T09:42:00Z</dcterms:modified>
</cp:coreProperties>
</file>