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F84A5A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</w:t>
            </w:r>
            <w:r w:rsidR="00FC2CA9">
              <w:t>2</w:t>
            </w:r>
            <w:r w:rsidR="000F17F6">
              <w:t>/</w:t>
            </w:r>
            <w:r>
              <w:t>Add.</w:t>
            </w:r>
            <w:r w:rsidR="00FC2CA9">
              <w:t>10</w:t>
            </w:r>
            <w:r w:rsidR="00F84A5A">
              <w:t>4</w:t>
            </w:r>
            <w:r>
              <w:t>/Rev.</w:t>
            </w:r>
            <w:r w:rsidR="00F84A5A">
              <w:t>2</w:t>
            </w:r>
            <w:r>
              <w:t>/Amend.</w:t>
            </w:r>
            <w:r w:rsidR="000F17F6">
              <w:t>2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F84A5A">
              <w:t>/Rev.2/Add.104/Rev.2/Amend.2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8171E1" w:rsidRPr="00DB58B5" w:rsidRDefault="000C184C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8171E1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F84A5A">
        <w:t>104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84A5A">
        <w:t>105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F84A5A">
        <w:t>2</w:t>
      </w:r>
      <w:r w:rsidR="000314C7">
        <w:t xml:space="preserve"> − Amendement </w:t>
      </w:r>
      <w:r w:rsidR="00F84A5A">
        <w:t>2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F84A5A">
        <w:rPr>
          <w:spacing w:val="-2"/>
        </w:rPr>
        <w:t>2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F84A5A">
        <w:rPr>
          <w:spacing w:val="-2"/>
        </w:rPr>
        <w:t>05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</w:t>
      </w:r>
      <w:r w:rsidR="00F84A5A">
        <w:rPr>
          <w:spacing w:val="-2"/>
        </w:rPr>
        <w:t xml:space="preserve"> </w:t>
      </w:r>
      <w:r w:rsidR="00015650" w:rsidRPr="00FC2CA9">
        <w:rPr>
          <w:spacing w:val="-2"/>
        </w:rPr>
        <w:t xml:space="preserve"> − Date d’entrée en vigueur: </w:t>
      </w:r>
      <w:r w:rsidR="00F84A5A">
        <w:rPr>
          <w:spacing w:val="-2"/>
        </w:rPr>
        <w:br/>
      </w:r>
      <w:r w:rsidR="00015650" w:rsidRPr="00FC2CA9">
        <w:rPr>
          <w:spacing w:val="-2"/>
        </w:rPr>
        <w:t>15 jui</w:t>
      </w:r>
      <w:r w:rsidR="00A92017" w:rsidRPr="00FC2CA9">
        <w:rPr>
          <w:spacing w:val="-2"/>
        </w:rPr>
        <w:t>n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F84A5A" w:rsidRPr="00F84A5A">
        <w:rPr>
          <w:spacing w:val="-2"/>
        </w:rPr>
        <w:t>Prescriptions uniformes relatives à l'homologation des véhicules destinés au transport de marchandises dangereuses en ce qui concerne leurs caractéristiques particulières de construction</w:t>
      </w:r>
    </w:p>
    <w:p w:rsidR="00FC2CA9" w:rsidRDefault="001D3393" w:rsidP="00FC2CA9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FC2CA9">
        <w:rPr>
          <w:lang w:val="en-GB" w:eastAsia="en-GB"/>
        </w:rPr>
        <w:t>4/</w:t>
      </w:r>
      <w:r w:rsidR="00F84A5A">
        <w:rPr>
          <w:lang w:val="en-GB" w:eastAsia="en-GB"/>
        </w:rPr>
        <w:t>68</w:t>
      </w:r>
      <w:r w:rsidR="004D3096">
        <w:rPr>
          <w:lang w:val="en-GB" w:eastAsia="en-GB"/>
        </w:rPr>
        <w:t>.</w:t>
      </w:r>
    </w:p>
    <w:p w:rsidR="00321C01" w:rsidRPr="00AB0647" w:rsidRDefault="00DD1ED8" w:rsidP="00321C01">
      <w:pPr>
        <w:pStyle w:val="SingleTxtG"/>
      </w:pPr>
      <w:r>
        <w:br w:type="page"/>
      </w:r>
      <w:r w:rsidR="00321C01" w:rsidRPr="00AB0647">
        <w:rPr>
          <w:i/>
        </w:rPr>
        <w:lastRenderedPageBreak/>
        <w:t>Paragraphe 5.1.1.</w:t>
      </w:r>
      <w:r w:rsidR="00321C01">
        <w:rPr>
          <w:i/>
        </w:rPr>
        <w:t>5</w:t>
      </w:r>
      <w:r w:rsidR="00321C01" w:rsidRPr="00AB0647">
        <w:rPr>
          <w:i/>
        </w:rPr>
        <w:t>.</w:t>
      </w:r>
      <w:r w:rsidR="00321C01">
        <w:rPr>
          <w:i/>
        </w:rPr>
        <w:t>1</w:t>
      </w:r>
      <w:r w:rsidR="00321C01" w:rsidRPr="00AB0647">
        <w:t xml:space="preserve">, </w:t>
      </w:r>
      <w:proofErr w:type="gramStart"/>
      <w:r w:rsidR="00321C01">
        <w:t>modifier</w:t>
      </w:r>
      <w:proofErr w:type="gramEnd"/>
      <w:r w:rsidR="00321C01">
        <w:t xml:space="preserve"> comme suit (y compris suppression de la note 5)</w:t>
      </w:r>
      <w:r w:rsidR="00321C01" w:rsidRPr="00AB0647">
        <w:t>:</w:t>
      </w:r>
    </w:p>
    <w:p w:rsidR="00321C01" w:rsidRPr="00127C69" w:rsidRDefault="00321C01" w:rsidP="00321C01">
      <w:pPr>
        <w:pStyle w:val="para"/>
        <w:keepNext/>
        <w:rPr>
          <w:lang w:val="fr-CH"/>
        </w:rPr>
      </w:pPr>
      <w:r>
        <w:t>«5</w:t>
      </w:r>
      <w:r w:rsidRPr="00127C69">
        <w:rPr>
          <w:lang w:val="fr-CH"/>
        </w:rPr>
        <w:t>.1.1.5.1</w:t>
      </w:r>
      <w:r w:rsidRPr="00127C69">
        <w:rPr>
          <w:lang w:val="fr-CH"/>
        </w:rPr>
        <w:tab/>
        <w:t>Les parties de l</w:t>
      </w:r>
      <w:r>
        <w:rPr>
          <w:lang w:val="fr-CH"/>
        </w:rPr>
        <w:t>’</w:t>
      </w:r>
      <w:r w:rsidRPr="00127C69">
        <w:rPr>
          <w:lang w:val="fr-CH"/>
        </w:rPr>
        <w:t>installation électrique, y compris les fils, qui doivent rester sous tension lorsque le coupe-circuit de batteries est ouvert</w:t>
      </w:r>
      <w:r>
        <w:rPr>
          <w:lang w:val="fr-CH"/>
        </w:rPr>
        <w:t>,</w:t>
      </w:r>
      <w:r w:rsidRPr="00127C69">
        <w:rPr>
          <w:lang w:val="fr-CH"/>
        </w:rPr>
        <w:t xml:space="preserve"> doivent convenir à une utilisation en zone dangereuse. Cet équipement doit satisfaire aux dispositions appropriées de la norme CEI 60079</w:t>
      </w:r>
      <w:r>
        <w:rPr>
          <w:vertAlign w:val="superscript"/>
          <w:lang w:val="fr-CH"/>
        </w:rPr>
        <w:t>4</w:t>
      </w:r>
      <w:r w:rsidRPr="00127C69">
        <w:rPr>
          <w:lang w:val="fr-CH"/>
        </w:rPr>
        <w:t>, parties</w:t>
      </w:r>
      <w:r>
        <w:rPr>
          <w:lang w:val="fr-CH"/>
        </w:rPr>
        <w:t> </w:t>
      </w:r>
      <w:r w:rsidRPr="00127C69">
        <w:rPr>
          <w:lang w:val="fr-CH"/>
        </w:rPr>
        <w:t>0 et</w:t>
      </w:r>
      <w:r>
        <w:rPr>
          <w:lang w:val="fr-CH"/>
        </w:rPr>
        <w:t> </w:t>
      </w:r>
      <w:r w:rsidRPr="00127C69">
        <w:rPr>
          <w:lang w:val="fr-CH"/>
        </w:rPr>
        <w:t>14</w:t>
      </w:r>
      <w:r>
        <w:rPr>
          <w:lang w:val="fr-CH"/>
        </w:rPr>
        <w:t>,</w:t>
      </w:r>
      <w:r w:rsidRPr="00127C69">
        <w:rPr>
          <w:lang w:val="fr-CH"/>
        </w:rPr>
        <w:t xml:space="preserve"> et aux dispositions supplémentaires applicables de la norme CEI</w:t>
      </w:r>
      <w:r>
        <w:rPr>
          <w:lang w:val="fr-CH"/>
        </w:rPr>
        <w:t> 60079</w:t>
      </w:r>
      <w:r w:rsidRPr="00127C69">
        <w:rPr>
          <w:lang w:val="fr-CH"/>
        </w:rPr>
        <w:t>, parties 1, 2, 5, 6, 7, 11, 15 ou 18.</w:t>
      </w:r>
    </w:p>
    <w:p w:rsidR="00321C01" w:rsidRDefault="00321C01" w:rsidP="00321C01">
      <w:pPr>
        <w:pStyle w:val="para"/>
        <w:ind w:firstLine="0"/>
      </w:pPr>
      <w:r w:rsidRPr="00127C69">
        <w:tab/>
        <w:t>Pour l</w:t>
      </w:r>
      <w:r>
        <w:t>’</w:t>
      </w:r>
      <w:r w:rsidRPr="00127C69">
        <w:t>application de la norme CEI 60079, partie</w:t>
      </w:r>
      <w:r>
        <w:t> </w:t>
      </w:r>
      <w:r w:rsidRPr="00127C69">
        <w:t>14, la classification suivante doit être appliquée:</w:t>
      </w:r>
    </w:p>
    <w:p w:rsidR="00321C01" w:rsidRDefault="00321C01" w:rsidP="00321C01">
      <w:pPr>
        <w:pStyle w:val="para"/>
        <w:ind w:firstLine="0"/>
        <w:rPr>
          <w:lang w:val="fr-CH"/>
        </w:rPr>
      </w:pPr>
      <w:r>
        <w:tab/>
        <w:t>…»</w:t>
      </w:r>
    </w:p>
    <w:p w:rsidR="00321C01" w:rsidRPr="00AB0647" w:rsidRDefault="00321C01" w:rsidP="00321C01">
      <w:pPr>
        <w:pStyle w:val="para"/>
        <w:keepNext/>
      </w:pPr>
      <w:r w:rsidRPr="00AB0647">
        <w:rPr>
          <w:i/>
        </w:rPr>
        <w:t>Paragraphe</w:t>
      </w:r>
      <w:r>
        <w:rPr>
          <w:i/>
        </w:rPr>
        <w:t> </w:t>
      </w:r>
      <w:r w:rsidRPr="00AB0647">
        <w:rPr>
          <w:i/>
        </w:rPr>
        <w:t>5.1.1.</w:t>
      </w:r>
      <w:r>
        <w:rPr>
          <w:i/>
        </w:rPr>
        <w:t>6</w:t>
      </w:r>
      <w:r w:rsidRPr="00AB0647">
        <w:rPr>
          <w:i/>
        </w:rPr>
        <w:t>.</w:t>
      </w:r>
      <w:r>
        <w:rPr>
          <w:i/>
        </w:rPr>
        <w:t>2</w:t>
      </w:r>
      <w:r w:rsidRPr="00AB0647">
        <w:t xml:space="preserve">, </w:t>
      </w:r>
      <w:proofErr w:type="gramStart"/>
      <w:r>
        <w:t>modifier</w:t>
      </w:r>
      <w:proofErr w:type="gramEnd"/>
      <w:r>
        <w:t xml:space="preserve"> comme suit</w:t>
      </w:r>
      <w:r w:rsidRPr="00AB0647">
        <w:t>:</w:t>
      </w:r>
    </w:p>
    <w:p w:rsidR="00321C01" w:rsidRPr="00127C69" w:rsidRDefault="00321C01" w:rsidP="00321C01">
      <w:pPr>
        <w:pStyle w:val="para"/>
        <w:keepNext/>
        <w:rPr>
          <w:lang w:val="fr-CH"/>
        </w:rPr>
      </w:pPr>
      <w:r>
        <w:rPr>
          <w:lang w:val="fr-CH"/>
        </w:rPr>
        <w:t>«</w:t>
      </w:r>
      <w:r w:rsidRPr="00127C69">
        <w:rPr>
          <w:lang w:val="fr-CH"/>
        </w:rPr>
        <w:t>5.1.1.6.2</w:t>
      </w:r>
      <w:r w:rsidRPr="00127C69">
        <w:rPr>
          <w:lang w:val="fr-CH"/>
        </w:rPr>
        <w:tab/>
        <w:t>Éclairage</w:t>
      </w:r>
    </w:p>
    <w:p w:rsidR="00321C01" w:rsidRPr="00127C69" w:rsidRDefault="00321C01" w:rsidP="00321C01">
      <w:pPr>
        <w:pStyle w:val="para"/>
        <w:ind w:firstLine="0"/>
        <w:rPr>
          <w:lang w:val="fr-CH"/>
        </w:rPr>
      </w:pPr>
      <w:r w:rsidRPr="00127C69">
        <w:rPr>
          <w:lang w:val="fr-CH"/>
        </w:rPr>
        <w:tab/>
        <w:t>Des lampes avec culot à vis ne doivent pas être utilisées.</w:t>
      </w:r>
      <w:r>
        <w:rPr>
          <w:lang w:val="fr-CH"/>
        </w:rPr>
        <w:t>»</w:t>
      </w:r>
    </w:p>
    <w:p w:rsidR="00321C01" w:rsidRPr="00AB0647" w:rsidRDefault="00321C01" w:rsidP="00321C01">
      <w:pPr>
        <w:pStyle w:val="SingleTxtG"/>
      </w:pPr>
      <w:r w:rsidRPr="00AB0647">
        <w:rPr>
          <w:i/>
        </w:rPr>
        <w:t>Paragraphe 5.1.1.</w:t>
      </w:r>
      <w:r>
        <w:rPr>
          <w:i/>
        </w:rPr>
        <w:t>6</w:t>
      </w:r>
      <w:r w:rsidRPr="00AB0647">
        <w:rPr>
          <w:i/>
        </w:rPr>
        <w:t>.3</w:t>
      </w:r>
      <w:r w:rsidRPr="00AB0647">
        <w:t xml:space="preserve">, </w:t>
      </w:r>
      <w:r>
        <w:t>modifier comme suit (l’appel de note et la note 6 deviennent l’appel de note et la note 5)</w:t>
      </w:r>
      <w:r w:rsidRPr="00AB0647">
        <w:t>:</w:t>
      </w:r>
    </w:p>
    <w:p w:rsidR="00321C01" w:rsidRPr="00127C69" w:rsidRDefault="00321C01" w:rsidP="00321C01">
      <w:pPr>
        <w:pStyle w:val="para"/>
        <w:rPr>
          <w:lang w:val="fr-CH"/>
        </w:rPr>
      </w:pPr>
      <w:r>
        <w:rPr>
          <w:lang w:val="fr-CH"/>
        </w:rPr>
        <w:t>«5</w:t>
      </w:r>
      <w:r w:rsidRPr="00127C69">
        <w:rPr>
          <w:lang w:val="fr-CH"/>
        </w:rPr>
        <w:t>.1.1.6.3</w:t>
      </w:r>
      <w:r w:rsidRPr="00127C69">
        <w:rPr>
          <w:lang w:val="fr-CH"/>
        </w:rPr>
        <w:tab/>
        <w:t>Connexions électriques</w:t>
      </w:r>
    </w:p>
    <w:p w:rsidR="00321C01" w:rsidRDefault="00321C01" w:rsidP="00321C01">
      <w:pPr>
        <w:pStyle w:val="para"/>
        <w:ind w:firstLine="0"/>
        <w:rPr>
          <w:lang w:val="fr-CH"/>
        </w:rPr>
      </w:pPr>
      <w:r w:rsidRPr="00127C69">
        <w:rPr>
          <w:lang w:val="fr-CH"/>
        </w:rPr>
        <w:tab/>
        <w:t xml:space="preserve">Les connexions électriques </w:t>
      </w:r>
      <w:r>
        <w:rPr>
          <w:lang w:val="fr-CH"/>
        </w:rPr>
        <w:t xml:space="preserve">… </w:t>
      </w:r>
      <w:r w:rsidRPr="00127C69">
        <w:rPr>
          <w:lang w:val="fr-CH"/>
        </w:rPr>
        <w:t>co</w:t>
      </w:r>
      <w:r>
        <w:rPr>
          <w:lang w:val="fr-CH"/>
        </w:rPr>
        <w:t xml:space="preserve">nformément à la norme CEI 60529 </w:t>
      </w:r>
      <w:r w:rsidRPr="00127C69">
        <w:rPr>
          <w:lang w:val="fr-CH"/>
        </w:rPr>
        <w:t>et être conçues de manière à empêcher une déconnexion accidentelle. Elles doivent être conformes à la norme ISO </w:t>
      </w:r>
      <w:r>
        <w:rPr>
          <w:lang w:val="fr-CH"/>
        </w:rPr>
        <w:t>25981:2008</w:t>
      </w:r>
      <w:r>
        <w:rPr>
          <w:vertAlign w:val="superscript"/>
          <w:lang w:val="fr-CH"/>
        </w:rPr>
        <w:t>5</w:t>
      </w:r>
      <w:r>
        <w:rPr>
          <w:lang w:val="fr-CH"/>
        </w:rPr>
        <w:t>, ISO 12098:2004</w:t>
      </w:r>
      <w:r>
        <w:rPr>
          <w:vertAlign w:val="superscript"/>
          <w:lang w:val="fr-CH"/>
        </w:rPr>
        <w:t>5</w:t>
      </w:r>
      <w:r>
        <w:rPr>
          <w:lang w:val="fr-CH"/>
        </w:rPr>
        <w:t>,</w:t>
      </w:r>
      <w:r w:rsidRPr="00127C69">
        <w:rPr>
          <w:lang w:val="fr-CH"/>
        </w:rPr>
        <w:t xml:space="preserve"> ISO 7638:2003</w:t>
      </w:r>
      <w:r>
        <w:rPr>
          <w:vertAlign w:val="superscript"/>
          <w:lang w:val="fr-CH"/>
        </w:rPr>
        <w:t>5</w:t>
      </w:r>
      <w:r>
        <w:rPr>
          <w:lang w:val="fr-CH"/>
        </w:rPr>
        <w:t xml:space="preserve"> et </w:t>
      </w:r>
      <w:r>
        <w:t>EN 15207:2006</w:t>
      </w:r>
      <w:r w:rsidRPr="00127C69">
        <w:rPr>
          <w:lang w:val="fr-CH"/>
        </w:rPr>
        <w:t>, selon le cas.</w:t>
      </w:r>
      <w:r>
        <w:rPr>
          <w:lang w:val="fr-CH"/>
        </w:rPr>
        <w:t>»</w:t>
      </w:r>
    </w:p>
    <w:p w:rsidR="00321C01" w:rsidRPr="00CF704D" w:rsidRDefault="00321C01" w:rsidP="00321C01">
      <w:pPr>
        <w:pStyle w:val="para"/>
        <w:ind w:left="1134" w:firstLine="0"/>
      </w:pPr>
      <w:r w:rsidRPr="00CF704D">
        <w:rPr>
          <w:i/>
        </w:rPr>
        <w:t>Paragraphe</w:t>
      </w:r>
      <w:r>
        <w:rPr>
          <w:i/>
        </w:rPr>
        <w:t>s </w:t>
      </w:r>
      <w:r w:rsidRPr="00CF704D">
        <w:rPr>
          <w:i/>
        </w:rPr>
        <w:t>5.1.2.4 et</w:t>
      </w:r>
      <w:r>
        <w:rPr>
          <w:i/>
        </w:rPr>
        <w:t> </w:t>
      </w:r>
      <w:r w:rsidRPr="00CF704D">
        <w:rPr>
          <w:i/>
        </w:rPr>
        <w:t>5.1.2.5,</w:t>
      </w:r>
      <w:r w:rsidRPr="00CF704D">
        <w:t xml:space="preserve"> </w:t>
      </w:r>
      <w:r>
        <w:t>l’appel de note et la note 7 deviennent l’appel de note et la note 6.</w:t>
      </w:r>
    </w:p>
    <w:p w:rsidR="00321C01" w:rsidRPr="00537BA4" w:rsidRDefault="00321C01" w:rsidP="00321C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14" w:rsidRDefault="005A4F14"/>
  </w:endnote>
  <w:endnote w:type="continuationSeparator" w:id="0">
    <w:p w:rsidR="005A4F14" w:rsidRDefault="005A4F14">
      <w:pPr>
        <w:pStyle w:val="Footer"/>
      </w:pPr>
    </w:p>
  </w:endnote>
  <w:endnote w:type="continuationNotice" w:id="1">
    <w:p w:rsidR="005A4F14" w:rsidRPr="00C451B9" w:rsidRDefault="005A4F1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C184C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0C184C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0C184C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14" w:rsidRPr="00D27D5E" w:rsidRDefault="005A4F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4F14" w:rsidRPr="00D171D4" w:rsidRDefault="005A4F1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A4F14" w:rsidRPr="00C451B9" w:rsidRDefault="005A4F1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F84A5A" w:rsidRPr="00F84A5A">
      <w:t>/Rev.2/Add.104/Rev.2/Amend.2</w:t>
    </w:r>
    <w:r>
      <w:br/>
      <w:t>E/</w:t>
    </w:r>
    <w:proofErr w:type="spellStart"/>
    <w:r>
      <w:t>ECE</w:t>
    </w:r>
    <w:proofErr w:type="spellEnd"/>
    <w:r>
      <w:t>/TRANS/505</w:t>
    </w:r>
    <w:r w:rsidR="00F84A5A" w:rsidRPr="00F84A5A">
      <w:t>/Rev.2/Add.104/Rev.2/Amend.2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184C"/>
    <w:rsid w:val="000C6CDB"/>
    <w:rsid w:val="000D5C25"/>
    <w:rsid w:val="000E4F06"/>
    <w:rsid w:val="000E5601"/>
    <w:rsid w:val="000F17F6"/>
    <w:rsid w:val="000F41F2"/>
    <w:rsid w:val="0010373B"/>
    <w:rsid w:val="0011415F"/>
    <w:rsid w:val="00114CB5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D6DB4"/>
    <w:rsid w:val="002E2F5C"/>
    <w:rsid w:val="002F0C48"/>
    <w:rsid w:val="003016B7"/>
    <w:rsid w:val="0030754C"/>
    <w:rsid w:val="00317E54"/>
    <w:rsid w:val="00321C01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D3096"/>
    <w:rsid w:val="004E4963"/>
    <w:rsid w:val="004E6809"/>
    <w:rsid w:val="004E7F24"/>
    <w:rsid w:val="004F0510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4F14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515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171E1"/>
    <w:rsid w:val="008245B7"/>
    <w:rsid w:val="0082755E"/>
    <w:rsid w:val="00831A18"/>
    <w:rsid w:val="008345F4"/>
    <w:rsid w:val="00836AD2"/>
    <w:rsid w:val="00837345"/>
    <w:rsid w:val="00844750"/>
    <w:rsid w:val="00851A74"/>
    <w:rsid w:val="00853AB8"/>
    <w:rsid w:val="00854C34"/>
    <w:rsid w:val="0085586A"/>
    <w:rsid w:val="00856DB2"/>
    <w:rsid w:val="00885B2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09EA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807B1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46521"/>
    <w:rsid w:val="00F515AD"/>
    <w:rsid w:val="00F56B14"/>
    <w:rsid w:val="00F57DD7"/>
    <w:rsid w:val="00F636AD"/>
    <w:rsid w:val="00F734D9"/>
    <w:rsid w:val="00F73F83"/>
    <w:rsid w:val="00F74902"/>
    <w:rsid w:val="00F84A5A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paragraph" w:customStyle="1" w:styleId="para">
    <w:name w:val="para"/>
    <w:basedOn w:val="Normal"/>
    <w:rsid w:val="00321C01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2015-06-05T10:30:00Z</cp:lastPrinted>
  <dcterms:created xsi:type="dcterms:W3CDTF">2015-06-15T09:21:00Z</dcterms:created>
  <dcterms:modified xsi:type="dcterms:W3CDTF">2015-06-22T09:42:00Z</dcterms:modified>
</cp:coreProperties>
</file>