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rsidTr="00495A7B">
        <w:trPr>
          <w:trHeight w:hRule="exact" w:val="851"/>
        </w:trPr>
        <w:tc>
          <w:tcPr>
            <w:tcW w:w="9639" w:type="dxa"/>
            <w:gridSpan w:val="2"/>
            <w:tcBorders>
              <w:bottom w:val="single" w:sz="4" w:space="0" w:color="auto"/>
            </w:tcBorders>
            <w:shd w:val="clear" w:color="auto" w:fill="auto"/>
            <w:vAlign w:val="bottom"/>
          </w:tcPr>
          <w:p w:rsidR="00421A10" w:rsidRPr="00DB58B5" w:rsidRDefault="000314C7" w:rsidP="00FC2CA9">
            <w:pPr>
              <w:jc w:val="right"/>
            </w:pPr>
            <w:r w:rsidRPr="00495A7B">
              <w:rPr>
                <w:sz w:val="40"/>
              </w:rPr>
              <w:t>E</w:t>
            </w:r>
            <w:r>
              <w:t>/ECE/324/</w:t>
            </w:r>
            <w:r w:rsidR="000F17F6">
              <w:t>Rev.</w:t>
            </w:r>
            <w:r w:rsidR="00FC2CA9">
              <w:t>2</w:t>
            </w:r>
            <w:r w:rsidR="000F17F6">
              <w:t>/</w:t>
            </w:r>
            <w:r>
              <w:t>Add.</w:t>
            </w:r>
            <w:r w:rsidR="00FC2CA9">
              <w:t>103</w:t>
            </w:r>
            <w:r>
              <w:t>/Rev.</w:t>
            </w:r>
            <w:r w:rsidR="00FC2CA9">
              <w:t>1</w:t>
            </w:r>
            <w:r>
              <w:t>/Amend.</w:t>
            </w:r>
            <w:r w:rsidR="000F17F6">
              <w:t>2</w:t>
            </w:r>
            <w:r>
              <w:t>−</w:t>
            </w:r>
            <w:r w:rsidRPr="00495A7B">
              <w:rPr>
                <w:sz w:val="40"/>
              </w:rPr>
              <w:t>E</w:t>
            </w:r>
            <w:r>
              <w:t>/ECE/TRANS/505</w:t>
            </w:r>
            <w:r w:rsidR="00FC2CA9">
              <w:t>/Rev.2/Add.103/Rev.1/Amend.2</w:t>
            </w:r>
          </w:p>
        </w:tc>
      </w:tr>
      <w:tr w:rsidR="00421A10" w:rsidRPr="00DB58B5" w:rsidTr="00495A7B">
        <w:trPr>
          <w:trHeight w:hRule="exact" w:val="2835"/>
        </w:trPr>
        <w:tc>
          <w:tcPr>
            <w:tcW w:w="6804" w:type="dxa"/>
            <w:tcBorders>
              <w:top w:val="single" w:sz="4" w:space="0" w:color="auto"/>
              <w:bottom w:val="single" w:sz="12" w:space="0" w:color="auto"/>
            </w:tcBorders>
            <w:shd w:val="clear" w:color="auto" w:fill="auto"/>
          </w:tcPr>
          <w:p w:rsidR="00421A10" w:rsidRPr="00A574B7" w:rsidRDefault="00421A10" w:rsidP="00495A7B">
            <w:pPr>
              <w:spacing w:before="120" w:line="380" w:lineRule="exact"/>
            </w:pPr>
          </w:p>
        </w:tc>
        <w:tc>
          <w:tcPr>
            <w:tcW w:w="2835" w:type="dxa"/>
            <w:tcBorders>
              <w:top w:val="single" w:sz="4" w:space="0" w:color="auto"/>
              <w:bottom w:val="single" w:sz="12" w:space="0" w:color="auto"/>
            </w:tcBorders>
            <w:shd w:val="clear" w:color="auto" w:fill="auto"/>
          </w:tcPr>
          <w:p w:rsidR="00421A10" w:rsidRDefault="00421A10" w:rsidP="00495A7B">
            <w:pPr>
              <w:spacing w:before="480" w:line="240" w:lineRule="exact"/>
            </w:pPr>
          </w:p>
          <w:p w:rsidR="005D2D41" w:rsidRPr="00DB58B5" w:rsidRDefault="00AA326B" w:rsidP="00495A7B">
            <w:pPr>
              <w:spacing w:before="480" w:line="240" w:lineRule="exact"/>
            </w:pPr>
            <w:r>
              <w:t>22</w:t>
            </w:r>
            <w:bookmarkStart w:id="0" w:name="_GoBack"/>
            <w:bookmarkEnd w:id="0"/>
            <w:r w:rsidR="005D2D41">
              <w:t xml:space="preserve"> juin 2015</w:t>
            </w:r>
          </w:p>
        </w:tc>
      </w:tr>
    </w:tbl>
    <w:p w:rsidR="00421A10" w:rsidRPr="006549FF" w:rsidRDefault="0029791D" w:rsidP="00242268">
      <w:pPr>
        <w:pStyle w:val="HChG"/>
        <w:spacing w:before="320" w:after="220" w:line="260" w:lineRule="exact"/>
      </w:pPr>
      <w:r>
        <w:tab/>
      </w:r>
      <w:r>
        <w:tab/>
      </w:r>
      <w:r w:rsidR="00421A10" w:rsidRPr="006549FF">
        <w:t>Accord</w:t>
      </w:r>
    </w:p>
    <w:p w:rsidR="00421A10" w:rsidRPr="00583D68" w:rsidRDefault="0029791D" w:rsidP="00242268">
      <w:pPr>
        <w:pStyle w:val="H1G"/>
        <w:spacing w:before="340" w:after="220" w:line="260" w:lineRule="exact"/>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Pr="00037B3F">
        <w:rPr>
          <w:b w:val="0"/>
          <w:sz w:val="20"/>
        </w:rPr>
        <w:t>*</w:t>
      </w:r>
    </w:p>
    <w:p w:rsidR="00421A10" w:rsidRPr="00A12483" w:rsidRDefault="00421A10" w:rsidP="00242268">
      <w:pPr>
        <w:pStyle w:val="SingleTxtG"/>
        <w:spacing w:after="100" w:line="220" w:lineRule="atLeast"/>
        <w:jc w:val="left"/>
        <w:rPr>
          <w:b/>
          <w:sz w:val="24"/>
          <w:szCs w:val="24"/>
        </w:rPr>
      </w:pPr>
      <w:r w:rsidRPr="006549FF">
        <w:t xml:space="preserve">(Révision </w:t>
      </w:r>
      <w:r w:rsidR="000314C7">
        <w:t>2</w:t>
      </w:r>
      <w:r w:rsidRPr="006549FF">
        <w:t>, comprenant les amen</w:t>
      </w:r>
      <w:r>
        <w:t xml:space="preserve">dements entrés en vigueur le 16 </w:t>
      </w:r>
      <w:r w:rsidRPr="006549FF">
        <w:t>octobre 1995)</w:t>
      </w:r>
    </w:p>
    <w:p w:rsidR="00421A10" w:rsidRPr="006549FF" w:rsidRDefault="0029791D" w:rsidP="00242268">
      <w:pPr>
        <w:spacing w:line="220" w:lineRule="atLeast"/>
        <w:jc w:val="center"/>
      </w:pPr>
      <w:r>
        <w:t>_______________</w:t>
      </w:r>
    </w:p>
    <w:p w:rsidR="00421A10" w:rsidRPr="006549FF" w:rsidRDefault="0029791D" w:rsidP="00242268">
      <w:pPr>
        <w:pStyle w:val="HChG"/>
        <w:spacing w:before="200" w:after="100" w:line="260" w:lineRule="exact"/>
      </w:pPr>
      <w:r>
        <w:tab/>
      </w:r>
      <w:r>
        <w:tab/>
      </w:r>
      <w:r w:rsidR="00421A10" w:rsidRPr="006549FF">
        <w:t xml:space="preserve">Additif </w:t>
      </w:r>
      <w:r w:rsidR="00FC2CA9">
        <w:t>103</w:t>
      </w:r>
      <w:r w:rsidR="00421A10" w:rsidRPr="006549FF">
        <w:t>: Règlement</w:t>
      </w:r>
      <w:r w:rsidR="00421A10">
        <w:t xml:space="preserve"> </w:t>
      </w:r>
      <w:r w:rsidR="00421A10" w:rsidRPr="00B371BF">
        <w:t>n</w:t>
      </w:r>
      <w:r w:rsidR="00421A10" w:rsidRPr="00B371BF">
        <w:rPr>
          <w:vertAlign w:val="superscript"/>
        </w:rPr>
        <w:t>o</w:t>
      </w:r>
      <w:r w:rsidR="00421A10">
        <w:t> </w:t>
      </w:r>
      <w:r w:rsidR="00FC2CA9">
        <w:t>104</w:t>
      </w:r>
    </w:p>
    <w:p w:rsidR="00421A10" w:rsidRPr="006549FF" w:rsidRDefault="0029791D" w:rsidP="00242268">
      <w:pPr>
        <w:pStyle w:val="H1G"/>
        <w:spacing w:before="220" w:after="100" w:line="240" w:lineRule="exact"/>
      </w:pPr>
      <w:r>
        <w:tab/>
      </w:r>
      <w:r>
        <w:tab/>
      </w:r>
      <w:r w:rsidR="00421A10" w:rsidRPr="006549FF">
        <w:t xml:space="preserve">Révision </w:t>
      </w:r>
      <w:r w:rsidR="00FC2CA9">
        <w:t>1</w:t>
      </w:r>
      <w:r w:rsidR="000314C7">
        <w:t xml:space="preserve"> − Amendement </w:t>
      </w:r>
      <w:r w:rsidR="00FC2CA9">
        <w:t>2</w:t>
      </w:r>
    </w:p>
    <w:p w:rsidR="00015650" w:rsidRPr="00FC2CA9" w:rsidRDefault="003A58D8" w:rsidP="00242268">
      <w:pPr>
        <w:pStyle w:val="SingleTxtG"/>
        <w:spacing w:after="100" w:line="200" w:lineRule="atLeast"/>
        <w:jc w:val="left"/>
        <w:rPr>
          <w:spacing w:val="-2"/>
        </w:rPr>
      </w:pPr>
      <w:r w:rsidRPr="00FC2CA9">
        <w:rPr>
          <w:spacing w:val="-2"/>
        </w:rPr>
        <w:t xml:space="preserve">Complément </w:t>
      </w:r>
      <w:r w:rsidR="00FC2CA9" w:rsidRPr="00FC2CA9">
        <w:rPr>
          <w:spacing w:val="-2"/>
        </w:rPr>
        <w:t xml:space="preserve">8 </w:t>
      </w:r>
      <w:r w:rsidRPr="00FC2CA9">
        <w:rPr>
          <w:spacing w:val="-2"/>
        </w:rPr>
        <w:t>à la</w:t>
      </w:r>
      <w:r w:rsidR="00FC2CA9" w:rsidRPr="00FC2CA9">
        <w:rPr>
          <w:spacing w:val="-2"/>
        </w:rPr>
        <w:t xml:space="preserve"> version originale du</w:t>
      </w:r>
      <w:r w:rsidR="00015650" w:rsidRPr="00FC2CA9">
        <w:rPr>
          <w:spacing w:val="-2"/>
        </w:rPr>
        <w:t xml:space="preserve"> Règlement − Date d’entrée en vigueur: 15 jui</w:t>
      </w:r>
      <w:r w:rsidR="00A92017" w:rsidRPr="00FC2CA9">
        <w:rPr>
          <w:spacing w:val="-2"/>
        </w:rPr>
        <w:t>n 2015</w:t>
      </w:r>
      <w:r w:rsidR="00015650" w:rsidRPr="00FC2CA9">
        <w:rPr>
          <w:spacing w:val="-2"/>
        </w:rPr>
        <w:t xml:space="preserve"> </w:t>
      </w:r>
    </w:p>
    <w:p w:rsidR="00DD1ED8" w:rsidRPr="00242268" w:rsidRDefault="00DD1ED8" w:rsidP="00242268">
      <w:pPr>
        <w:pStyle w:val="H1G"/>
        <w:spacing w:line="260" w:lineRule="exact"/>
        <w:rPr>
          <w:spacing w:val="-2"/>
        </w:rPr>
      </w:pPr>
      <w:r>
        <w:tab/>
      </w:r>
      <w:r>
        <w:tab/>
      </w:r>
      <w:r w:rsidR="00FC2CA9" w:rsidRPr="00FC2CA9">
        <w:rPr>
          <w:spacing w:val="-2"/>
        </w:rPr>
        <w:t>Prescriptions uniformes relatives à l'homologation des marquages rétro réfléchissants pour véhicules des catégories M, N et O</w:t>
      </w:r>
    </w:p>
    <w:p w:rsidR="00FC2CA9" w:rsidRDefault="001D3393" w:rsidP="00FC2CA9">
      <w:pPr>
        <w:pStyle w:val="SingleTxtG"/>
        <w:rPr>
          <w:lang w:val="en-GB" w:eastAsia="en-GB"/>
        </w:rPr>
      </w:pPr>
      <w:r w:rsidRPr="001D3393">
        <w:rPr>
          <w:lang w:val="en-GB" w:eastAsia="en-GB"/>
        </w:rPr>
        <w:t>Ce document constitue un outil de documentation. Le texte authentique et contraignant juridique est ECE/TRANS/WP.29/201</w:t>
      </w:r>
      <w:r w:rsidR="00FC2CA9">
        <w:rPr>
          <w:lang w:val="en-GB" w:eastAsia="en-GB"/>
        </w:rPr>
        <w:t>4/62</w:t>
      </w:r>
      <w:r w:rsidR="00623A83">
        <w:rPr>
          <w:lang w:val="en-GB" w:eastAsia="en-GB"/>
        </w:rPr>
        <w:t>.</w:t>
      </w:r>
    </w:p>
    <w:p w:rsidR="00FC2CA9" w:rsidRPr="00972C55" w:rsidRDefault="00DD1ED8" w:rsidP="00FC2CA9">
      <w:pPr>
        <w:pStyle w:val="SingleTxtG"/>
        <w:rPr>
          <w:lang w:val="fr-FR"/>
        </w:rPr>
      </w:pPr>
      <w:r>
        <w:br w:type="page"/>
      </w:r>
      <w:r w:rsidR="00FC2CA9" w:rsidRPr="00972C55">
        <w:rPr>
          <w:i/>
          <w:iCs/>
          <w:lang w:val="fr-FR"/>
        </w:rPr>
        <w:lastRenderedPageBreak/>
        <w:t>Ajouter un nouveau paragraphe</w:t>
      </w:r>
      <w:r w:rsidR="00FC2CA9" w:rsidRPr="00972C55">
        <w:rPr>
          <w:lang w:val="fr-FR"/>
        </w:rPr>
        <w:t>, libellé comme suit:</w:t>
      </w:r>
    </w:p>
    <w:p w:rsidR="00FC2CA9" w:rsidRPr="00972C55" w:rsidRDefault="00FC2CA9" w:rsidP="00FC2CA9">
      <w:pPr>
        <w:pStyle w:val="SingleTxtG"/>
        <w:tabs>
          <w:tab w:val="left" w:pos="2268"/>
        </w:tabs>
        <w:ind w:left="2268" w:hanging="1134"/>
        <w:rPr>
          <w:lang w:val="fr-FR"/>
        </w:rPr>
      </w:pPr>
      <w:r w:rsidRPr="00972C55">
        <w:rPr>
          <w:lang w:val="fr-FR"/>
        </w:rPr>
        <w:t>«5.4.3.5</w:t>
      </w:r>
      <w:r w:rsidRPr="00972C55">
        <w:rPr>
          <w:lang w:val="fr-FR"/>
        </w:rPr>
        <w:tab/>
        <w:t>“F” pour les matériaux destinés au marquage des extrémités, avec bandes alternées rouges et blanches rétroréfléchissantes.».</w:t>
      </w:r>
    </w:p>
    <w:p w:rsidR="00623A83" w:rsidRDefault="00FC2CA9" w:rsidP="00FC2CA9">
      <w:pPr>
        <w:pStyle w:val="SingleTxtG"/>
        <w:rPr>
          <w:i/>
          <w:lang w:val="fr-FR"/>
        </w:rPr>
      </w:pPr>
      <w:r w:rsidRPr="00972C55">
        <w:rPr>
          <w:i/>
          <w:lang w:val="fr-FR"/>
        </w:rPr>
        <w:t>Annexe 2</w:t>
      </w:r>
      <w:r w:rsidRPr="00972C55">
        <w:rPr>
          <w:lang w:val="fr-FR"/>
        </w:rPr>
        <w:t>,</w:t>
      </w:r>
      <w:r>
        <w:rPr>
          <w:lang w:val="fr-FR"/>
        </w:rPr>
        <w:t xml:space="preserve"> </w:t>
      </w:r>
    </w:p>
    <w:p w:rsidR="00FC2CA9" w:rsidRPr="00972C55" w:rsidRDefault="00623A83" w:rsidP="00FC2CA9">
      <w:pPr>
        <w:pStyle w:val="SingleTxtG"/>
        <w:rPr>
          <w:lang w:val="fr-FR"/>
        </w:rPr>
      </w:pPr>
      <w:r>
        <w:rPr>
          <w:i/>
          <w:lang w:val="fr-FR"/>
        </w:rPr>
        <w:t>P</w:t>
      </w:r>
      <w:r w:rsidR="00FC2CA9" w:rsidRPr="00972C55">
        <w:rPr>
          <w:i/>
          <w:lang w:val="fr-FR"/>
        </w:rPr>
        <w:t>oint 2</w:t>
      </w:r>
      <w:r w:rsidR="00FC2CA9" w:rsidRPr="00972C55">
        <w:rPr>
          <w:lang w:val="fr-FR"/>
        </w:rPr>
        <w:t>, lire:</w:t>
      </w:r>
    </w:p>
    <w:p w:rsidR="00FC2CA9" w:rsidRPr="00972C55" w:rsidRDefault="00FC2CA9" w:rsidP="00FC2CA9">
      <w:pPr>
        <w:pStyle w:val="SingleTxtG"/>
        <w:ind w:left="2268"/>
        <w:rPr>
          <w:lang w:val="fr-FR"/>
        </w:rPr>
      </w:pPr>
      <w:r w:rsidRPr="00972C55">
        <w:rPr>
          <w:lang w:val="fr-FR"/>
        </w:rPr>
        <w:t>«Classe du matériau de marquage: C/D/E</w:t>
      </w:r>
      <w:r w:rsidRPr="00972C55">
        <w:rPr>
          <w:b/>
          <w:lang w:val="fr-FR"/>
        </w:rPr>
        <w:t>/</w:t>
      </w:r>
      <w:r w:rsidRPr="00972C55">
        <w:rPr>
          <w:lang w:val="fr-FR"/>
        </w:rPr>
        <w:t>F</w:t>
      </w:r>
      <w:r w:rsidRPr="00EC72DD">
        <w:rPr>
          <w:vertAlign w:val="superscript"/>
          <w:lang w:val="fr-FR"/>
        </w:rPr>
        <w:t>2</w:t>
      </w:r>
      <w:r w:rsidRPr="00972C55">
        <w:rPr>
          <w:lang w:val="fr-FR"/>
        </w:rPr>
        <w:t>».</w:t>
      </w:r>
    </w:p>
    <w:p w:rsidR="00623A83" w:rsidRDefault="00FC2CA9" w:rsidP="00FC2CA9">
      <w:pPr>
        <w:pStyle w:val="SingleTxtG"/>
        <w:rPr>
          <w:bCs/>
          <w:i/>
          <w:lang w:val="fr-FR"/>
        </w:rPr>
      </w:pPr>
      <w:r w:rsidRPr="00972C55">
        <w:rPr>
          <w:bCs/>
          <w:i/>
          <w:lang w:val="fr-FR"/>
        </w:rPr>
        <w:t>Annexe 3</w:t>
      </w:r>
      <w:r w:rsidRPr="00972C55">
        <w:rPr>
          <w:bCs/>
          <w:lang w:val="fr-FR"/>
        </w:rPr>
        <w:t>,</w:t>
      </w:r>
      <w:r w:rsidRPr="00972C55">
        <w:rPr>
          <w:bCs/>
          <w:i/>
          <w:lang w:val="fr-FR"/>
        </w:rPr>
        <w:t xml:space="preserve"> </w:t>
      </w:r>
    </w:p>
    <w:p w:rsidR="00FC2CA9" w:rsidRPr="00972C55" w:rsidRDefault="00623A83" w:rsidP="00FC2CA9">
      <w:pPr>
        <w:pStyle w:val="SingleTxtG"/>
        <w:rPr>
          <w:lang w:val="fr-FR"/>
        </w:rPr>
      </w:pPr>
      <w:r>
        <w:rPr>
          <w:bCs/>
          <w:i/>
          <w:lang w:val="fr-FR"/>
        </w:rPr>
        <w:t>Premier p</w:t>
      </w:r>
      <w:r w:rsidR="00FC2CA9" w:rsidRPr="00972C55">
        <w:rPr>
          <w:i/>
          <w:lang w:val="fr-FR"/>
        </w:rPr>
        <w:t>aragraphe (non numéroté)</w:t>
      </w:r>
      <w:r w:rsidR="00FC2CA9" w:rsidRPr="00972C55">
        <w:rPr>
          <w:lang w:val="fr-FR"/>
        </w:rPr>
        <w:t>, ajouter à la fin:</w:t>
      </w:r>
    </w:p>
    <w:p w:rsidR="00FC2CA9" w:rsidRPr="00972C55" w:rsidRDefault="00FC2CA9" w:rsidP="00FC2CA9">
      <w:pPr>
        <w:pStyle w:val="SingleTxtG"/>
        <w:ind w:left="2268"/>
        <w:rPr>
          <w:lang w:val="fr-FR"/>
        </w:rPr>
      </w:pPr>
      <w:r w:rsidRPr="00972C55">
        <w:rPr>
          <w:lang w:val="fr-FR"/>
        </w:rPr>
        <w:t>«…Le symbole “F”</w:t>
      </w:r>
      <w:r>
        <w:rPr>
          <w:lang w:val="fr-FR"/>
        </w:rPr>
        <w:t xml:space="preserve"> désigne un matériau destiné au</w:t>
      </w:r>
      <w:r w:rsidRPr="00972C55">
        <w:rPr>
          <w:lang w:val="fr-FR"/>
        </w:rPr>
        <w:t xml:space="preserve"> marquage des extrémités.».</w:t>
      </w:r>
    </w:p>
    <w:p w:rsidR="00FC2CA9" w:rsidRPr="00972C55" w:rsidRDefault="00FC2CA9" w:rsidP="00FC2CA9">
      <w:pPr>
        <w:pStyle w:val="SingleTxtG"/>
        <w:rPr>
          <w:bCs/>
          <w:i/>
          <w:lang w:val="fr-FR"/>
        </w:rPr>
      </w:pPr>
      <w:r w:rsidRPr="00972C55">
        <w:rPr>
          <w:bCs/>
          <w:i/>
          <w:lang w:val="fr-FR"/>
        </w:rPr>
        <w:t>Annexe 5</w:t>
      </w:r>
      <w:r w:rsidRPr="00972C55">
        <w:rPr>
          <w:bCs/>
          <w:lang w:val="fr-FR"/>
        </w:rPr>
        <w:t>,</w:t>
      </w:r>
      <w:r w:rsidRPr="00972C55">
        <w:rPr>
          <w:bCs/>
          <w:i/>
          <w:lang w:val="fr-FR"/>
        </w:rPr>
        <w:t xml:space="preserve"> </w:t>
      </w:r>
    </w:p>
    <w:p w:rsidR="00FC2CA9" w:rsidRPr="00972C55" w:rsidRDefault="00FC2CA9" w:rsidP="00FC2CA9">
      <w:pPr>
        <w:pStyle w:val="SingleTxtG"/>
        <w:rPr>
          <w:bCs/>
          <w:lang w:val="fr-FR"/>
        </w:rPr>
      </w:pPr>
      <w:r w:rsidRPr="00972C55">
        <w:rPr>
          <w:bCs/>
          <w:i/>
          <w:lang w:val="fr-FR"/>
        </w:rPr>
        <w:t>Ajouter un nouveau paragraphe</w:t>
      </w:r>
      <w:r w:rsidRPr="00972C55">
        <w:rPr>
          <w:bCs/>
          <w:lang w:val="fr-FR"/>
        </w:rPr>
        <w:t>, libellé comme suit:</w:t>
      </w:r>
    </w:p>
    <w:p w:rsidR="00FC2CA9" w:rsidRDefault="00FC2CA9" w:rsidP="00FC2CA9">
      <w:pPr>
        <w:pStyle w:val="SingleTxtG"/>
        <w:tabs>
          <w:tab w:val="left" w:pos="2268"/>
        </w:tabs>
        <w:ind w:left="2268" w:hanging="1134"/>
        <w:rPr>
          <w:lang w:val="fr-FR"/>
        </w:rPr>
      </w:pPr>
      <w:r w:rsidRPr="00972C55">
        <w:rPr>
          <w:lang w:val="fr-FR"/>
        </w:rPr>
        <w:t>«2.</w:t>
      </w:r>
      <w:r w:rsidRPr="00972C55">
        <w:rPr>
          <w:lang w:val="fr-FR"/>
        </w:rPr>
        <w:tab/>
        <w:t>Marquages latéraux, arrière et/ou avant constitués de bandes (classe F)</w:t>
      </w:r>
    </w:p>
    <w:p w:rsidR="00FC2CA9" w:rsidRPr="00972C55" w:rsidRDefault="00FC2CA9" w:rsidP="00FC2CA9">
      <w:pPr>
        <w:pStyle w:val="SingleTxtG"/>
        <w:tabs>
          <w:tab w:val="left" w:pos="2268"/>
        </w:tabs>
        <w:ind w:left="2268" w:hanging="1134"/>
        <w:rPr>
          <w:lang w:val="fr-FR"/>
        </w:rPr>
      </w:pPr>
      <w:r w:rsidRPr="00972C55">
        <w:rPr>
          <w:lang w:val="fr-FR"/>
        </w:rPr>
        <w:t>2.1</w:t>
      </w:r>
      <w:r w:rsidRPr="00972C55">
        <w:rPr>
          <w:lang w:val="fr-FR"/>
        </w:rPr>
        <w:tab/>
        <w:t>Généralités</w:t>
      </w:r>
    </w:p>
    <w:p w:rsidR="00FC2CA9" w:rsidRPr="00972C55" w:rsidRDefault="00FC2CA9" w:rsidP="00FC2CA9">
      <w:pPr>
        <w:pStyle w:val="SingleTxtG"/>
        <w:ind w:left="2268"/>
        <w:rPr>
          <w:lang w:val="fr-FR"/>
        </w:rPr>
      </w:pPr>
      <w:r w:rsidRPr="00972C55">
        <w:rPr>
          <w:lang w:val="fr-FR"/>
        </w:rPr>
        <w:t>Les marques sont constituées de bandes rétroréfléchissantes.</w:t>
      </w:r>
    </w:p>
    <w:p w:rsidR="00FC2CA9" w:rsidRDefault="00FC2CA9" w:rsidP="00FC2CA9">
      <w:pPr>
        <w:pStyle w:val="SingleTxtG"/>
        <w:tabs>
          <w:tab w:val="left" w:pos="2268"/>
        </w:tabs>
        <w:ind w:left="2268" w:hanging="1134"/>
        <w:rPr>
          <w:lang w:val="fr-FR"/>
        </w:rPr>
      </w:pPr>
      <w:r w:rsidRPr="00972C55">
        <w:rPr>
          <w:lang w:val="fr-FR"/>
        </w:rPr>
        <w:t>2.2</w:t>
      </w:r>
      <w:r w:rsidRPr="00972C55">
        <w:rPr>
          <w:lang w:val="fr-FR"/>
        </w:rPr>
        <w:tab/>
        <w:t>Dimensions</w:t>
      </w:r>
    </w:p>
    <w:p w:rsidR="00FC2CA9" w:rsidRDefault="00FC2CA9" w:rsidP="00FC2CA9">
      <w:pPr>
        <w:pStyle w:val="SingleTxtG"/>
        <w:tabs>
          <w:tab w:val="left" w:pos="2268"/>
        </w:tabs>
        <w:ind w:left="2268" w:hanging="1134"/>
        <w:rPr>
          <w:lang w:val="fr-FR"/>
        </w:rPr>
      </w:pPr>
      <w:r w:rsidRPr="00972C55">
        <w:rPr>
          <w:lang w:val="fr-FR"/>
        </w:rPr>
        <w:t>2.2.1</w:t>
      </w:r>
      <w:r w:rsidRPr="00972C55">
        <w:rPr>
          <w:lang w:val="fr-FR"/>
        </w:rPr>
        <w:tab/>
        <w:t>Les matériaux rétroréfléchissants des dispositifs de la classe F sont constitués de bandes diagonales rouges et blanches de 100 mm de large, inclinées vers l’extérieur et vers le bas selon un angle de 45°. La surface normalisée de base est un carré de 141 mm de côté dont une moitié, selon sa diagonale, est blanche et l’autre moitié est rouge, qui représente une surface standard (voir fig. </w:t>
      </w:r>
      <w:r w:rsidR="00F97AB2">
        <w:rPr>
          <w:lang w:val="fr-FR"/>
        </w:rPr>
        <w:t>1</w:t>
      </w:r>
      <w:r w:rsidRPr="00972C55">
        <w:rPr>
          <w:lang w:val="fr-FR"/>
        </w:rPr>
        <w:t>).</w:t>
      </w:r>
    </w:p>
    <w:p w:rsidR="00FC2CA9" w:rsidRPr="00972C55" w:rsidRDefault="00FC2CA9" w:rsidP="00FC2CA9">
      <w:pPr>
        <w:pStyle w:val="SingleTxtG"/>
        <w:tabs>
          <w:tab w:val="left" w:pos="2268"/>
        </w:tabs>
        <w:ind w:left="2268" w:hanging="1134"/>
        <w:rPr>
          <w:lang w:val="fr-FR"/>
        </w:rPr>
      </w:pPr>
      <w:r w:rsidRPr="00972C55">
        <w:rPr>
          <w:lang w:val="fr-FR"/>
        </w:rPr>
        <w:t>2.2.2</w:t>
      </w:r>
      <w:r w:rsidRPr="00972C55">
        <w:rPr>
          <w:lang w:val="fr-FR"/>
        </w:rPr>
        <w:tab/>
        <w:t>Chaque élément constitutif d’un matériau de marquage rétroréfléchissant doit avoir une longueur minimum correspondant au minimum à 9</w:t>
      </w:r>
      <w:r>
        <w:rPr>
          <w:lang w:val="fr-FR"/>
        </w:rPr>
        <w:t> </w:t>
      </w:r>
      <w:r w:rsidRPr="00972C55">
        <w:rPr>
          <w:lang w:val="fr-FR"/>
        </w:rPr>
        <w:t xml:space="preserve">surfaces normalisées telles que décrites au paragraphe 2.2.1 ci-dessus sur les gros véhicules </w:t>
      </w:r>
      <w:r>
        <w:rPr>
          <w:lang w:val="fr-FR"/>
        </w:rPr>
        <w:t xml:space="preserve">ayant </w:t>
      </w:r>
      <w:r w:rsidRPr="00972C55">
        <w:rPr>
          <w:lang w:val="fr-FR"/>
        </w:rPr>
        <w:t>un espace de montage disponible; ce chiffre peut toutefois être ramené à un minimum de 4 surfaces normalisées sur les véhicules ne disposant que d’un espace de montage limité.</w:t>
      </w:r>
      <w:r>
        <w:rPr>
          <w:lang w:val="fr-FR"/>
        </w:rPr>
        <w:t>»</w:t>
      </w:r>
    </w:p>
    <w:p w:rsidR="00FC2CA9" w:rsidRDefault="00FC2CA9" w:rsidP="00FC2CA9">
      <w:pPr>
        <w:pStyle w:val="SingleTxtG"/>
        <w:rPr>
          <w:lang w:val="fr-FR"/>
        </w:rPr>
      </w:pPr>
      <w:r w:rsidRPr="00972C55">
        <w:rPr>
          <w:i/>
          <w:lang w:val="fr-FR"/>
        </w:rPr>
        <w:t xml:space="preserve">Insérer une nouvelle figure </w:t>
      </w:r>
      <w:r w:rsidR="00F97AB2">
        <w:rPr>
          <w:i/>
          <w:lang w:val="fr-FR"/>
        </w:rPr>
        <w:t>1</w:t>
      </w:r>
      <w:r w:rsidRPr="00972C55">
        <w:rPr>
          <w:lang w:val="fr-FR"/>
        </w:rPr>
        <w:t>, comme suit:</w:t>
      </w:r>
    </w:p>
    <w:p w:rsidR="00FC2CA9" w:rsidRDefault="00FC2CA9" w:rsidP="00FC2CA9">
      <w:pPr>
        <w:pStyle w:val="H23G"/>
        <w:spacing w:after="240"/>
        <w:rPr>
          <w:lang w:val="fr-FR"/>
        </w:rPr>
      </w:pPr>
      <w:r w:rsidRPr="00E139DB">
        <w:rPr>
          <w:b w:val="0"/>
          <w:lang w:val="fr-FR"/>
        </w:rPr>
        <w:lastRenderedPageBreak/>
        <w:tab/>
      </w:r>
      <w:r w:rsidRPr="00E139DB">
        <w:rPr>
          <w:b w:val="0"/>
          <w:lang w:val="fr-FR"/>
        </w:rPr>
        <w:tab/>
      </w:r>
      <w:r>
        <w:rPr>
          <w:b w:val="0"/>
          <w:lang w:val="fr-FR"/>
        </w:rPr>
        <w:t>«</w:t>
      </w:r>
      <w:r w:rsidRPr="00E139DB">
        <w:rPr>
          <w:b w:val="0"/>
          <w:lang w:val="fr-FR"/>
        </w:rPr>
        <w:t xml:space="preserve">Figure </w:t>
      </w:r>
      <w:r w:rsidR="00F97AB2">
        <w:rPr>
          <w:b w:val="0"/>
          <w:lang w:val="fr-FR"/>
        </w:rPr>
        <w:t>1</w:t>
      </w:r>
      <w:r w:rsidRPr="00B92F8F">
        <w:rPr>
          <w:lang w:val="fr-FR"/>
        </w:rPr>
        <w:br/>
        <w:t>Marquage rétroréfléchissant de la classe F</w:t>
      </w:r>
    </w:p>
    <w:p w:rsidR="00FC2CA9" w:rsidRPr="009F1EF3" w:rsidRDefault="00AA326B" w:rsidP="00FC2CA9">
      <w:pPr>
        <w:jc w:val="center"/>
        <w:rPr>
          <w:lang w:val="fr-FR"/>
        </w:rPr>
      </w:pPr>
      <w:r>
        <w:rPr>
          <w:noProof/>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126pt;height:144.6pt;visibility:visible">
            <v:imagedata r:id="rId8" o:title=""/>
          </v:shape>
        </w:pict>
      </w:r>
      <w:r>
        <w:pict>
          <v:shape id="Bild 7" o:spid="_x0000_i1026" type="#_x0000_t75" style="width:174pt;height:149.4pt;visibility:visible" o:allowoverlap="f">
            <v:imagedata r:id="rId9" o:title="" cropbottom="1431f"/>
          </v:shape>
        </w:pict>
      </w:r>
      <w:r w:rsidR="00FC2CA9">
        <w:t>»</w:t>
      </w:r>
    </w:p>
    <w:p w:rsidR="00FC2CA9" w:rsidRPr="00972C55" w:rsidRDefault="00FC2CA9" w:rsidP="00FC2CA9">
      <w:pPr>
        <w:pStyle w:val="SingleTxtG"/>
        <w:keepNext/>
        <w:spacing w:before="240"/>
        <w:rPr>
          <w:bCs/>
          <w:i/>
          <w:lang w:val="fr-FR"/>
        </w:rPr>
      </w:pPr>
      <w:r w:rsidRPr="00972C55">
        <w:rPr>
          <w:bCs/>
          <w:i/>
          <w:lang w:val="fr-FR"/>
        </w:rPr>
        <w:t>Annexe 6</w:t>
      </w:r>
      <w:r>
        <w:rPr>
          <w:bCs/>
          <w:i/>
          <w:lang w:val="fr-FR"/>
        </w:rPr>
        <w:t>,</w:t>
      </w:r>
    </w:p>
    <w:p w:rsidR="00FC2CA9" w:rsidRPr="00972C55" w:rsidRDefault="00FC2CA9" w:rsidP="00FC2CA9">
      <w:pPr>
        <w:pStyle w:val="SingleTxtG"/>
        <w:rPr>
          <w:lang w:val="fr-FR"/>
        </w:rPr>
      </w:pPr>
      <w:r w:rsidRPr="00972C55">
        <w:rPr>
          <w:i/>
          <w:lang w:val="fr-FR"/>
        </w:rPr>
        <w:t>Paragraphe 1</w:t>
      </w:r>
      <w:r w:rsidRPr="00972C55">
        <w:rPr>
          <w:lang w:val="fr-FR"/>
        </w:rPr>
        <w:t>, ajouter à la fin:</w:t>
      </w:r>
    </w:p>
    <w:p w:rsidR="00FC2CA9" w:rsidRPr="00972C55" w:rsidRDefault="00FC2CA9" w:rsidP="00FC2CA9">
      <w:pPr>
        <w:pStyle w:val="SingleTxtG"/>
        <w:ind w:left="2268"/>
        <w:rPr>
          <w:b/>
          <w:bCs/>
          <w:lang w:val="fr-FR"/>
        </w:rPr>
      </w:pPr>
      <w:r w:rsidRPr="00972C55">
        <w:rPr>
          <w:lang w:val="fr-FR"/>
        </w:rPr>
        <w:t>«…Les matériaux de marquage rétroréfléchissants (classe F) doivent être blanc</w:t>
      </w:r>
      <w:r>
        <w:rPr>
          <w:lang w:val="fr-FR"/>
        </w:rPr>
        <w:t>s</w:t>
      </w:r>
      <w:r w:rsidRPr="00972C55">
        <w:rPr>
          <w:lang w:val="fr-FR"/>
        </w:rPr>
        <w:t xml:space="preserve"> et rouge</w:t>
      </w:r>
      <w:r>
        <w:rPr>
          <w:lang w:val="fr-FR"/>
        </w:rPr>
        <w:t>s</w:t>
      </w:r>
      <w:r w:rsidRPr="00972C55">
        <w:rPr>
          <w:lang w:val="fr-FR"/>
        </w:rPr>
        <w:t>.».</w:t>
      </w:r>
    </w:p>
    <w:p w:rsidR="00FC2CA9" w:rsidRPr="00972C55" w:rsidRDefault="00FC2CA9" w:rsidP="00FC2CA9">
      <w:pPr>
        <w:pStyle w:val="SingleTxtG"/>
        <w:rPr>
          <w:b/>
          <w:lang w:val="fr-FR"/>
        </w:rPr>
      </w:pPr>
      <w:r w:rsidRPr="00972C55">
        <w:rPr>
          <w:i/>
          <w:lang w:val="fr-FR"/>
        </w:rPr>
        <w:t>Ajouter un nouveau paragraphe</w:t>
      </w:r>
      <w:r w:rsidRPr="00972C55">
        <w:rPr>
          <w:lang w:val="fr-FR"/>
        </w:rPr>
        <w:t>, libellé comme suit:</w:t>
      </w:r>
    </w:p>
    <w:p w:rsidR="00FC2CA9" w:rsidRPr="00972C55" w:rsidRDefault="00FC2CA9" w:rsidP="00FC2CA9">
      <w:pPr>
        <w:pStyle w:val="SingleTxtG"/>
        <w:tabs>
          <w:tab w:val="left" w:pos="2268"/>
        </w:tabs>
        <w:ind w:left="2268" w:hanging="1134"/>
        <w:rPr>
          <w:lang w:val="fr-FR"/>
        </w:rPr>
      </w:pPr>
      <w:r w:rsidRPr="00972C55">
        <w:rPr>
          <w:lang w:val="fr-FR"/>
        </w:rPr>
        <w:t>«3.</w:t>
      </w:r>
      <w:r w:rsidRPr="00972C55">
        <w:rPr>
          <w:lang w:val="fr-FR"/>
        </w:rPr>
        <w:tab/>
        <w:t>Lorsque les échantillons de matériaux de la classe F sont mesurés avec un spectrophotomètre conformément aux prescriptions du document n</w:t>
      </w:r>
      <w:r w:rsidRPr="00972C55">
        <w:rPr>
          <w:vertAlign w:val="superscript"/>
          <w:lang w:val="fr-FR"/>
        </w:rPr>
        <w:t>o</w:t>
      </w:r>
      <w:r w:rsidRPr="00972C55">
        <w:rPr>
          <w:lang w:val="fr-FR"/>
        </w:rPr>
        <w:t> 15 de la CIE (1971) et éclairés au moyen de l’illuminant normalisé D65 sous un angle de 45° et observés le long de la normale (géométrie 45/0), la couleur du matériau à l’état de neuf doit se trouver à l’intérieur des limites définies au paragraphe 2.31 du Règlement n</w:t>
      </w:r>
      <w:r w:rsidRPr="00972C55">
        <w:rPr>
          <w:vertAlign w:val="superscript"/>
          <w:lang w:val="fr-FR"/>
        </w:rPr>
        <w:t>o</w:t>
      </w:r>
      <w:r w:rsidRPr="00972C55">
        <w:rPr>
          <w:lang w:val="fr-FR"/>
        </w:rPr>
        <w:t> 48.».</w:t>
      </w:r>
    </w:p>
    <w:p w:rsidR="00FC2CA9" w:rsidRPr="00972C55" w:rsidRDefault="00FC2CA9" w:rsidP="00FC2CA9">
      <w:pPr>
        <w:pStyle w:val="SingleTxtG"/>
        <w:rPr>
          <w:lang w:val="fr-FR"/>
        </w:rPr>
      </w:pPr>
      <w:r w:rsidRPr="00972C55">
        <w:rPr>
          <w:i/>
          <w:lang w:val="fr-FR"/>
        </w:rPr>
        <w:t>Ajouter un nouveau paragraphe</w:t>
      </w:r>
      <w:r w:rsidRPr="00972C55">
        <w:rPr>
          <w:lang w:val="fr-FR"/>
        </w:rPr>
        <w:t>, libellé comme suit:</w:t>
      </w:r>
    </w:p>
    <w:p w:rsidR="00FC2CA9" w:rsidRDefault="00FC2CA9" w:rsidP="00FC2CA9">
      <w:pPr>
        <w:pStyle w:val="SingleTxtG"/>
        <w:tabs>
          <w:tab w:val="left" w:pos="2268"/>
        </w:tabs>
        <w:ind w:left="2268" w:hanging="1134"/>
        <w:rPr>
          <w:lang w:val="fr-FR"/>
        </w:rPr>
      </w:pPr>
      <w:r w:rsidRPr="00972C55">
        <w:rPr>
          <w:lang w:val="fr-FR"/>
        </w:rPr>
        <w:t>«3.1</w:t>
      </w:r>
      <w:r w:rsidRPr="00972C55">
        <w:rPr>
          <w:lang w:val="fr-FR"/>
        </w:rPr>
        <w:tab/>
        <w:t xml:space="preserve">Le facteur de luminance pour la couleur rouge doit être ≥ 0,03. Pour la couleur blanche, il doit être ≥ 0,25.». </w:t>
      </w:r>
    </w:p>
    <w:p w:rsidR="00FC2CA9" w:rsidRPr="00972C55" w:rsidRDefault="00FC2CA9" w:rsidP="00FC2CA9">
      <w:pPr>
        <w:pStyle w:val="SingleTxtG"/>
        <w:spacing w:before="240" w:after="0"/>
        <w:jc w:val="center"/>
        <w:rPr>
          <w:u w:val="single"/>
        </w:rPr>
      </w:pPr>
      <w:r>
        <w:rPr>
          <w:u w:val="single"/>
        </w:rPr>
        <w:tab/>
      </w:r>
      <w:r>
        <w:rPr>
          <w:u w:val="single"/>
        </w:rPr>
        <w:tab/>
      </w:r>
      <w:r>
        <w:rPr>
          <w:u w:val="single"/>
        </w:rPr>
        <w:tab/>
      </w:r>
    </w:p>
    <w:sectPr w:rsidR="00FC2CA9" w:rsidRPr="00972C55" w:rsidSect="000314C7">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8EE" w:rsidRDefault="00B638EE"/>
  </w:endnote>
  <w:endnote w:type="continuationSeparator" w:id="0">
    <w:p w:rsidR="00B638EE" w:rsidRDefault="00B638EE">
      <w:pPr>
        <w:pStyle w:val="Footer"/>
      </w:pPr>
    </w:p>
  </w:endnote>
  <w:endnote w:type="continuationNotice" w:id="1">
    <w:p w:rsidR="00B638EE" w:rsidRPr="00C451B9" w:rsidRDefault="00B638EE"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pPr>
    <w:r w:rsidRPr="000314C7">
      <w:rPr>
        <w:b/>
        <w:sz w:val="18"/>
      </w:rPr>
      <w:fldChar w:fldCharType="begin"/>
    </w:r>
    <w:r w:rsidRPr="000314C7">
      <w:rPr>
        <w:b/>
        <w:sz w:val="18"/>
      </w:rPr>
      <w:instrText xml:space="preserve"> PAGE  \* MERGEFORMAT </w:instrText>
    </w:r>
    <w:r w:rsidRPr="000314C7">
      <w:rPr>
        <w:b/>
        <w:sz w:val="18"/>
      </w:rPr>
      <w:fldChar w:fldCharType="separate"/>
    </w:r>
    <w:r w:rsidR="00AA326B">
      <w:rPr>
        <w:b/>
        <w:noProof/>
        <w:sz w:val="18"/>
      </w:rPr>
      <w:t>2</w:t>
    </w:r>
    <w:r w:rsidRPr="000314C7">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rPr>
        <w:b/>
        <w:sz w:val="18"/>
      </w:rPr>
    </w:pPr>
    <w:r>
      <w:t>GE.13-24083</w:t>
    </w:r>
    <w:r>
      <w:tab/>
    </w:r>
    <w:r w:rsidRPr="000314C7">
      <w:rPr>
        <w:b/>
        <w:sz w:val="18"/>
      </w:rPr>
      <w:fldChar w:fldCharType="begin"/>
    </w:r>
    <w:r w:rsidRPr="000314C7">
      <w:rPr>
        <w:b/>
        <w:sz w:val="18"/>
      </w:rPr>
      <w:instrText xml:space="preserve"> PAGE  \* MERGEFORMAT </w:instrText>
    </w:r>
    <w:r w:rsidRPr="000314C7">
      <w:rPr>
        <w:b/>
        <w:sz w:val="18"/>
      </w:rPr>
      <w:fldChar w:fldCharType="separate"/>
    </w:r>
    <w:r w:rsidR="00AA326B">
      <w:rPr>
        <w:b/>
        <w:noProof/>
        <w:sz w:val="18"/>
      </w:rPr>
      <w:t>3</w:t>
    </w:r>
    <w:r w:rsidRPr="000314C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29791D" w:rsidRDefault="00AA326B" w:rsidP="00E97E2C">
    <w:pPr>
      <w:ind w:left="1134" w:right="1134"/>
      <w:jc w:val="cente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40.15pt;margin-top:651.95pt;width:86.95pt;height:18.35pt;z-index:251657728;mso-position-horizontal-relative:margin;mso-position-vertical-relative:margin">
          <v:imagedata r:id="rId1" o:title="recycle_French"/>
          <w10:wrap anchorx="margin" anchory="margin"/>
        </v:shape>
      </w:pict>
    </w:r>
    <w:r w:rsidR="00710974">
      <w:t>_______________</w:t>
    </w:r>
  </w:p>
  <w:p w:rsidR="00710974" w:rsidRDefault="00AA326B" w:rsidP="00E97E2C">
    <w:pPr>
      <w:jc w:val="center"/>
      <w:rPr>
        <w:b/>
        <w:bCs/>
        <w:sz w:val="22"/>
      </w:rPr>
    </w:pPr>
    <w:r>
      <w:pict>
        <v:shape id="_x0000_i1027" type="#_x0000_t75" style="width:1in;height:60.6pt;mso-wrap-distance-bottom:10.8pt" o:allowoverlap="f" fillcolor="window">
          <v:imagedata r:id="rId2" o:title="" cropleft="-4986f" cropright="-4986f"/>
        </v:shape>
      </w:pict>
    </w:r>
  </w:p>
  <w:p w:rsidR="00710974" w:rsidRPr="0029791D" w:rsidRDefault="00710974" w:rsidP="00E97E2C">
    <w:pPr>
      <w:jc w:val="center"/>
      <w:rPr>
        <w:sz w:val="24"/>
        <w:szCs w:val="24"/>
      </w:rPr>
    </w:pPr>
    <w:r w:rsidRPr="0029791D">
      <w:rPr>
        <w:b/>
        <w:bCs/>
        <w:sz w:val="24"/>
        <w:szCs w:val="24"/>
      </w:rPr>
      <w:t>Nations Unies</w:t>
    </w:r>
  </w:p>
  <w:p w:rsidR="00710974" w:rsidRPr="0029791D" w:rsidRDefault="00710974" w:rsidP="00E97E2C">
    <w:pPr>
      <w:pStyle w:val="FootnoteText"/>
      <w:tabs>
        <w:tab w:val="clear" w:pos="1021"/>
        <w:tab w:val="right" w:pos="2155"/>
      </w:tabs>
      <w:spacing w:after="80" w:line="240" w:lineRule="atLeast"/>
      <w:ind w:left="680" w:right="0" w:firstLine="0"/>
      <w:rPr>
        <w:u w:val="single"/>
      </w:rPr>
    </w:pPr>
    <w:r>
      <w:rPr>
        <w:u w:val="single"/>
      </w:rPr>
      <w:tab/>
    </w:r>
  </w:p>
  <w:p w:rsidR="00710974" w:rsidRDefault="00710974" w:rsidP="00242268">
    <w:pPr>
      <w:pStyle w:val="FootnoteText"/>
      <w:spacing w:after="240" w:line="200" w:lineRule="exact"/>
    </w:pPr>
    <w:r>
      <w:tab/>
    </w:r>
    <w:r w:rsidRPr="0029791D">
      <w:rPr>
        <w:rStyle w:val="FootnoteReference"/>
        <w:sz w:val="20"/>
        <w:vertAlign w:val="baseline"/>
      </w:rPr>
      <w:t>*</w:t>
    </w:r>
    <w:r>
      <w:rPr>
        <w:sz w:val="20"/>
      </w:rPr>
      <w:tab/>
    </w:r>
    <w:r w:rsidRPr="007817A7">
      <w:t>Ancien titre de l</w:t>
    </w:r>
    <w:r>
      <w:t>’</w:t>
    </w:r>
    <w:r w:rsidRPr="007817A7">
      <w:t>Accor</w:t>
    </w:r>
    <w:r>
      <w:t>d: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p w:rsidR="00710974" w:rsidRPr="000314C7" w:rsidRDefault="00710974" w:rsidP="000314C7">
    <w:pPr>
      <w:pStyle w:val="Footer"/>
      <w:spacing w:before="120"/>
      <w:rPr>
        <w:sz w:val="20"/>
      </w:rPr>
    </w:pPr>
    <w:r>
      <w:rPr>
        <w:sz w:val="20"/>
      </w:rPr>
      <w:t>GE</w:t>
    </w:r>
    <w:r w:rsidR="004750C7">
      <w:rPr>
        <w:sz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8EE" w:rsidRPr="00D27D5E" w:rsidRDefault="00B638EE" w:rsidP="00D27D5E">
      <w:pPr>
        <w:tabs>
          <w:tab w:val="right" w:pos="2155"/>
        </w:tabs>
        <w:spacing w:after="80"/>
        <w:ind w:left="680"/>
        <w:rPr>
          <w:u w:val="single"/>
        </w:rPr>
      </w:pPr>
      <w:r>
        <w:rPr>
          <w:u w:val="single"/>
        </w:rPr>
        <w:tab/>
      </w:r>
    </w:p>
  </w:footnote>
  <w:footnote w:type="continuationSeparator" w:id="0">
    <w:p w:rsidR="00B638EE" w:rsidRPr="00D171D4" w:rsidRDefault="00B638EE" w:rsidP="00D171D4">
      <w:pPr>
        <w:tabs>
          <w:tab w:val="right" w:pos="2155"/>
        </w:tabs>
        <w:spacing w:after="80"/>
        <w:ind w:left="680"/>
        <w:rPr>
          <w:u w:val="single"/>
        </w:rPr>
      </w:pPr>
      <w:r w:rsidRPr="00D171D4">
        <w:rPr>
          <w:u w:val="single"/>
        </w:rPr>
        <w:tab/>
      </w:r>
    </w:p>
  </w:footnote>
  <w:footnote w:type="continuationNotice" w:id="1">
    <w:p w:rsidR="00B638EE" w:rsidRPr="00C451B9" w:rsidRDefault="00B638EE" w:rsidP="00C451B9">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pPr>
      <w:pStyle w:val="Header"/>
    </w:pPr>
    <w:r>
      <w:t>E/ECE/324</w:t>
    </w:r>
    <w:r w:rsidR="00FC2CA9">
      <w:t>/Rev.2/Add.103/Rev.1/Amend.2</w:t>
    </w:r>
    <w:r>
      <w:br/>
      <w:t>E/ECE/TRANS/505</w:t>
    </w:r>
    <w:r w:rsidR="00FC2CA9">
      <w:t>/Rev.2/Add.103/Rev.1/Amend.2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FC2CA9" w:rsidP="000314C7">
    <w:pPr>
      <w:pStyle w:val="Header"/>
      <w:jc w:val="right"/>
    </w:pPr>
    <w:r>
      <w:t>E/ECE/324/Rev.2/Add.103/Rev.1/Amend.2</w:t>
    </w:r>
    <w:r>
      <w:br/>
      <w:t>E/ECE/TRANS/505/Rev.2/Add.103/Rev.1/Amend.2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4">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40221049"/>
    <w:multiLevelType w:val="singleLevel"/>
    <w:tmpl w:val="04D4B0C4"/>
    <w:lvl w:ilvl="0">
      <w:start w:val="1"/>
      <w:numFmt w:val="decimal"/>
      <w:lvlText w:val="%1."/>
      <w:lvlJc w:val="left"/>
      <w:pPr>
        <w:tabs>
          <w:tab w:val="num" w:pos="360"/>
        </w:tabs>
        <w:ind w:left="360" w:hanging="360"/>
      </w:pPr>
    </w:lvl>
  </w:abstractNum>
  <w:abstractNum w:abstractNumId="26">
    <w:nsid w:val="452D144C"/>
    <w:multiLevelType w:val="singleLevel"/>
    <w:tmpl w:val="7C4C0A7C"/>
    <w:lvl w:ilvl="0">
      <w:start w:val="1"/>
      <w:numFmt w:val="decimal"/>
      <w:lvlText w:val="(%1)"/>
      <w:lvlJc w:val="left"/>
      <w:pPr>
        <w:tabs>
          <w:tab w:val="num" w:pos="720"/>
        </w:tabs>
        <w:ind w:left="720" w:hanging="720"/>
      </w:pPr>
    </w:lvl>
  </w:abstractNum>
  <w:abstractNum w:abstractNumId="27">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0">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EFA2598"/>
    <w:multiLevelType w:val="singleLevel"/>
    <w:tmpl w:val="0409000F"/>
    <w:lvl w:ilvl="0">
      <w:start w:val="1"/>
      <w:numFmt w:val="decimal"/>
      <w:lvlText w:val="%1."/>
      <w:lvlJc w:val="left"/>
      <w:pPr>
        <w:tabs>
          <w:tab w:val="num" w:pos="360"/>
        </w:tabs>
        <w:ind w:left="360" w:hanging="360"/>
      </w:pPr>
    </w:lvl>
  </w:abstractNum>
  <w:abstractNum w:abstractNumId="32">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4">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5D15DFE"/>
    <w:multiLevelType w:val="singleLevel"/>
    <w:tmpl w:val="475E6D3C"/>
    <w:lvl w:ilvl="0">
      <w:start w:val="1"/>
      <w:numFmt w:val="decimal"/>
      <w:lvlText w:val="%1."/>
      <w:lvlJc w:val="left"/>
      <w:pPr>
        <w:tabs>
          <w:tab w:val="num" w:pos="360"/>
        </w:tabs>
        <w:ind w:left="360" w:hanging="360"/>
      </w:pPr>
    </w:lvl>
  </w:abstractNum>
  <w:abstractNum w:abstractNumId="3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ACA643D"/>
    <w:multiLevelType w:val="singleLevel"/>
    <w:tmpl w:val="0409000F"/>
    <w:lvl w:ilvl="0">
      <w:start w:val="1"/>
      <w:numFmt w:val="decimal"/>
      <w:lvlText w:val="%1."/>
      <w:lvlJc w:val="left"/>
      <w:pPr>
        <w:tabs>
          <w:tab w:val="num" w:pos="360"/>
        </w:tabs>
        <w:ind w:left="360" w:hanging="360"/>
      </w:pPr>
    </w:lvl>
  </w:abstractNum>
  <w:abstractNum w:abstractNumId="39">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1">
    <w:nsid w:val="7DBF6B58"/>
    <w:multiLevelType w:val="singleLevel"/>
    <w:tmpl w:val="0409000F"/>
    <w:lvl w:ilvl="0">
      <w:start w:val="1"/>
      <w:numFmt w:val="decimal"/>
      <w:lvlText w:val="%1."/>
      <w:lvlJc w:val="left"/>
      <w:pPr>
        <w:tabs>
          <w:tab w:val="num" w:pos="360"/>
        </w:tabs>
        <w:ind w:left="360" w:hanging="360"/>
      </w:pPr>
    </w:lvl>
  </w:abstractNum>
  <w:num w:numId="1">
    <w:abstractNumId w:val="40"/>
  </w:num>
  <w:num w:numId="2">
    <w:abstractNumId w:val="18"/>
  </w:num>
  <w:num w:numId="3">
    <w:abstractNumId w:val="40"/>
  </w:num>
  <w:num w:numId="4">
    <w:abstractNumId w:val="18"/>
  </w:num>
  <w:num w:numId="5">
    <w:abstractNumId w:val="11"/>
  </w:num>
  <w:num w:numId="6">
    <w:abstractNumId w:val="20"/>
  </w:num>
  <w:num w:numId="7">
    <w:abstractNumId w:val="25"/>
  </w:num>
  <w:num w:numId="8">
    <w:abstractNumId w:val="38"/>
  </w:num>
  <w:num w:numId="9">
    <w:abstractNumId w:val="31"/>
  </w:num>
  <w:num w:numId="10">
    <w:abstractNumId w:val="41"/>
  </w:num>
  <w:num w:numId="11">
    <w:abstractNumId w:val="25"/>
  </w:num>
  <w:num w:numId="12">
    <w:abstractNumId w:val="29"/>
  </w:num>
  <w:num w:numId="13">
    <w:abstractNumId w:val="29"/>
  </w:num>
  <w:num w:numId="14">
    <w:abstractNumId w:val="35"/>
  </w:num>
  <w:num w:numId="15">
    <w:abstractNumId w:val="23"/>
  </w:num>
  <w:num w:numId="16">
    <w:abstractNumId w:val="23"/>
  </w:num>
  <w:num w:numId="17">
    <w:abstractNumId w:val="40"/>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6"/>
  </w:num>
  <w:num w:numId="26">
    <w:abstractNumId w:val="3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9"/>
  </w:num>
  <w:num w:numId="37">
    <w:abstractNumId w:val="36"/>
  </w:num>
  <w:num w:numId="38">
    <w:abstractNumId w:val="22"/>
  </w:num>
  <w:num w:numId="39">
    <w:abstractNumId w:val="28"/>
  </w:num>
  <w:num w:numId="40">
    <w:abstractNumId w:val="37"/>
  </w:num>
  <w:num w:numId="41">
    <w:abstractNumId w:val="16"/>
  </w:num>
  <w:num w:numId="42">
    <w:abstractNumId w:val="24"/>
  </w:num>
  <w:num w:numId="43">
    <w:abstractNumId w:val="32"/>
  </w:num>
  <w:num w:numId="44">
    <w:abstractNumId w:val="21"/>
  </w:num>
  <w:num w:numId="45">
    <w:abstractNumId w:val="34"/>
  </w:num>
  <w:num w:numId="46">
    <w:abstractNumId w:val="30"/>
  </w:num>
  <w:num w:numId="47">
    <w:abstractNumId w:val="27"/>
  </w:num>
  <w:num w:numId="48">
    <w:abstractNumId w:val="17"/>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58CD"/>
    <w:rsid w:val="0001470D"/>
    <w:rsid w:val="00015650"/>
    <w:rsid w:val="00016165"/>
    <w:rsid w:val="00016AC5"/>
    <w:rsid w:val="00021126"/>
    <w:rsid w:val="00021907"/>
    <w:rsid w:val="000233A5"/>
    <w:rsid w:val="0002445D"/>
    <w:rsid w:val="00024C50"/>
    <w:rsid w:val="00025E92"/>
    <w:rsid w:val="000276A3"/>
    <w:rsid w:val="000314C7"/>
    <w:rsid w:val="00032060"/>
    <w:rsid w:val="00037B3F"/>
    <w:rsid w:val="00040539"/>
    <w:rsid w:val="00040598"/>
    <w:rsid w:val="00047F10"/>
    <w:rsid w:val="00052157"/>
    <w:rsid w:val="0005346D"/>
    <w:rsid w:val="00055FE4"/>
    <w:rsid w:val="000641CE"/>
    <w:rsid w:val="00067310"/>
    <w:rsid w:val="00077E35"/>
    <w:rsid w:val="0008669E"/>
    <w:rsid w:val="00090599"/>
    <w:rsid w:val="00090B60"/>
    <w:rsid w:val="000A1501"/>
    <w:rsid w:val="000A2494"/>
    <w:rsid w:val="000A6B7E"/>
    <w:rsid w:val="000C6CDB"/>
    <w:rsid w:val="000D5C25"/>
    <w:rsid w:val="000E4F06"/>
    <w:rsid w:val="000E5601"/>
    <w:rsid w:val="000F17F6"/>
    <w:rsid w:val="000F41F2"/>
    <w:rsid w:val="0010373B"/>
    <w:rsid w:val="0011415F"/>
    <w:rsid w:val="00125446"/>
    <w:rsid w:val="001358D9"/>
    <w:rsid w:val="00141E26"/>
    <w:rsid w:val="00143EB9"/>
    <w:rsid w:val="00152C5A"/>
    <w:rsid w:val="0015389C"/>
    <w:rsid w:val="00160540"/>
    <w:rsid w:val="00164FE0"/>
    <w:rsid w:val="00166C68"/>
    <w:rsid w:val="00174814"/>
    <w:rsid w:val="00181A90"/>
    <w:rsid w:val="00190D5D"/>
    <w:rsid w:val="00192EEB"/>
    <w:rsid w:val="00194484"/>
    <w:rsid w:val="001A2040"/>
    <w:rsid w:val="001A20FB"/>
    <w:rsid w:val="001A376F"/>
    <w:rsid w:val="001B09BB"/>
    <w:rsid w:val="001C08ED"/>
    <w:rsid w:val="001C3D8D"/>
    <w:rsid w:val="001C6497"/>
    <w:rsid w:val="001D3393"/>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268"/>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178D"/>
    <w:rsid w:val="00346E32"/>
    <w:rsid w:val="003515AA"/>
    <w:rsid w:val="00364F13"/>
    <w:rsid w:val="0036776C"/>
    <w:rsid w:val="00372A7A"/>
    <w:rsid w:val="00372D1D"/>
    <w:rsid w:val="00374106"/>
    <w:rsid w:val="0037679A"/>
    <w:rsid w:val="0038047C"/>
    <w:rsid w:val="00390EEF"/>
    <w:rsid w:val="00394410"/>
    <w:rsid w:val="003976D5"/>
    <w:rsid w:val="003A58D8"/>
    <w:rsid w:val="003B53B6"/>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30EFC"/>
    <w:rsid w:val="00433FA6"/>
    <w:rsid w:val="004342E2"/>
    <w:rsid w:val="00434354"/>
    <w:rsid w:val="00440BC8"/>
    <w:rsid w:val="00454F8D"/>
    <w:rsid w:val="004567EB"/>
    <w:rsid w:val="00460E72"/>
    <w:rsid w:val="00464191"/>
    <w:rsid w:val="00467412"/>
    <w:rsid w:val="004726BE"/>
    <w:rsid w:val="004750C7"/>
    <w:rsid w:val="00476265"/>
    <w:rsid w:val="00490F56"/>
    <w:rsid w:val="00491496"/>
    <w:rsid w:val="00491F39"/>
    <w:rsid w:val="00495A7B"/>
    <w:rsid w:val="004A49A5"/>
    <w:rsid w:val="004A66A2"/>
    <w:rsid w:val="004B261D"/>
    <w:rsid w:val="004B51CD"/>
    <w:rsid w:val="004B576C"/>
    <w:rsid w:val="004C54C0"/>
    <w:rsid w:val="004C56B2"/>
    <w:rsid w:val="004D00B2"/>
    <w:rsid w:val="004E4963"/>
    <w:rsid w:val="004E6809"/>
    <w:rsid w:val="004E7F24"/>
    <w:rsid w:val="005111B1"/>
    <w:rsid w:val="0051457E"/>
    <w:rsid w:val="0051714B"/>
    <w:rsid w:val="00520F80"/>
    <w:rsid w:val="005239FF"/>
    <w:rsid w:val="00523DB8"/>
    <w:rsid w:val="00533150"/>
    <w:rsid w:val="00536954"/>
    <w:rsid w:val="00543B57"/>
    <w:rsid w:val="00543C47"/>
    <w:rsid w:val="00543D5E"/>
    <w:rsid w:val="00552260"/>
    <w:rsid w:val="00552777"/>
    <w:rsid w:val="00555494"/>
    <w:rsid w:val="00555CBA"/>
    <w:rsid w:val="00556C1A"/>
    <w:rsid w:val="00563071"/>
    <w:rsid w:val="00565B29"/>
    <w:rsid w:val="00571BC1"/>
    <w:rsid w:val="00571F41"/>
    <w:rsid w:val="00575476"/>
    <w:rsid w:val="005757A7"/>
    <w:rsid w:val="00583A20"/>
    <w:rsid w:val="00584373"/>
    <w:rsid w:val="0059061F"/>
    <w:rsid w:val="00591DB3"/>
    <w:rsid w:val="005939ED"/>
    <w:rsid w:val="005947BC"/>
    <w:rsid w:val="00595E8A"/>
    <w:rsid w:val="005A0268"/>
    <w:rsid w:val="005A6014"/>
    <w:rsid w:val="005B473C"/>
    <w:rsid w:val="005C549A"/>
    <w:rsid w:val="005D2D41"/>
    <w:rsid w:val="005D7719"/>
    <w:rsid w:val="005E1B9B"/>
    <w:rsid w:val="005E32D1"/>
    <w:rsid w:val="005E5D1F"/>
    <w:rsid w:val="005F0207"/>
    <w:rsid w:val="0061113B"/>
    <w:rsid w:val="00611D43"/>
    <w:rsid w:val="00612D48"/>
    <w:rsid w:val="00613A5E"/>
    <w:rsid w:val="00616B45"/>
    <w:rsid w:val="00623A83"/>
    <w:rsid w:val="006241C6"/>
    <w:rsid w:val="00630D9B"/>
    <w:rsid w:val="00631953"/>
    <w:rsid w:val="0063208D"/>
    <w:rsid w:val="00643814"/>
    <w:rsid w:val="006439EC"/>
    <w:rsid w:val="00645090"/>
    <w:rsid w:val="00646671"/>
    <w:rsid w:val="00647059"/>
    <w:rsid w:val="00647162"/>
    <w:rsid w:val="0065029A"/>
    <w:rsid w:val="006553F9"/>
    <w:rsid w:val="00661E96"/>
    <w:rsid w:val="00661F8F"/>
    <w:rsid w:val="00665786"/>
    <w:rsid w:val="00671C93"/>
    <w:rsid w:val="00671F00"/>
    <w:rsid w:val="006729C8"/>
    <w:rsid w:val="00675501"/>
    <w:rsid w:val="0068055F"/>
    <w:rsid w:val="0068562A"/>
    <w:rsid w:val="006A62F8"/>
    <w:rsid w:val="006A6B31"/>
    <w:rsid w:val="006A6C95"/>
    <w:rsid w:val="006A7B29"/>
    <w:rsid w:val="006B0EB2"/>
    <w:rsid w:val="006B0FF8"/>
    <w:rsid w:val="006B4590"/>
    <w:rsid w:val="006C27D3"/>
    <w:rsid w:val="006C340C"/>
    <w:rsid w:val="006F1D0B"/>
    <w:rsid w:val="006F27A8"/>
    <w:rsid w:val="006F3493"/>
    <w:rsid w:val="006F3544"/>
    <w:rsid w:val="0070347C"/>
    <w:rsid w:val="00707FE6"/>
    <w:rsid w:val="007102D2"/>
    <w:rsid w:val="00710974"/>
    <w:rsid w:val="00714A66"/>
    <w:rsid w:val="007176C1"/>
    <w:rsid w:val="00720BC0"/>
    <w:rsid w:val="0072116B"/>
    <w:rsid w:val="00725063"/>
    <w:rsid w:val="00732E72"/>
    <w:rsid w:val="00741D90"/>
    <w:rsid w:val="007607B1"/>
    <w:rsid w:val="00765296"/>
    <w:rsid w:val="00765DCF"/>
    <w:rsid w:val="00766D28"/>
    <w:rsid w:val="007723C2"/>
    <w:rsid w:val="007815B9"/>
    <w:rsid w:val="00785F1F"/>
    <w:rsid w:val="007869B6"/>
    <w:rsid w:val="00790B9D"/>
    <w:rsid w:val="00796316"/>
    <w:rsid w:val="007A1C58"/>
    <w:rsid w:val="007A20D2"/>
    <w:rsid w:val="007A79CD"/>
    <w:rsid w:val="007D2668"/>
    <w:rsid w:val="007D3119"/>
    <w:rsid w:val="007E3CBD"/>
    <w:rsid w:val="007F1867"/>
    <w:rsid w:val="007F1EC4"/>
    <w:rsid w:val="007F55CB"/>
    <w:rsid w:val="007F768E"/>
    <w:rsid w:val="008021D4"/>
    <w:rsid w:val="008149F9"/>
    <w:rsid w:val="008161F8"/>
    <w:rsid w:val="008245B7"/>
    <w:rsid w:val="0082755E"/>
    <w:rsid w:val="00831A18"/>
    <w:rsid w:val="008345F4"/>
    <w:rsid w:val="00837345"/>
    <w:rsid w:val="00844750"/>
    <w:rsid w:val="00851A74"/>
    <w:rsid w:val="00853AB8"/>
    <w:rsid w:val="00854C34"/>
    <w:rsid w:val="0085586A"/>
    <w:rsid w:val="00856DB2"/>
    <w:rsid w:val="00895DE5"/>
    <w:rsid w:val="008A00CA"/>
    <w:rsid w:val="008A0FA8"/>
    <w:rsid w:val="008A1EC0"/>
    <w:rsid w:val="008B44C4"/>
    <w:rsid w:val="008C322B"/>
    <w:rsid w:val="008C4B74"/>
    <w:rsid w:val="008D1156"/>
    <w:rsid w:val="008D59DB"/>
    <w:rsid w:val="008E0319"/>
    <w:rsid w:val="008E1A59"/>
    <w:rsid w:val="008E4DE2"/>
    <w:rsid w:val="008E7CE2"/>
    <w:rsid w:val="008E7FAE"/>
    <w:rsid w:val="00911BF7"/>
    <w:rsid w:val="0091594A"/>
    <w:rsid w:val="009230F1"/>
    <w:rsid w:val="00926925"/>
    <w:rsid w:val="00935490"/>
    <w:rsid w:val="009418DE"/>
    <w:rsid w:val="009516B7"/>
    <w:rsid w:val="009545F1"/>
    <w:rsid w:val="0095705B"/>
    <w:rsid w:val="00957CE5"/>
    <w:rsid w:val="009624E2"/>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6945"/>
    <w:rsid w:val="00A57027"/>
    <w:rsid w:val="00A5750C"/>
    <w:rsid w:val="00A72C35"/>
    <w:rsid w:val="00A752BB"/>
    <w:rsid w:val="00A76263"/>
    <w:rsid w:val="00A81F93"/>
    <w:rsid w:val="00A92017"/>
    <w:rsid w:val="00A9247E"/>
    <w:rsid w:val="00A952AD"/>
    <w:rsid w:val="00AA0DCA"/>
    <w:rsid w:val="00AA326B"/>
    <w:rsid w:val="00AA7796"/>
    <w:rsid w:val="00AC67A1"/>
    <w:rsid w:val="00AC7977"/>
    <w:rsid w:val="00AC7E56"/>
    <w:rsid w:val="00AE2617"/>
    <w:rsid w:val="00AE352C"/>
    <w:rsid w:val="00AE79AC"/>
    <w:rsid w:val="00B01AAD"/>
    <w:rsid w:val="00B101DB"/>
    <w:rsid w:val="00B21751"/>
    <w:rsid w:val="00B256F0"/>
    <w:rsid w:val="00B31D7D"/>
    <w:rsid w:val="00B32E2D"/>
    <w:rsid w:val="00B416B8"/>
    <w:rsid w:val="00B43741"/>
    <w:rsid w:val="00B45642"/>
    <w:rsid w:val="00B52F29"/>
    <w:rsid w:val="00B5388D"/>
    <w:rsid w:val="00B61990"/>
    <w:rsid w:val="00B6249B"/>
    <w:rsid w:val="00B638EE"/>
    <w:rsid w:val="00B70CCD"/>
    <w:rsid w:val="00B75E66"/>
    <w:rsid w:val="00B773BF"/>
    <w:rsid w:val="00B804B7"/>
    <w:rsid w:val="00BC3F20"/>
    <w:rsid w:val="00BD13E6"/>
    <w:rsid w:val="00BD28B2"/>
    <w:rsid w:val="00BD5A8D"/>
    <w:rsid w:val="00BD7343"/>
    <w:rsid w:val="00BF0556"/>
    <w:rsid w:val="00BF37EE"/>
    <w:rsid w:val="00BF41E8"/>
    <w:rsid w:val="00C024A1"/>
    <w:rsid w:val="00C02C42"/>
    <w:rsid w:val="00C10FB1"/>
    <w:rsid w:val="00C11282"/>
    <w:rsid w:val="00C14108"/>
    <w:rsid w:val="00C177CC"/>
    <w:rsid w:val="00C231A5"/>
    <w:rsid w:val="00C261F8"/>
    <w:rsid w:val="00C27662"/>
    <w:rsid w:val="00C32914"/>
    <w:rsid w:val="00C33100"/>
    <w:rsid w:val="00C42EDB"/>
    <w:rsid w:val="00C451B9"/>
    <w:rsid w:val="00C51D9C"/>
    <w:rsid w:val="00C54DA4"/>
    <w:rsid w:val="00C55118"/>
    <w:rsid w:val="00C577D1"/>
    <w:rsid w:val="00C57A2D"/>
    <w:rsid w:val="00C6018C"/>
    <w:rsid w:val="00C67D23"/>
    <w:rsid w:val="00C71827"/>
    <w:rsid w:val="00C75D25"/>
    <w:rsid w:val="00C825E5"/>
    <w:rsid w:val="00C95EB8"/>
    <w:rsid w:val="00CB02C5"/>
    <w:rsid w:val="00CB0D41"/>
    <w:rsid w:val="00CB39CD"/>
    <w:rsid w:val="00CC2A62"/>
    <w:rsid w:val="00CC7CE6"/>
    <w:rsid w:val="00CD044C"/>
    <w:rsid w:val="00CD1A71"/>
    <w:rsid w:val="00CD1FBB"/>
    <w:rsid w:val="00CE033D"/>
    <w:rsid w:val="00CE08E5"/>
    <w:rsid w:val="00D016B5"/>
    <w:rsid w:val="00D034F1"/>
    <w:rsid w:val="00D04527"/>
    <w:rsid w:val="00D05828"/>
    <w:rsid w:val="00D06712"/>
    <w:rsid w:val="00D14C21"/>
    <w:rsid w:val="00D14F42"/>
    <w:rsid w:val="00D171D4"/>
    <w:rsid w:val="00D244CB"/>
    <w:rsid w:val="00D27D5E"/>
    <w:rsid w:val="00D30221"/>
    <w:rsid w:val="00D32B08"/>
    <w:rsid w:val="00D407D1"/>
    <w:rsid w:val="00D43E5F"/>
    <w:rsid w:val="00D51CE6"/>
    <w:rsid w:val="00D62AC5"/>
    <w:rsid w:val="00D639BD"/>
    <w:rsid w:val="00D65777"/>
    <w:rsid w:val="00D66E0D"/>
    <w:rsid w:val="00D7425A"/>
    <w:rsid w:val="00D74F7E"/>
    <w:rsid w:val="00D7695F"/>
    <w:rsid w:val="00D9039B"/>
    <w:rsid w:val="00D91B94"/>
    <w:rsid w:val="00D93582"/>
    <w:rsid w:val="00DA41A2"/>
    <w:rsid w:val="00DA43A1"/>
    <w:rsid w:val="00DA5E1D"/>
    <w:rsid w:val="00DC3628"/>
    <w:rsid w:val="00DC4F43"/>
    <w:rsid w:val="00DC5038"/>
    <w:rsid w:val="00DD1ED8"/>
    <w:rsid w:val="00DE6D90"/>
    <w:rsid w:val="00DF002F"/>
    <w:rsid w:val="00DF1D90"/>
    <w:rsid w:val="00E01123"/>
    <w:rsid w:val="00E0244D"/>
    <w:rsid w:val="00E026DF"/>
    <w:rsid w:val="00E02F48"/>
    <w:rsid w:val="00E03712"/>
    <w:rsid w:val="00E06B3F"/>
    <w:rsid w:val="00E10A73"/>
    <w:rsid w:val="00E14F27"/>
    <w:rsid w:val="00E171D2"/>
    <w:rsid w:val="00E25534"/>
    <w:rsid w:val="00E319B6"/>
    <w:rsid w:val="00E32145"/>
    <w:rsid w:val="00E32F5A"/>
    <w:rsid w:val="00E43CB0"/>
    <w:rsid w:val="00E510F3"/>
    <w:rsid w:val="00E51874"/>
    <w:rsid w:val="00E55223"/>
    <w:rsid w:val="00E60012"/>
    <w:rsid w:val="00E606BF"/>
    <w:rsid w:val="00E62CFF"/>
    <w:rsid w:val="00E665EE"/>
    <w:rsid w:val="00E679AE"/>
    <w:rsid w:val="00E71570"/>
    <w:rsid w:val="00E73B13"/>
    <w:rsid w:val="00E75C58"/>
    <w:rsid w:val="00E76819"/>
    <w:rsid w:val="00E81E94"/>
    <w:rsid w:val="00E82607"/>
    <w:rsid w:val="00E84A82"/>
    <w:rsid w:val="00E85025"/>
    <w:rsid w:val="00E9483E"/>
    <w:rsid w:val="00E94E03"/>
    <w:rsid w:val="00E96710"/>
    <w:rsid w:val="00E97E2C"/>
    <w:rsid w:val="00EA3B1D"/>
    <w:rsid w:val="00EB407B"/>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D41"/>
    <w:rsid w:val="00F515AD"/>
    <w:rsid w:val="00F56B14"/>
    <w:rsid w:val="00F57DD7"/>
    <w:rsid w:val="00F636AD"/>
    <w:rsid w:val="00F734D9"/>
    <w:rsid w:val="00F73F83"/>
    <w:rsid w:val="00F74902"/>
    <w:rsid w:val="00F85A4E"/>
    <w:rsid w:val="00F9353A"/>
    <w:rsid w:val="00F965C2"/>
    <w:rsid w:val="00F97AB2"/>
    <w:rsid w:val="00FA27D4"/>
    <w:rsid w:val="00FA5A79"/>
    <w:rsid w:val="00FB0BFE"/>
    <w:rsid w:val="00FB4300"/>
    <w:rsid w:val="00FB4C51"/>
    <w:rsid w:val="00FB734D"/>
    <w:rsid w:val="00FC2227"/>
    <w:rsid w:val="00FC2CA9"/>
    <w:rsid w:val="00FC58CD"/>
    <w:rsid w:val="00FD02A2"/>
    <w:rsid w:val="00FD5E64"/>
    <w:rsid w:val="00FD7985"/>
    <w:rsid w:val="00FE2E9C"/>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A50D6B"/>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1D7F8A"/>
    <w:pPr>
      <w:spacing w:after="120"/>
      <w:ind w:left="1134" w:right="1134"/>
      <w:jc w:val="both"/>
    </w:pPr>
  </w:style>
  <w:style w:type="paragraph" w:styleId="EndnoteText">
    <w:name w:val="endnote text"/>
    <w:aliases w:val="2_G"/>
    <w:basedOn w:val="FootnoteText"/>
    <w:rsid w:val="00D016B5"/>
  </w:style>
  <w:style w:type="paragraph" w:styleId="FootnoteText">
    <w:name w:val="footnote text"/>
    <w:aliases w:val="5_G"/>
    <w:basedOn w:val="Normal"/>
    <w:rsid w:val="00C10FB1"/>
    <w:pPr>
      <w:tabs>
        <w:tab w:val="right" w:pos="1021"/>
      </w:tabs>
      <w:spacing w:line="220" w:lineRule="exact"/>
      <w:ind w:left="1134" w:right="1134" w:hanging="1134"/>
    </w:pPr>
    <w:rPr>
      <w:sz w:val="18"/>
    </w:rPr>
  </w:style>
  <w:style w:type="paragraph" w:styleId="Footer">
    <w:name w:val="footer"/>
    <w:aliases w:val="3_G"/>
    <w:basedOn w:val="Normal"/>
    <w:next w:val="Normal"/>
    <w:rsid w:val="001D7F8A"/>
    <w:pPr>
      <w:spacing w:line="240" w:lineRule="auto"/>
    </w:pPr>
    <w:rPr>
      <w:sz w:val="16"/>
    </w:rPr>
  </w:style>
  <w:style w:type="character" w:styleId="EndnoteReference">
    <w:name w:val="endnote reference"/>
    <w:aliases w:val="1_G"/>
    <w:rsid w:val="00D016B5"/>
    <w:rPr>
      <w:rFonts w:ascii="Times New Roman" w:hAnsi="Times New Roman"/>
      <w:sz w:val="18"/>
      <w:vertAlign w:val="superscript"/>
      <w:lang w:val="fr-CH"/>
    </w:rPr>
  </w:style>
  <w:style w:type="character" w:styleId="FootnoteReference">
    <w:name w:val="footnote reference"/>
    <w:aliases w:val="4_G"/>
    <w:rsid w:val="00D016B5"/>
    <w:rPr>
      <w:rFonts w:ascii="Times New Roman" w:hAnsi="Times New Roman"/>
      <w:sz w:val="18"/>
      <w:vertAlign w:val="superscript"/>
      <w:lang w:val="fr-CH"/>
    </w:rPr>
  </w:style>
  <w:style w:type="character" w:styleId="PageNumber">
    <w:name w:val="page number"/>
    <w:aliases w:val="7_G"/>
    <w:rsid w:val="00287E79"/>
    <w:rPr>
      <w:rFonts w:ascii="Times New Roman" w:hAnsi="Times New Roman"/>
      <w:b/>
      <w:sz w:val="18"/>
      <w:lang w:val="fr-CH"/>
    </w:rPr>
  </w:style>
  <w:style w:type="paragraph" w:styleId="Header">
    <w:name w:val="header"/>
    <w:aliases w:val="6_G"/>
    <w:basedOn w:val="Normal"/>
    <w:next w:val="Normal"/>
    <w:rsid w:val="007723C2"/>
    <w:pPr>
      <w:pBdr>
        <w:bottom w:val="single" w:sz="4" w:space="4" w:color="auto"/>
      </w:pBdr>
      <w:spacing w:line="240" w:lineRule="auto"/>
    </w:pPr>
    <w:rPr>
      <w:b/>
      <w:sz w:val="18"/>
    </w:rPr>
  </w:style>
  <w:style w:type="paragraph" w:customStyle="1" w:styleId="H1G">
    <w:name w:val="_ H_1_G"/>
    <w:basedOn w:val="Normal"/>
    <w:next w:val="Normal"/>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37"/>
      </w:numPr>
      <w:spacing w:after="120"/>
      <w:ind w:right="1134"/>
      <w:jc w:val="both"/>
    </w:pPr>
  </w:style>
  <w:style w:type="paragraph" w:customStyle="1" w:styleId="Bullet2G">
    <w:name w:val="_Bullet 2_G"/>
    <w:basedOn w:val="Normal"/>
    <w:rsid w:val="00D016B5"/>
    <w:pPr>
      <w:numPr>
        <w:numId w:val="38"/>
      </w:numPr>
      <w:spacing w:after="120"/>
      <w:ind w:right="1134"/>
      <w:jc w:val="both"/>
    </w:pPr>
  </w:style>
  <w:style w:type="table" w:styleId="TableGrid">
    <w:name w:val="Table Grid"/>
    <w:basedOn w:val="TableNormal"/>
    <w:semiHidden/>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lang w:val="fr-CH" w:eastAsia="en-US" w:bidi="ar-SA"/>
    </w:rPr>
  </w:style>
  <w:style w:type="character" w:styleId="Hyperlink">
    <w:name w:val="Hyperlink"/>
    <w:semiHidden/>
    <w:rsid w:val="00491F39"/>
    <w:rPr>
      <w:color w:val="auto"/>
      <w:u w:val="none"/>
    </w:rPr>
  </w:style>
  <w:style w:type="character" w:styleId="FollowedHyperlink">
    <w:name w:val="FollowedHyperlink"/>
    <w:semiHidden/>
    <w:rsid w:val="00491F39"/>
    <w:rPr>
      <w:color w:val="auto"/>
      <w:u w:val="none"/>
    </w:rPr>
  </w:style>
  <w:style w:type="paragraph" w:customStyle="1" w:styleId="ParNoG">
    <w:name w:val="_ParNo_G"/>
    <w:basedOn w:val="SingleTxtG"/>
    <w:rsid w:val="00FE2E9C"/>
    <w:pPr>
      <w:numPr>
        <w:numId w:val="49"/>
      </w:numPr>
    </w:pPr>
  </w:style>
  <w:style w:type="character" w:customStyle="1" w:styleId="Heading1Char">
    <w:name w:val="Heading 1 Char"/>
    <w:aliases w:val="Table_G Char"/>
    <w:link w:val="Heading1"/>
    <w:rsid w:val="001C08ED"/>
    <w:rPr>
      <w:lang w:val="fr-CH" w:eastAsia="en-US"/>
    </w:rPr>
  </w:style>
  <w:style w:type="paragraph" w:styleId="BalloonText">
    <w:name w:val="Balloon Text"/>
    <w:basedOn w:val="Normal"/>
    <w:link w:val="BalloonTextChar"/>
    <w:rsid w:val="00FC2CA9"/>
    <w:pPr>
      <w:spacing w:line="240" w:lineRule="auto"/>
    </w:pPr>
    <w:rPr>
      <w:rFonts w:ascii="Tahoma" w:hAnsi="Tahoma" w:cs="Tahoma"/>
      <w:sz w:val="16"/>
      <w:szCs w:val="16"/>
    </w:rPr>
  </w:style>
  <w:style w:type="character" w:customStyle="1" w:styleId="BalloonTextChar">
    <w:name w:val="Balloon Text Char"/>
    <w:link w:val="BalloonText"/>
    <w:rsid w:val="00FC2CA9"/>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481</Words>
  <Characters>2745</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E/ECE/324/Rev.2/Add.100/Rev.3/Amend.1</vt:lpstr>
      <vt:lpstr>E/ECE/324/Rev.2/Add.100/Rev.3/Amend.1</vt:lpstr>
    </vt:vector>
  </TitlesOfParts>
  <Company>CSD</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E/ECE/324/Rev.2/Add.100/Rev.3/Amend.1</dc:title>
  <dc:subject>final</dc:subject>
  <dc:creator>Lamy</dc:creator>
  <cp:lastModifiedBy>04</cp:lastModifiedBy>
  <cp:revision>3</cp:revision>
  <cp:lastPrinted>2015-06-05T10:28:00Z</cp:lastPrinted>
  <dcterms:created xsi:type="dcterms:W3CDTF">2015-06-15T09:21:00Z</dcterms:created>
  <dcterms:modified xsi:type="dcterms:W3CDTF">2015-06-22T09:42:00Z</dcterms:modified>
</cp:coreProperties>
</file>