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0314C7" w:rsidP="006633DC">
            <w:pPr>
              <w:jc w:val="right"/>
            </w:pPr>
            <w:r w:rsidRPr="00495A7B">
              <w:rPr>
                <w:sz w:val="40"/>
              </w:rPr>
              <w:t>E</w:t>
            </w:r>
            <w:r>
              <w:t>/ECE/324/</w:t>
            </w:r>
            <w:r w:rsidR="000F17F6">
              <w:t>Rev.1/</w:t>
            </w:r>
            <w:r>
              <w:t>Add.</w:t>
            </w:r>
            <w:r w:rsidR="006633DC">
              <w:t>97</w:t>
            </w:r>
            <w:r>
              <w:t>/Rev.</w:t>
            </w:r>
            <w:r w:rsidR="006633DC">
              <w:t>3</w:t>
            </w:r>
            <w:r>
              <w:t>/Amend.</w:t>
            </w:r>
            <w:r w:rsidR="006633DC">
              <w:t>4</w:t>
            </w:r>
            <w:r>
              <w:t>−</w:t>
            </w:r>
            <w:r w:rsidRPr="00495A7B">
              <w:rPr>
                <w:sz w:val="40"/>
              </w:rPr>
              <w:t>E</w:t>
            </w:r>
            <w:r>
              <w:t>/ECE/TRANS/505</w:t>
            </w:r>
            <w:r w:rsidR="006633DC">
              <w:t>/Rev.1/Add.97/Rev.3/Amend.4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CF5C7F" w:rsidRPr="00DB58B5" w:rsidRDefault="003C0F9B" w:rsidP="00495A7B">
            <w:pPr>
              <w:spacing w:before="480" w:line="240" w:lineRule="exact"/>
            </w:pPr>
            <w:r>
              <w:t>22</w:t>
            </w:r>
            <w:bookmarkStart w:id="0" w:name="_GoBack"/>
            <w:bookmarkEnd w:id="0"/>
            <w:r w:rsidR="00CF5C7F">
              <w:t xml:space="preserve"> juin 2015</w:t>
            </w:r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242268">
      <w:pPr>
        <w:pStyle w:val="HChG"/>
        <w:spacing w:before="200" w:after="100" w:line="260" w:lineRule="exact"/>
      </w:pPr>
      <w:r>
        <w:tab/>
      </w:r>
      <w:r>
        <w:tab/>
      </w:r>
      <w:r w:rsidR="00421A10" w:rsidRPr="006549FF">
        <w:t xml:space="preserve">Additif </w:t>
      </w:r>
      <w:r w:rsidR="006633DC">
        <w:t>97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633DC">
        <w:t>98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6633DC">
        <w:t>3</w:t>
      </w:r>
      <w:r w:rsidR="000314C7">
        <w:t xml:space="preserve"> − Amendement </w:t>
      </w:r>
      <w:r w:rsidR="006633DC">
        <w:t>4</w:t>
      </w:r>
    </w:p>
    <w:p w:rsidR="00015650" w:rsidRPr="00631BAB" w:rsidRDefault="003A58D8" w:rsidP="00242268">
      <w:pPr>
        <w:pStyle w:val="SingleTxtG"/>
        <w:spacing w:after="100" w:line="200" w:lineRule="atLeast"/>
        <w:jc w:val="left"/>
      </w:pPr>
      <w:r>
        <w:t xml:space="preserve">Complément </w:t>
      </w:r>
      <w:r w:rsidR="006633DC">
        <w:t xml:space="preserve">5 </w:t>
      </w:r>
      <w:r>
        <w:t>à la s</w:t>
      </w:r>
      <w:r w:rsidR="00015650" w:rsidRPr="00631BAB">
        <w:t xml:space="preserve">érie </w:t>
      </w:r>
      <w:r w:rsidR="00A92017">
        <w:t>0</w:t>
      </w:r>
      <w:r w:rsidR="006633DC">
        <w:t>1</w:t>
      </w:r>
      <w:r w:rsidR="00015650" w:rsidRPr="00631BAB">
        <w:t xml:space="preserve"> d</w:t>
      </w:r>
      <w:r w:rsidR="00015650">
        <w:t>’</w:t>
      </w:r>
      <w:r w:rsidR="00015650" w:rsidRPr="00631BAB">
        <w:t>amendements au Règlement − Date d</w:t>
      </w:r>
      <w:r w:rsidR="00015650">
        <w:t>’entrée en vigueur: 15 </w:t>
      </w:r>
      <w:r w:rsidR="00015650" w:rsidRPr="00631BAB">
        <w:t>jui</w:t>
      </w:r>
      <w:r w:rsidR="00A92017">
        <w:t>n 2015</w:t>
      </w:r>
      <w:r w:rsidR="00015650" w:rsidRPr="00631BAB"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6633DC" w:rsidRPr="006633DC">
        <w:rPr>
          <w:spacing w:val="-2"/>
        </w:rPr>
        <w:t>Prescriptions uniformes concernant l'homologation des projecteurs de véhicules à moteur munis de sources lumineuses à décharge</w:t>
      </w:r>
    </w:p>
    <w:p w:rsidR="006633DC" w:rsidRDefault="001D3393" w:rsidP="006633DC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>Ce document constitue un outil de documentation. Le texte authentique et contraignant juridique est ECE/TRANS/WP.29/201</w:t>
      </w:r>
      <w:r w:rsidR="006633DC">
        <w:rPr>
          <w:lang w:val="en-GB" w:eastAsia="en-GB"/>
        </w:rPr>
        <w:t>3/90/Rev.1</w:t>
      </w:r>
      <w:r w:rsidR="007643B2">
        <w:rPr>
          <w:lang w:val="en-GB" w:eastAsia="en-GB"/>
        </w:rPr>
        <w:t>.</w:t>
      </w:r>
    </w:p>
    <w:p w:rsidR="007643B2" w:rsidRDefault="00DD1ED8" w:rsidP="006633DC">
      <w:pPr>
        <w:pStyle w:val="SingleTxtG"/>
        <w:keepNext/>
        <w:rPr>
          <w:i/>
        </w:rPr>
      </w:pPr>
      <w:r>
        <w:br w:type="page"/>
      </w:r>
      <w:r w:rsidR="006633DC" w:rsidRPr="00595372">
        <w:rPr>
          <w:i/>
        </w:rPr>
        <w:lastRenderedPageBreak/>
        <w:t xml:space="preserve">Table des matières, </w:t>
      </w:r>
    </w:p>
    <w:p w:rsidR="006633DC" w:rsidRPr="00595372" w:rsidRDefault="007643B2" w:rsidP="006633DC">
      <w:pPr>
        <w:pStyle w:val="SingleTxtG"/>
        <w:keepNext/>
      </w:pPr>
      <w:r>
        <w:rPr>
          <w:i/>
        </w:rPr>
        <w:t>A</w:t>
      </w:r>
      <w:r w:rsidR="006633DC" w:rsidRPr="00595372">
        <w:rPr>
          <w:i/>
        </w:rPr>
        <w:t>nnexe 1, titre</w:t>
      </w:r>
      <w:r w:rsidR="006633DC" w:rsidRPr="00595372">
        <w:t>, modifier comme suit:</w:t>
      </w:r>
    </w:p>
    <w:p w:rsidR="006633DC" w:rsidRPr="00595372" w:rsidRDefault="006633DC" w:rsidP="006633DC">
      <w:pPr>
        <w:pStyle w:val="SingleTxtG"/>
        <w:spacing w:line="240" w:lineRule="exact"/>
        <w:ind w:left="2268" w:hanging="1134"/>
      </w:pPr>
      <w:r w:rsidRPr="00595372">
        <w:t>«1</w:t>
      </w:r>
      <w:r w:rsidRPr="00595372">
        <w:tab/>
        <w:t>Communication concernant l</w:t>
      </w:r>
      <w:r>
        <w:t>’</w:t>
      </w:r>
      <w:r w:rsidRPr="00595372">
        <w:t>homologation, l</w:t>
      </w:r>
      <w:r>
        <w:t>’</w:t>
      </w:r>
      <w:bookmarkStart w:id="1" w:name="hit_last"/>
      <w:bookmarkEnd w:id="1"/>
      <w:r w:rsidRPr="00595372">
        <w:t>extension, le refus ou le retrait d</w:t>
      </w:r>
      <w:r>
        <w:t>’</w:t>
      </w:r>
      <w:r w:rsidRPr="00595372">
        <w:t>une homologation ou l</w:t>
      </w:r>
      <w:r>
        <w:t>’</w:t>
      </w:r>
      <w:r w:rsidRPr="00595372">
        <w:t>arrêt définitif de la production d</w:t>
      </w:r>
      <w:r>
        <w:t>’</w:t>
      </w:r>
      <w:r w:rsidRPr="00595372">
        <w:t>un type de projecteur en application du Règlement n</w:t>
      </w:r>
      <w:r w:rsidRPr="00595372">
        <w:rPr>
          <w:vertAlign w:val="superscript"/>
        </w:rPr>
        <w:t>o</w:t>
      </w:r>
      <w:r w:rsidRPr="00595372">
        <w:t> 98</w:t>
      </w:r>
    </w:p>
    <w:p w:rsidR="006633DC" w:rsidRPr="00595372" w:rsidRDefault="006633DC" w:rsidP="006633DC">
      <w:pPr>
        <w:pStyle w:val="SingleTxtG"/>
        <w:tabs>
          <w:tab w:val="right" w:leader="dot" w:pos="8505"/>
          <w:tab w:val="right" w:pos="9639"/>
        </w:tabs>
        <w:spacing w:line="240" w:lineRule="auto"/>
        <w:ind w:left="2268" w:right="1133"/>
      </w:pPr>
      <w:r w:rsidRPr="00595372">
        <w:t>…».</w:t>
      </w:r>
    </w:p>
    <w:p w:rsidR="006633DC" w:rsidRPr="00595372" w:rsidRDefault="007643B2" w:rsidP="006633DC">
      <w:pPr>
        <w:pStyle w:val="SingleTxtG"/>
        <w:keepNext/>
      </w:pPr>
      <w:r>
        <w:rPr>
          <w:i/>
        </w:rPr>
        <w:t>P</w:t>
      </w:r>
      <w:r w:rsidR="006633DC" w:rsidRPr="00595372">
        <w:rPr>
          <w:i/>
        </w:rPr>
        <w:t xml:space="preserve">aragraphe </w:t>
      </w:r>
      <w:r w:rsidRPr="007643B2">
        <w:t>«</w:t>
      </w:r>
      <w:r w:rsidRPr="007643B2">
        <w:rPr>
          <w:i/>
        </w:rPr>
        <w:t>Champ d’application</w:t>
      </w:r>
      <w:r w:rsidRPr="00595372">
        <w:t>»</w:t>
      </w:r>
      <w:r w:rsidR="006633DC" w:rsidRPr="00595372">
        <w:t>,</w:t>
      </w:r>
      <w:r w:rsidR="006633DC" w:rsidRPr="00595372">
        <w:rPr>
          <w:i/>
        </w:rPr>
        <w:t xml:space="preserve"> </w:t>
      </w:r>
      <w:r w:rsidR="006633DC" w:rsidRPr="00595372">
        <w:t>modifier comme suit:</w:t>
      </w:r>
    </w:p>
    <w:p w:rsidR="006633DC" w:rsidRPr="00595372" w:rsidRDefault="006633DC" w:rsidP="006633DC">
      <w:pPr>
        <w:pStyle w:val="HChG"/>
        <w:ind w:left="2268" w:firstLine="0"/>
      </w:pPr>
      <w:r w:rsidRPr="007F3B33">
        <w:rPr>
          <w:b w:val="0"/>
          <w:sz w:val="20"/>
        </w:rPr>
        <w:t>«</w:t>
      </w:r>
      <w:r w:rsidRPr="00595372">
        <w:t>Champ d</w:t>
      </w:r>
      <w:r>
        <w:t>’</w:t>
      </w:r>
      <w:r w:rsidRPr="00595372">
        <w:t>application</w:t>
      </w:r>
      <w:r w:rsidRPr="007F3B33">
        <w:rPr>
          <w:b w:val="0"/>
          <w:sz w:val="18"/>
          <w:szCs w:val="18"/>
          <w:vertAlign w:val="superscript"/>
        </w:rPr>
        <w:t>1</w:t>
      </w:r>
    </w:p>
    <w:p w:rsidR="006633DC" w:rsidRPr="001531B8" w:rsidRDefault="006633DC" w:rsidP="006633DC">
      <w:pPr>
        <w:pStyle w:val="SingleTxtG"/>
        <w:spacing w:after="100"/>
        <w:ind w:left="2268"/>
      </w:pPr>
      <w:r w:rsidRPr="00595372">
        <w:t>Le présent Règlement s</w:t>
      </w:r>
      <w:r>
        <w:t>’</w:t>
      </w:r>
      <w:r w:rsidRPr="00595372">
        <w:t>applique aux projecteurs utilisant des sources lumineuses à décharge pour véhicules des catégories M, N et L</w:t>
      </w:r>
      <w:r w:rsidRPr="00595372">
        <w:rPr>
          <w:vertAlign w:val="subscript"/>
        </w:rPr>
        <w:t>3</w:t>
      </w:r>
      <w:r w:rsidRPr="00595372">
        <w:t>.».</w:t>
      </w:r>
    </w:p>
    <w:p w:rsidR="006633DC" w:rsidRPr="00595372" w:rsidRDefault="006633DC" w:rsidP="006633DC">
      <w:pPr>
        <w:pStyle w:val="SingleTxtG"/>
        <w:spacing w:after="100"/>
      </w:pPr>
      <w:r w:rsidRPr="00595372">
        <w:rPr>
          <w:i/>
        </w:rPr>
        <w:t>Paragraphe 2.1.6</w:t>
      </w:r>
      <w:r w:rsidRPr="00595372">
        <w:t>,</w:t>
      </w:r>
      <w:r w:rsidRPr="00595372">
        <w:rPr>
          <w:i/>
        </w:rPr>
        <w:t xml:space="preserve"> </w:t>
      </w:r>
      <w:r w:rsidRPr="00595372">
        <w:t>supprimer.</w:t>
      </w:r>
    </w:p>
    <w:p w:rsidR="006633DC" w:rsidRPr="00595372" w:rsidRDefault="006633DC" w:rsidP="006633DC">
      <w:pPr>
        <w:pStyle w:val="SingleTxtG"/>
        <w:keepNext/>
        <w:spacing w:after="100"/>
      </w:pPr>
      <w:r w:rsidRPr="00595372">
        <w:rPr>
          <w:i/>
        </w:rPr>
        <w:t xml:space="preserve">Le paragraphe 2.1.7 </w:t>
      </w:r>
      <w:r w:rsidRPr="00595372">
        <w:t>devient le paragraphe 2.1.6 et est modifié comme suit:</w:t>
      </w:r>
    </w:p>
    <w:p w:rsidR="006633DC" w:rsidRPr="00595372" w:rsidRDefault="006633DC" w:rsidP="006633DC">
      <w:pPr>
        <w:pStyle w:val="SingleTxtG"/>
        <w:spacing w:after="100"/>
        <w:ind w:left="2268" w:hanging="1134"/>
      </w:pPr>
      <w:r w:rsidRPr="00595372">
        <w:t>«2.1.6</w:t>
      </w:r>
      <w:r w:rsidRPr="00595372">
        <w:tab/>
      </w:r>
      <w:r w:rsidRPr="00595372">
        <w:tab/>
        <w:t xml:space="preserve">La catégorie de source lumineuse définie dans les Règlements </w:t>
      </w:r>
      <w:r w:rsidRPr="00595372">
        <w:rPr>
          <w:rFonts w:eastAsia="MS Mincho"/>
        </w:rPr>
        <w:t>n</w:t>
      </w:r>
      <w:r w:rsidRPr="00595372">
        <w:rPr>
          <w:rFonts w:eastAsia="MS Mincho"/>
          <w:vertAlign w:val="superscript"/>
        </w:rPr>
        <w:t>o</w:t>
      </w:r>
      <w:r w:rsidRPr="00595372">
        <w:rPr>
          <w:vertAlign w:val="superscript"/>
        </w:rPr>
        <w:t>s</w:t>
      </w:r>
      <w:r w:rsidRPr="00595372">
        <w:t> 37 ou 99 et leurs séries d</w:t>
      </w:r>
      <w:r>
        <w:t>’</w:t>
      </w:r>
      <w:r w:rsidRPr="00595372">
        <w:t>amendements en vigueur au moment de la demande d</w:t>
      </w:r>
      <w:r>
        <w:t>’</w:t>
      </w:r>
      <w:r w:rsidRPr="00595372">
        <w:t>homologation de type.».</w:t>
      </w:r>
    </w:p>
    <w:p w:rsidR="006633DC" w:rsidRPr="00595372" w:rsidRDefault="006633DC" w:rsidP="006633DC">
      <w:pPr>
        <w:pStyle w:val="SingleTxtG"/>
        <w:keepNext/>
        <w:spacing w:after="100"/>
        <w:ind w:left="2268" w:right="1133" w:hanging="1134"/>
      </w:pPr>
      <w:r w:rsidRPr="00595372">
        <w:rPr>
          <w:i/>
        </w:rPr>
        <w:t>Paragraphe 2.2.2</w:t>
      </w:r>
      <w:r w:rsidRPr="00595372">
        <w:t>, modifier comme suit:</w:t>
      </w:r>
    </w:p>
    <w:p w:rsidR="006633DC" w:rsidRPr="00595372" w:rsidRDefault="006633DC" w:rsidP="006633DC">
      <w:pPr>
        <w:pStyle w:val="SingleTxtG"/>
        <w:keepNext/>
        <w:spacing w:after="100"/>
        <w:ind w:left="2268" w:hanging="1134"/>
      </w:pPr>
      <w:r w:rsidRPr="00595372">
        <w:t>«2.2.2</w:t>
      </w:r>
      <w:r w:rsidRPr="00595372">
        <w:tab/>
        <w:t>D</w:t>
      </w:r>
      <w:r>
        <w:t>’</w:t>
      </w:r>
      <w:r w:rsidRPr="00595372">
        <w:t>une description technique succincte…</w:t>
      </w:r>
    </w:p>
    <w:p w:rsidR="006633DC" w:rsidRPr="00595372" w:rsidRDefault="006633DC" w:rsidP="006633DC">
      <w:pPr>
        <w:pStyle w:val="SingleTxtG"/>
        <w:spacing w:after="100"/>
        <w:ind w:left="2835" w:hanging="567"/>
      </w:pPr>
      <w:r w:rsidRPr="00595372">
        <w:t>b)</w:t>
      </w:r>
      <w:r w:rsidRPr="00595372">
        <w:tab/>
        <w:t>Un dessin coté avec indication des valeurs électriques et photométriques de base et du flux lumineux objectif.».</w:t>
      </w:r>
    </w:p>
    <w:p w:rsidR="006633DC" w:rsidRPr="00595372" w:rsidRDefault="006633DC" w:rsidP="006633DC">
      <w:pPr>
        <w:pStyle w:val="SingleTxtG"/>
        <w:keepNext/>
        <w:spacing w:after="100"/>
        <w:ind w:left="2268" w:right="1133" w:hanging="1134"/>
      </w:pPr>
      <w:r w:rsidRPr="00595372">
        <w:rPr>
          <w:i/>
        </w:rPr>
        <w:t>Paragraphe 2.2.3.1</w:t>
      </w:r>
      <w:r w:rsidRPr="00595372">
        <w:t>, modifier comme suit:</w:t>
      </w:r>
    </w:p>
    <w:p w:rsidR="006633DC" w:rsidRPr="00595372" w:rsidRDefault="006633DC" w:rsidP="006633DC">
      <w:pPr>
        <w:pStyle w:val="SingleTxtG"/>
        <w:spacing w:after="100"/>
        <w:ind w:left="2268" w:hanging="1134"/>
      </w:pPr>
      <w:r w:rsidRPr="00595372">
        <w:t>«2.2.3.1</w:t>
      </w:r>
      <w:r w:rsidRPr="00595372">
        <w:tab/>
        <w:t>Pour l</w:t>
      </w:r>
      <w:r>
        <w:t>’</w:t>
      </w:r>
      <w:r w:rsidRPr="00595372">
        <w:t>homologation d</w:t>
      </w:r>
      <w:r>
        <w:t>’</w:t>
      </w:r>
      <w:r w:rsidRPr="00595372">
        <w:t>un projecteur, deux échantillons du type de projecteur, l</w:t>
      </w:r>
      <w:r>
        <w:t>’</w:t>
      </w:r>
      <w:r w:rsidRPr="00595372">
        <w:t>un destiné à être installé sur la partie gauche du véhicule et l</w:t>
      </w:r>
      <w:r>
        <w:t>’</w:t>
      </w:r>
      <w:r w:rsidRPr="00595372">
        <w:t>autre sur sa partie droite, avec des sources lumineuses à décharge de série et, s</w:t>
      </w:r>
      <w:r>
        <w:t>’</w:t>
      </w:r>
      <w:r w:rsidRPr="00595372">
        <w:t>il y a lieu, un ballast de chaque type devant être utilisé.».</w:t>
      </w:r>
    </w:p>
    <w:p w:rsidR="006633DC" w:rsidRPr="00595372" w:rsidRDefault="006633DC" w:rsidP="006633DC">
      <w:pPr>
        <w:pStyle w:val="SingleTxtG"/>
        <w:spacing w:after="100"/>
        <w:ind w:left="2268" w:right="1133" w:hanging="1134"/>
      </w:pPr>
      <w:r w:rsidRPr="00595372">
        <w:rPr>
          <w:i/>
        </w:rPr>
        <w:t>Paragraphe 2.3</w:t>
      </w:r>
      <w:r w:rsidRPr="00595372">
        <w:t>,</w:t>
      </w:r>
      <w:r w:rsidRPr="00595372">
        <w:rPr>
          <w:i/>
        </w:rPr>
        <w:t xml:space="preserve"> </w:t>
      </w:r>
      <w:r w:rsidRPr="00595372">
        <w:t>supprimer.</w:t>
      </w:r>
    </w:p>
    <w:p w:rsidR="006633DC" w:rsidRPr="00595372" w:rsidRDefault="006633DC" w:rsidP="006633DC">
      <w:pPr>
        <w:pStyle w:val="SingleTxtG"/>
        <w:keepNext/>
        <w:spacing w:after="100"/>
      </w:pPr>
      <w:r w:rsidRPr="00595372">
        <w:rPr>
          <w:i/>
        </w:rPr>
        <w:t xml:space="preserve">Le paragraphe 2.4 </w:t>
      </w:r>
      <w:r w:rsidRPr="00595372">
        <w:t>devient le paragraphe 2.3 et est modifié comme suit:</w:t>
      </w:r>
    </w:p>
    <w:p w:rsidR="006633DC" w:rsidRPr="00595372" w:rsidRDefault="006633DC" w:rsidP="006633DC">
      <w:pPr>
        <w:pStyle w:val="SingleTxtG"/>
        <w:spacing w:after="100"/>
        <w:ind w:left="2268" w:hanging="1134"/>
      </w:pPr>
      <w:r w:rsidRPr="00595372">
        <w:t>«2.3</w:t>
      </w:r>
      <w:r w:rsidRPr="00595372">
        <w:tab/>
      </w:r>
      <w:r w:rsidRPr="00595372">
        <w:tab/>
        <w:t>Les matériaux constituant la lentille doivent être accompagnés</w:t>
      </w:r>
      <w:r>
        <w:t xml:space="preserve"> du procè</w:t>
      </w:r>
      <w:r>
        <w:noBreakHyphen/>
      </w:r>
      <w:r w:rsidRPr="00595372">
        <w:t>verbal d</w:t>
      </w:r>
      <w:r>
        <w:t>’</w:t>
      </w:r>
      <w:r w:rsidRPr="00595372">
        <w:t>essais concernant les caractéristiques de ces matériaux et revêtements, s</w:t>
      </w:r>
      <w:r>
        <w:t>’</w:t>
      </w:r>
      <w:r w:rsidRPr="00595372">
        <w:t>ils ont déjà été mis à l</w:t>
      </w:r>
      <w:r>
        <w:t>’</w:t>
      </w:r>
      <w:r w:rsidRPr="00595372">
        <w:t>épreuve.».</w:t>
      </w:r>
    </w:p>
    <w:p w:rsidR="006633DC" w:rsidRPr="00595372" w:rsidRDefault="006633DC" w:rsidP="006633DC">
      <w:pPr>
        <w:pStyle w:val="SingleTxtG"/>
        <w:keepNext/>
        <w:spacing w:after="100"/>
      </w:pPr>
      <w:r w:rsidRPr="00595372">
        <w:rPr>
          <w:i/>
        </w:rPr>
        <w:t>Paragraphe 3.1</w:t>
      </w:r>
      <w:r w:rsidRPr="00595372">
        <w:t>, modifier comme suit:</w:t>
      </w:r>
    </w:p>
    <w:p w:rsidR="006633DC" w:rsidRPr="00595372" w:rsidRDefault="006633DC" w:rsidP="006633DC">
      <w:pPr>
        <w:pStyle w:val="SingleTxtG"/>
        <w:spacing w:after="100"/>
        <w:ind w:left="2268" w:hanging="1134"/>
      </w:pPr>
      <w:r w:rsidRPr="00595372">
        <w:t>«3.1</w:t>
      </w:r>
      <w:r w:rsidRPr="00595372">
        <w:tab/>
        <w:t>Les projecteurs présentés à l</w:t>
      </w:r>
      <w:r>
        <w:t>’</w:t>
      </w:r>
      <w:r w:rsidRPr="00595372">
        <w:t>homologation doivent porter la marque de fabrique ou de commerce du demandeur, inscrite de manière lisible et indélébile.».</w:t>
      </w:r>
    </w:p>
    <w:p w:rsidR="006633DC" w:rsidRPr="00595372" w:rsidRDefault="006633DC" w:rsidP="006633DC">
      <w:pPr>
        <w:pStyle w:val="SingleTxtG"/>
        <w:spacing w:after="100"/>
      </w:pPr>
      <w:r w:rsidRPr="00595372">
        <w:rPr>
          <w:i/>
        </w:rPr>
        <w:t>Paragraphe 3.5</w:t>
      </w:r>
      <w:r w:rsidRPr="00595372">
        <w:t>,</w:t>
      </w:r>
      <w:r w:rsidRPr="00595372">
        <w:rPr>
          <w:i/>
        </w:rPr>
        <w:t xml:space="preserve"> </w:t>
      </w:r>
      <w:r w:rsidRPr="00595372">
        <w:t>supprimer.</w:t>
      </w:r>
    </w:p>
    <w:p w:rsidR="006633DC" w:rsidRPr="00595372" w:rsidRDefault="006633DC" w:rsidP="006633DC">
      <w:pPr>
        <w:pStyle w:val="SingleTxtG"/>
        <w:spacing w:after="100"/>
        <w:rPr>
          <w:i/>
        </w:rPr>
      </w:pPr>
      <w:r w:rsidRPr="00595372">
        <w:rPr>
          <w:i/>
        </w:rPr>
        <w:t xml:space="preserve">Les paragraphes 3.6 à 3.7.2 </w:t>
      </w:r>
      <w:r w:rsidRPr="00595372">
        <w:t>deviennent les paragraphes 3.5 à 3.6.2.</w:t>
      </w:r>
    </w:p>
    <w:p w:rsidR="006633DC" w:rsidRPr="00595372" w:rsidRDefault="006633DC" w:rsidP="006633DC">
      <w:pPr>
        <w:pStyle w:val="SingleTxtG"/>
        <w:spacing w:after="100"/>
      </w:pPr>
      <w:r w:rsidRPr="00595372">
        <w:rPr>
          <w:i/>
        </w:rPr>
        <w:t>Paragraphe 4.2.2.8</w:t>
      </w:r>
      <w:r w:rsidRPr="00595372">
        <w:t>,</w:t>
      </w:r>
      <w:r w:rsidRPr="00595372">
        <w:rPr>
          <w:i/>
        </w:rPr>
        <w:t xml:space="preserve"> </w:t>
      </w:r>
      <w:r w:rsidRPr="00595372">
        <w:t>supprimer.</w:t>
      </w:r>
    </w:p>
    <w:p w:rsidR="006633DC" w:rsidRPr="00595372" w:rsidRDefault="006633DC" w:rsidP="006633DC">
      <w:pPr>
        <w:pStyle w:val="SingleTxtG"/>
        <w:keepNext/>
        <w:spacing w:after="100"/>
      </w:pPr>
      <w:r w:rsidRPr="00595372">
        <w:rPr>
          <w:i/>
        </w:rPr>
        <w:t>Paragraphe 4.2.5</w:t>
      </w:r>
      <w:r w:rsidRPr="00595372">
        <w:t>,</w:t>
      </w:r>
      <w:r w:rsidRPr="00595372">
        <w:rPr>
          <w:i/>
        </w:rPr>
        <w:t xml:space="preserve"> </w:t>
      </w:r>
      <w:r w:rsidRPr="00595372">
        <w:t>modifier comme suit:</w:t>
      </w:r>
    </w:p>
    <w:p w:rsidR="006633DC" w:rsidRPr="00595372" w:rsidRDefault="006633DC" w:rsidP="006633DC">
      <w:pPr>
        <w:pStyle w:val="SingleTxtG"/>
        <w:spacing w:after="100"/>
        <w:ind w:left="2268" w:hanging="1134"/>
      </w:pPr>
      <w:r w:rsidRPr="00595372">
        <w:t>«4.2.5</w:t>
      </w:r>
      <w:r w:rsidRPr="00595372">
        <w:tab/>
        <w:t>Les marques et les symboles mentionnés aux paragraphes 4.2.1 à 4.2.3 ci</w:t>
      </w:r>
      <w:r w:rsidRPr="00595372">
        <w:noBreakHyphen/>
        <w:t xml:space="preserve">dessus doivent être clairement lisibles et indélébiles. Ils peuvent être apposés sur une partie intérieure ou extérieure (transparente ou non) du </w:t>
      </w:r>
      <w:r w:rsidRPr="00595372">
        <w:lastRenderedPageBreak/>
        <w:t>projecteur qui ne peut être séparée de la partie transparente du projecteur émettant la lumière.».</w:t>
      </w:r>
    </w:p>
    <w:p w:rsidR="006633DC" w:rsidRPr="00595372" w:rsidRDefault="006633DC" w:rsidP="006633DC">
      <w:pPr>
        <w:pStyle w:val="SingleTxtG"/>
        <w:keepNext/>
        <w:spacing w:line="240" w:lineRule="auto"/>
      </w:pPr>
      <w:r w:rsidRPr="00595372">
        <w:rPr>
          <w:i/>
        </w:rPr>
        <w:t>Paragraphe 4.3.2.2.2</w:t>
      </w:r>
      <w:r w:rsidRPr="00595372">
        <w:t>,</w:t>
      </w:r>
      <w:r w:rsidRPr="00595372">
        <w:rPr>
          <w:i/>
        </w:rPr>
        <w:t xml:space="preserve"> </w:t>
      </w:r>
      <w:r w:rsidRPr="00595372">
        <w:t>modifier comme suit:</w:t>
      </w:r>
    </w:p>
    <w:p w:rsidR="006633DC" w:rsidRPr="00595372" w:rsidRDefault="006633DC" w:rsidP="006633DC">
      <w:pPr>
        <w:pStyle w:val="SingleTxtG"/>
        <w:ind w:left="2268" w:hanging="1134"/>
      </w:pPr>
      <w:r w:rsidRPr="00595372">
        <w:t>«4.3.2.2.2</w:t>
      </w:r>
      <w:r w:rsidRPr="00595372">
        <w:tab/>
        <w:t>Soit en groupe, de telle sorte que chacun des feux groupés, combinés ou mutuellement incorporés puisse être clairement identifié (voir exemples possibles dans l</w:t>
      </w:r>
      <w:r>
        <w:t>’</w:t>
      </w:r>
      <w:r w:rsidRPr="00595372">
        <w:t>annexe 2, fig</w:t>
      </w:r>
      <w:r>
        <w:t>.</w:t>
      </w:r>
      <w:r w:rsidRPr="00595372">
        <w:t> 10, 11, 12).».</w:t>
      </w:r>
    </w:p>
    <w:p w:rsidR="006633DC" w:rsidRPr="00595372" w:rsidRDefault="006633DC" w:rsidP="006633DC">
      <w:pPr>
        <w:pStyle w:val="SingleTxtG"/>
        <w:keepNext/>
        <w:spacing w:line="240" w:lineRule="auto"/>
        <w:rPr>
          <w:i/>
        </w:rPr>
      </w:pPr>
      <w:r w:rsidRPr="00595372">
        <w:rPr>
          <w:i/>
        </w:rPr>
        <w:t>Paragraphe 4.3.2.5</w:t>
      </w:r>
      <w:r w:rsidRPr="00595372">
        <w:t>,</w:t>
      </w:r>
      <w:r w:rsidRPr="00595372">
        <w:rPr>
          <w:i/>
        </w:rPr>
        <w:t xml:space="preserve"> </w:t>
      </w:r>
      <w:r w:rsidRPr="00595372">
        <w:t>modifier comme suit:</w:t>
      </w:r>
    </w:p>
    <w:p w:rsidR="006633DC" w:rsidRPr="00595372" w:rsidRDefault="006633DC" w:rsidP="006633DC">
      <w:pPr>
        <w:pStyle w:val="SingleTxtG"/>
        <w:ind w:left="2268" w:hanging="1134"/>
      </w:pPr>
      <w:r w:rsidRPr="00595372">
        <w:t>«4.3.2.5</w:t>
      </w:r>
      <w:r w:rsidRPr="00595372">
        <w:tab/>
        <w:t>Les figures 10, 11 et 12 de l</w:t>
      </w:r>
      <w:r>
        <w:t>’</w:t>
      </w:r>
      <w:r w:rsidRPr="00595372">
        <w:t>annexe 2 du présent Règlement donnent des exemples de marques d</w:t>
      </w:r>
      <w:r>
        <w:t>’</w:t>
      </w:r>
      <w:r w:rsidRPr="00595372">
        <w:t>homologation des feux groupés, combinés ou mutuellement incorporés, avec tous les symboles additionnels mentionnés ci</w:t>
      </w:r>
      <w:r w:rsidRPr="00595372">
        <w:noBreakHyphen/>
        <w:t>dessus.».</w:t>
      </w:r>
    </w:p>
    <w:p w:rsidR="006633DC" w:rsidRPr="00595372" w:rsidRDefault="006633DC" w:rsidP="006633DC">
      <w:pPr>
        <w:pStyle w:val="SingleTxtG"/>
        <w:keepNext/>
        <w:spacing w:line="240" w:lineRule="auto"/>
      </w:pPr>
      <w:r w:rsidRPr="009C66FB">
        <w:rPr>
          <w:i/>
        </w:rPr>
        <w:t>Paragraphe 4</w:t>
      </w:r>
      <w:r w:rsidRPr="00595372">
        <w:rPr>
          <w:i/>
        </w:rPr>
        <w:t>.3.3.1</w:t>
      </w:r>
      <w:r w:rsidRPr="00595372">
        <w:t>,</w:t>
      </w:r>
      <w:r w:rsidRPr="00595372">
        <w:rPr>
          <w:i/>
        </w:rPr>
        <w:t xml:space="preserve"> </w:t>
      </w:r>
      <w:r w:rsidRPr="00595372">
        <w:t>modifier comme suit:</w:t>
      </w:r>
    </w:p>
    <w:p w:rsidR="006633DC" w:rsidRPr="00595372" w:rsidRDefault="006633DC" w:rsidP="006633DC">
      <w:pPr>
        <w:pStyle w:val="SingleTxtG"/>
        <w:ind w:left="2268" w:hanging="1134"/>
      </w:pPr>
      <w:r w:rsidRPr="00595372">
        <w:t>«4.3.3.1</w:t>
      </w:r>
      <w:r w:rsidRPr="00595372">
        <w:tab/>
        <w:t>En outre, lorsque la même lentille est utilisée, elle peut porter les différentes marques d</w:t>
      </w:r>
      <w:r>
        <w:t>’</w:t>
      </w:r>
      <w:r w:rsidRPr="00595372">
        <w:t>homologation qui correspondent aux différents types de projecteurs ou d</w:t>
      </w:r>
      <w:r>
        <w:t>’</w:t>
      </w:r>
      <w:r w:rsidRPr="00595372">
        <w:t>ensembles de feux, à condition que le corps principal du projecteur, …».</w:t>
      </w:r>
    </w:p>
    <w:p w:rsidR="006633DC" w:rsidRPr="00595372" w:rsidRDefault="006633DC" w:rsidP="006633DC">
      <w:pPr>
        <w:pStyle w:val="SingleTxtG"/>
        <w:keepNext/>
        <w:spacing w:line="240" w:lineRule="auto"/>
      </w:pPr>
      <w:r w:rsidRPr="00595372">
        <w:rPr>
          <w:i/>
        </w:rPr>
        <w:t>Paragraphe 4.3.3.2</w:t>
      </w:r>
      <w:r w:rsidRPr="00595372">
        <w:t>,</w:t>
      </w:r>
      <w:r w:rsidRPr="00595372">
        <w:rPr>
          <w:i/>
        </w:rPr>
        <w:t xml:space="preserve"> </w:t>
      </w:r>
      <w:r w:rsidRPr="00595372">
        <w:t>modifier comme suit:</w:t>
      </w:r>
    </w:p>
    <w:p w:rsidR="006633DC" w:rsidRPr="00595372" w:rsidRDefault="006633DC" w:rsidP="006633DC">
      <w:pPr>
        <w:pStyle w:val="SingleTxtG"/>
        <w:ind w:left="2268" w:hanging="1134"/>
      </w:pPr>
      <w:r w:rsidRPr="00595372">
        <w:t>«4.3.3.2</w:t>
      </w:r>
      <w:r w:rsidRPr="00595372">
        <w:tab/>
        <w:t>La figure 10 de l</w:t>
      </w:r>
      <w:r>
        <w:t>’</w:t>
      </w:r>
      <w:r w:rsidRPr="00595372">
        <w:t>annexe 2 du présent Règlement donne des exemples de marques d</w:t>
      </w:r>
      <w:r>
        <w:t>’</w:t>
      </w:r>
      <w:r w:rsidRPr="00595372">
        <w:t>homologation correspondant au cas susmentionné.».</w:t>
      </w:r>
    </w:p>
    <w:p w:rsidR="006633DC" w:rsidRPr="00595372" w:rsidRDefault="006633DC" w:rsidP="006633DC">
      <w:pPr>
        <w:pStyle w:val="SingleTxtG"/>
        <w:spacing w:line="240" w:lineRule="auto"/>
      </w:pPr>
      <w:r w:rsidRPr="00595372">
        <w:rPr>
          <w:i/>
        </w:rPr>
        <w:t>Paragraphe 4.3.4</w:t>
      </w:r>
      <w:r w:rsidRPr="00595372">
        <w:t>,</w:t>
      </w:r>
      <w:r w:rsidRPr="00595372">
        <w:rPr>
          <w:i/>
        </w:rPr>
        <w:t xml:space="preserve"> </w:t>
      </w:r>
      <w:r w:rsidRPr="00595372">
        <w:t>supprimer.</w:t>
      </w:r>
    </w:p>
    <w:p w:rsidR="006633DC" w:rsidRPr="00595372" w:rsidRDefault="006633DC" w:rsidP="006633DC">
      <w:pPr>
        <w:pStyle w:val="SingleTxtG"/>
        <w:keepNext/>
        <w:spacing w:line="240" w:lineRule="auto"/>
      </w:pPr>
      <w:r w:rsidRPr="00595372">
        <w:rPr>
          <w:i/>
        </w:rPr>
        <w:t>Paragraphes 5.8 à 5.8.4</w:t>
      </w:r>
      <w:r w:rsidRPr="00595372">
        <w:t>,</w:t>
      </w:r>
      <w:r w:rsidRPr="00595372">
        <w:rPr>
          <w:i/>
        </w:rPr>
        <w:t xml:space="preserve"> </w:t>
      </w:r>
      <w:r w:rsidRPr="00595372">
        <w:t>modifier comme suit:</w:t>
      </w:r>
    </w:p>
    <w:p w:rsidR="006633DC" w:rsidRPr="00595372" w:rsidRDefault="006633DC" w:rsidP="006633DC">
      <w:pPr>
        <w:pStyle w:val="SingleTxtG"/>
        <w:keepNext/>
        <w:ind w:left="2268" w:hanging="1134"/>
      </w:pPr>
      <w:r w:rsidRPr="00595372">
        <w:t>«5.8</w:t>
      </w:r>
      <w:r w:rsidRPr="00595372">
        <w:tab/>
        <w:t>Sources lumineuses</w:t>
      </w:r>
    </w:p>
    <w:p w:rsidR="006633DC" w:rsidRPr="00595372" w:rsidRDefault="006633DC" w:rsidP="006633DC">
      <w:pPr>
        <w:pStyle w:val="SingleTxtG"/>
        <w:ind w:left="2268" w:hanging="1134"/>
      </w:pPr>
      <w:r w:rsidRPr="00595372">
        <w:t>5.8.1</w:t>
      </w:r>
      <w:r w:rsidRPr="00595372">
        <w:tab/>
        <w:t xml:space="preserve">Les sources lumineuses à décharge utilisées dans les projecteurs à décharge doivent être remplaçables et homologuées conformément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595372">
        <w:t xml:space="preserve">99 </w:t>
      </w:r>
      <w:r w:rsidRPr="00595372">
        <w:rPr>
          <w:bCs/>
        </w:rPr>
        <w:t>et ses séries d</w:t>
      </w:r>
      <w:r>
        <w:rPr>
          <w:bCs/>
        </w:rPr>
        <w:t>’</w:t>
      </w:r>
      <w:r w:rsidRPr="00595372">
        <w:rPr>
          <w:bCs/>
        </w:rPr>
        <w:t>amendements en vigueur à la date de la demande d</w:t>
      </w:r>
      <w:r>
        <w:rPr>
          <w:bCs/>
        </w:rPr>
        <w:t>’</w:t>
      </w:r>
      <w:r w:rsidRPr="00595372">
        <w:rPr>
          <w:bCs/>
        </w:rPr>
        <w:t>homologation de type.</w:t>
      </w:r>
      <w:r w:rsidRPr="00595372">
        <w:rPr>
          <w:strike/>
        </w:rPr>
        <w:t xml:space="preserve"> </w:t>
      </w:r>
    </w:p>
    <w:p w:rsidR="006633DC" w:rsidRPr="00595372" w:rsidRDefault="006633DC" w:rsidP="006633DC">
      <w:pPr>
        <w:pStyle w:val="SingleTxtG"/>
        <w:ind w:left="2268" w:hanging="1134"/>
      </w:pPr>
      <w:r w:rsidRPr="00595372">
        <w:t>5.8.2</w:t>
      </w:r>
      <w:r w:rsidRPr="00595372">
        <w:tab/>
        <w:t>Lorsqu</w:t>
      </w:r>
      <w:r>
        <w:t>’</w:t>
      </w:r>
      <w:r w:rsidRPr="00595372">
        <w:t>une ou plusieurs sources lumineuses à incandescence (supplémentaires) sont utilisées dans un projecteur à décharge, elles doivent être remplaçables</w:t>
      </w:r>
      <w:r w:rsidRPr="00595372">
        <w:rPr>
          <w:b/>
        </w:rPr>
        <w:t xml:space="preserve"> </w:t>
      </w:r>
      <w:r w:rsidRPr="00595372">
        <w:t xml:space="preserve">et homologuées conformément au Règlement </w:t>
      </w:r>
      <w:r w:rsidRPr="00595372">
        <w:rPr>
          <w:rFonts w:eastAsia="MS Mincho"/>
        </w:rPr>
        <w:t>n</w:t>
      </w:r>
      <w:r w:rsidRPr="00595372">
        <w:rPr>
          <w:rFonts w:eastAsia="MS Mincho"/>
          <w:vertAlign w:val="superscript"/>
        </w:rPr>
        <w:t>o</w:t>
      </w:r>
      <w:r w:rsidRPr="00595372">
        <w:t> 37 et à ses séries d</w:t>
      </w:r>
      <w:r>
        <w:t>’</w:t>
      </w:r>
      <w:r w:rsidRPr="00595372">
        <w:t>amendements en vigueur à la date de la demande d</w:t>
      </w:r>
      <w:r>
        <w:t>’</w:t>
      </w:r>
      <w:r w:rsidRPr="00595372">
        <w:t>homologation de type, à condition qu</w:t>
      </w:r>
      <w:r>
        <w:t>’</w:t>
      </w:r>
      <w:r w:rsidRPr="00595372">
        <w:t>ils ne mentionnent aucune restriction d</w:t>
      </w:r>
      <w:r>
        <w:t>’</w:t>
      </w:r>
      <w:r w:rsidRPr="00595372">
        <w:t>utilisation.</w:t>
      </w:r>
    </w:p>
    <w:p w:rsidR="006633DC" w:rsidRPr="00595372" w:rsidRDefault="006633DC" w:rsidP="006633DC">
      <w:pPr>
        <w:pStyle w:val="SingleTxtG"/>
        <w:ind w:left="2268" w:hanging="1134"/>
      </w:pPr>
      <w:r w:rsidRPr="00595372">
        <w:t>5.8.3</w:t>
      </w:r>
      <w:r w:rsidRPr="00595372">
        <w:tab/>
        <w:t>Le dispositif doit être conçu de telle sorte que la source lumineuse ne puisse être montée que dans sa position correcte.</w:t>
      </w:r>
    </w:p>
    <w:p w:rsidR="006633DC" w:rsidRPr="00595372" w:rsidRDefault="006633DC" w:rsidP="006633DC">
      <w:pPr>
        <w:pStyle w:val="SingleTxtG"/>
        <w:ind w:left="2268" w:hanging="1134"/>
      </w:pPr>
      <w:r w:rsidRPr="00595372">
        <w:t>5.8.4</w:t>
      </w:r>
      <w:r w:rsidRPr="00595372">
        <w:tab/>
        <w:t>La douille doit être conforme aux caractéristiques dimensionnelles correspondant à la catégorie de source lumineuse utilisée qui figurent sur la feuille de données de la publication CEI 60061. La ou les sources lumineuses doivent pouvoir être montées facilement dans le projecteur.».</w:t>
      </w:r>
    </w:p>
    <w:p w:rsidR="006633DC" w:rsidRPr="00595372" w:rsidRDefault="006633DC" w:rsidP="006633DC">
      <w:pPr>
        <w:pStyle w:val="SingleTxtG"/>
        <w:spacing w:line="240" w:lineRule="auto"/>
      </w:pPr>
      <w:r w:rsidRPr="00595372">
        <w:rPr>
          <w:i/>
        </w:rPr>
        <w:t>Paragraphes 5.9 à 5.9.3</w:t>
      </w:r>
      <w:r w:rsidRPr="00595372">
        <w:t>,</w:t>
      </w:r>
      <w:r w:rsidRPr="00595372">
        <w:rPr>
          <w:i/>
        </w:rPr>
        <w:t xml:space="preserve"> </w:t>
      </w:r>
      <w:r w:rsidRPr="00595372">
        <w:t>supprimer.</w:t>
      </w:r>
    </w:p>
    <w:p w:rsidR="006633DC" w:rsidRPr="00595372" w:rsidRDefault="006633DC" w:rsidP="006633DC">
      <w:pPr>
        <w:pStyle w:val="SingleTxtG"/>
        <w:spacing w:line="240" w:lineRule="auto"/>
        <w:rPr>
          <w:i/>
        </w:rPr>
      </w:pPr>
      <w:r w:rsidRPr="00595372">
        <w:rPr>
          <w:i/>
        </w:rPr>
        <w:t xml:space="preserve">Les paragraphes 5.10 à 5.13 </w:t>
      </w:r>
      <w:r w:rsidRPr="00595372">
        <w:t>deviennent les paragraphes 5.9 à 5.12.</w:t>
      </w:r>
    </w:p>
    <w:p w:rsidR="006633DC" w:rsidRPr="00595372" w:rsidRDefault="006633DC" w:rsidP="006633DC">
      <w:pPr>
        <w:pStyle w:val="SingleTxtG"/>
        <w:keepNext/>
        <w:spacing w:line="240" w:lineRule="auto"/>
      </w:pPr>
      <w:r w:rsidRPr="00595372">
        <w:rPr>
          <w:i/>
        </w:rPr>
        <w:t>Paragraphe 6.1.1</w:t>
      </w:r>
      <w:r w:rsidRPr="00595372">
        <w:t>,</w:t>
      </w:r>
      <w:r w:rsidRPr="00595372">
        <w:rPr>
          <w:i/>
        </w:rPr>
        <w:t xml:space="preserve"> </w:t>
      </w:r>
      <w:r w:rsidRPr="00595372">
        <w:t>modifier comme suit:</w:t>
      </w:r>
    </w:p>
    <w:p w:rsidR="006633DC" w:rsidRPr="00595372" w:rsidRDefault="006633DC" w:rsidP="006633DC">
      <w:pPr>
        <w:pStyle w:val="SingleTxtG"/>
        <w:ind w:left="2268" w:hanging="1134"/>
      </w:pPr>
      <w:r w:rsidRPr="00595372">
        <w:t>«6.1.1</w:t>
      </w:r>
      <w:r w:rsidRPr="00595372">
        <w:tab/>
        <w:t>Les projecteurs doivent être construits de telle façon qu</w:t>
      </w:r>
      <w:r>
        <w:t>’</w:t>
      </w:r>
      <w:r w:rsidRPr="00595372">
        <w:t>avec des sources lumineuses à décharge appropriées ils donnent un éclairement suffisant mais non éblouissant lors de l</w:t>
      </w:r>
      <w:r>
        <w:t>’</w:t>
      </w:r>
      <w:r w:rsidRPr="00595372">
        <w:t>émission du faisceau de croisement et un bon éclairement lors de l</w:t>
      </w:r>
      <w:r>
        <w:t>’</w:t>
      </w:r>
      <w:r w:rsidRPr="00595372">
        <w:t>émission du faisceau de route.».</w:t>
      </w:r>
    </w:p>
    <w:p w:rsidR="006633DC" w:rsidRPr="00595372" w:rsidRDefault="006633DC" w:rsidP="006633DC">
      <w:pPr>
        <w:pStyle w:val="SingleTxtG"/>
        <w:keepNext/>
        <w:spacing w:line="240" w:lineRule="auto"/>
      </w:pPr>
      <w:r w:rsidRPr="00595372">
        <w:rPr>
          <w:i/>
        </w:rPr>
        <w:t>Paragraphe 6.1.3</w:t>
      </w:r>
      <w:r w:rsidRPr="00595372">
        <w:t>,</w:t>
      </w:r>
      <w:r w:rsidRPr="00595372">
        <w:rPr>
          <w:i/>
        </w:rPr>
        <w:t xml:space="preserve"> </w:t>
      </w:r>
      <w:r w:rsidRPr="00595372">
        <w:t>modifier comme suit:</w:t>
      </w:r>
    </w:p>
    <w:p w:rsidR="006633DC" w:rsidRPr="00595372" w:rsidRDefault="006633DC" w:rsidP="006633DC">
      <w:pPr>
        <w:pStyle w:val="SingleTxtG"/>
        <w:ind w:left="2268" w:hanging="1134"/>
      </w:pPr>
      <w:r w:rsidRPr="00595372">
        <w:t>«6.1.3</w:t>
      </w:r>
      <w:r w:rsidRPr="00595372">
        <w:tab/>
        <w:t>Le projecteur doit être considéré comme satisfaisant si les prescriptions relatives aux valeurs photométriques énoncées dans le présent paragraphe 6 sont respectées pour une source lumineuse qui a subi un processus de vieillissement d</w:t>
      </w:r>
      <w:r>
        <w:t>’</w:t>
      </w:r>
      <w:r w:rsidRPr="00595372">
        <w:t>une durée minimale de 15 cycles, conformément au paragraphe 4 de l</w:t>
      </w:r>
      <w:r>
        <w:t>’</w:t>
      </w:r>
      <w:r w:rsidRPr="00595372">
        <w:t>annexe 4 du Règlement n</w:t>
      </w:r>
      <w:r w:rsidRPr="00595372">
        <w:rPr>
          <w:vertAlign w:val="superscript"/>
        </w:rPr>
        <w:t>o</w:t>
      </w:r>
      <w:r w:rsidRPr="00595372">
        <w:t> 99.</w:t>
      </w:r>
    </w:p>
    <w:p w:rsidR="006633DC" w:rsidRPr="00595372" w:rsidRDefault="006633DC" w:rsidP="006633DC">
      <w:pPr>
        <w:pStyle w:val="SingleTxtG"/>
        <w:ind w:left="2268"/>
      </w:pPr>
      <w:r w:rsidRPr="00595372">
        <w:t>Cette source doit être une source lumineuse de série (étalon) homologuée selon le Règlement n</w:t>
      </w:r>
      <w:r w:rsidRPr="00595372">
        <w:rPr>
          <w:vertAlign w:val="superscript"/>
        </w:rPr>
        <w:t>o</w:t>
      </w:r>
      <w:r w:rsidRPr="00595372">
        <w:t> 99 et son flux peut différer de l</w:t>
      </w:r>
      <w:r>
        <w:t>’</w:t>
      </w:r>
      <w:r w:rsidRPr="00595372">
        <w:t>objectif qui est fixé dans le Règlement n</w:t>
      </w:r>
      <w:r w:rsidRPr="00595372">
        <w:rPr>
          <w:vertAlign w:val="superscript"/>
        </w:rPr>
        <w:t>o</w:t>
      </w:r>
      <w:r w:rsidRPr="00595372">
        <w:t> 99. Dans ce cas, les intensités lumineuses doivent être corrigées en conséquence.».</w:t>
      </w:r>
    </w:p>
    <w:p w:rsidR="00CF648E" w:rsidRDefault="00CF648E" w:rsidP="00CF648E">
      <w:pPr>
        <w:pStyle w:val="SingleTxtG"/>
        <w:keepNext/>
        <w:rPr>
          <w:i/>
        </w:rPr>
      </w:pPr>
      <w:r>
        <w:rPr>
          <w:i/>
        </w:rPr>
        <w:t>A</w:t>
      </w:r>
      <w:r w:rsidRPr="00595372">
        <w:rPr>
          <w:i/>
        </w:rPr>
        <w:t xml:space="preserve">nnexe 1, </w:t>
      </w:r>
    </w:p>
    <w:p w:rsidR="00CF648E" w:rsidRPr="00595372" w:rsidRDefault="00CF648E" w:rsidP="00CF648E">
      <w:pPr>
        <w:pStyle w:val="SingleTxtG"/>
        <w:keepNext/>
      </w:pPr>
      <w:r>
        <w:rPr>
          <w:i/>
        </w:rPr>
        <w:t xml:space="preserve">Le </w:t>
      </w:r>
      <w:r w:rsidRPr="00595372">
        <w:rPr>
          <w:i/>
        </w:rPr>
        <w:t>titre</w:t>
      </w:r>
      <w:r w:rsidRPr="00595372">
        <w:t>, modifier comme suit:</w:t>
      </w:r>
    </w:p>
    <w:p w:rsidR="00CF648E" w:rsidRPr="00595372" w:rsidRDefault="00CF648E" w:rsidP="00CF648E">
      <w:pPr>
        <w:pStyle w:val="HChG"/>
      </w:pPr>
      <w:r>
        <w:tab/>
      </w:r>
      <w:r>
        <w:tab/>
      </w:r>
      <w:r w:rsidRPr="00595372">
        <w:t>«Communication concernant l</w:t>
      </w:r>
      <w:r>
        <w:t>’</w:t>
      </w:r>
      <w:r w:rsidRPr="00595372">
        <w:t>homologation, l</w:t>
      </w:r>
      <w:r>
        <w:t>’</w:t>
      </w:r>
      <w:r w:rsidRPr="00595372">
        <w:t>extension, le refus ou le retrait d</w:t>
      </w:r>
      <w:r>
        <w:t>’</w:t>
      </w:r>
      <w:r w:rsidRPr="00595372">
        <w:t>une homologation ou l</w:t>
      </w:r>
      <w:r>
        <w:t>’</w:t>
      </w:r>
      <w:r w:rsidRPr="00595372">
        <w:t>arrêt définitif de la production d</w:t>
      </w:r>
      <w:r>
        <w:t>’</w:t>
      </w:r>
      <w:r w:rsidRPr="00595372">
        <w:t>un type de projecteur en application du Règlement n</w:t>
      </w:r>
      <w:r w:rsidRPr="00595372">
        <w:rPr>
          <w:vertAlign w:val="superscript"/>
        </w:rPr>
        <w:t>o</w:t>
      </w:r>
      <w:r w:rsidRPr="00595372">
        <w:t> 98»</w:t>
      </w:r>
    </w:p>
    <w:p w:rsidR="00CF648E" w:rsidRDefault="006633DC" w:rsidP="006633DC">
      <w:pPr>
        <w:pStyle w:val="SingleTxtG"/>
        <w:keepNext/>
        <w:spacing w:line="240" w:lineRule="auto"/>
        <w:ind w:right="1133"/>
        <w:rPr>
          <w:i/>
          <w:lang w:val="fr-FR"/>
        </w:rPr>
      </w:pPr>
      <w:r w:rsidRPr="00A46DA7">
        <w:rPr>
          <w:i/>
          <w:lang w:val="fr-FR"/>
        </w:rPr>
        <w:t>Annex</w:t>
      </w:r>
      <w:r>
        <w:rPr>
          <w:i/>
          <w:lang w:val="fr-FR"/>
        </w:rPr>
        <w:t>e</w:t>
      </w:r>
      <w:r w:rsidRPr="00A46DA7">
        <w:rPr>
          <w:i/>
          <w:lang w:val="fr-FR"/>
        </w:rPr>
        <w:t xml:space="preserve"> 9, </w:t>
      </w:r>
    </w:p>
    <w:p w:rsidR="006633DC" w:rsidRPr="00B4710D" w:rsidRDefault="00CF648E" w:rsidP="006633DC">
      <w:pPr>
        <w:pStyle w:val="SingleTxtG"/>
        <w:keepNext/>
        <w:spacing w:line="240" w:lineRule="auto"/>
        <w:ind w:right="1133"/>
        <w:rPr>
          <w:lang w:val="fr-FR"/>
        </w:rPr>
      </w:pPr>
      <w:r>
        <w:rPr>
          <w:i/>
          <w:lang w:val="fr-FR"/>
        </w:rPr>
        <w:t>P</w:t>
      </w:r>
      <w:r w:rsidR="006633DC" w:rsidRPr="00B4710D">
        <w:rPr>
          <w:i/>
          <w:lang w:val="fr-FR"/>
        </w:rPr>
        <w:t>aragraphe</w:t>
      </w:r>
      <w:r w:rsidR="006633DC">
        <w:rPr>
          <w:i/>
          <w:lang w:val="fr-FR"/>
        </w:rPr>
        <w:t xml:space="preserve"> 4</w:t>
      </w:r>
      <w:r w:rsidR="006633DC" w:rsidRPr="00B4710D">
        <w:rPr>
          <w:bCs/>
          <w:i/>
          <w:iCs/>
          <w:lang w:val="fr-FR"/>
        </w:rPr>
        <w:t xml:space="preserve">, </w:t>
      </w:r>
      <w:r w:rsidR="006633DC" w:rsidRPr="00B4710D">
        <w:rPr>
          <w:lang w:val="fr-FR"/>
        </w:rPr>
        <w:t>modifier comme suit:</w:t>
      </w:r>
    </w:p>
    <w:p w:rsidR="006633DC" w:rsidRPr="00595372" w:rsidRDefault="006633DC" w:rsidP="006633DC">
      <w:pPr>
        <w:pStyle w:val="SingleTxtG"/>
        <w:keepNext/>
        <w:ind w:left="2268" w:hanging="1134"/>
      </w:pPr>
      <w:r w:rsidRPr="00B4710D">
        <w:rPr>
          <w:lang w:val="fr-FR"/>
        </w:rPr>
        <w:t>4.</w:t>
      </w:r>
      <w:r w:rsidRPr="00B4710D">
        <w:rPr>
          <w:lang w:val="fr-FR"/>
        </w:rPr>
        <w:tab/>
      </w:r>
      <w:r w:rsidRPr="00B4710D">
        <w:tab/>
      </w:r>
      <w:r w:rsidRPr="00595372">
        <w:t>Modification de la position verticale de la ligne de coupure</w:t>
      </w:r>
    </w:p>
    <w:p w:rsidR="006633DC" w:rsidRPr="00595372" w:rsidRDefault="006633DC" w:rsidP="006633DC">
      <w:pPr>
        <w:pStyle w:val="SingleTxtG"/>
        <w:ind w:left="2268"/>
      </w:pPr>
      <w:r w:rsidRPr="00595372">
        <w:tab/>
        <w:t>Pour vérifier comment change la position verticale de la ligne de coupure sous l</w:t>
      </w:r>
      <w:r>
        <w:t>’</w:t>
      </w:r>
      <w:r w:rsidRPr="00595372">
        <w:t>effet de la chaleur, la méthode ci-dessous est appliquée:</w:t>
      </w:r>
    </w:p>
    <w:p w:rsidR="006633DC" w:rsidRPr="00595372" w:rsidRDefault="006633DC" w:rsidP="006633DC">
      <w:pPr>
        <w:pStyle w:val="SingleTxtG"/>
        <w:ind w:left="2268"/>
      </w:pPr>
      <w:r w:rsidRPr="00595372">
        <w:tab/>
        <w:t>Après prélè</w:t>
      </w:r>
      <w:r>
        <w:t>vement conformément à la figure </w:t>
      </w:r>
      <w:r w:rsidRPr="00595372">
        <w:t>1, un des projecteurs de l</w:t>
      </w:r>
      <w:r>
        <w:t>’échantillon </w:t>
      </w:r>
      <w:r w:rsidRPr="00595372">
        <w:t>A est soumis aux essais conformément à la procédure prévue au paragraphe</w:t>
      </w:r>
      <w:r>
        <w:t> </w:t>
      </w:r>
      <w:r w:rsidRPr="00595372">
        <w:t>2.1 de l</w:t>
      </w:r>
      <w:r>
        <w:t>’</w:t>
      </w:r>
      <w:r w:rsidRPr="00595372">
        <w:t>annexe 4 après avoir été soumis trois fois de suit</w:t>
      </w:r>
      <w:r>
        <w:t>e au cycle défini au paragraphe </w:t>
      </w:r>
      <w:r w:rsidRPr="00595372">
        <w:t>2.2.2 de l</w:t>
      </w:r>
      <w:r>
        <w:t>’</w:t>
      </w:r>
      <w:r w:rsidRPr="00595372">
        <w:t>annexe 4.</w:t>
      </w:r>
    </w:p>
    <w:p w:rsidR="006633DC" w:rsidRPr="00595372" w:rsidRDefault="006633DC" w:rsidP="006633DC">
      <w:pPr>
        <w:pStyle w:val="SingleTxtG"/>
        <w:ind w:left="2268"/>
      </w:pPr>
      <w:r w:rsidRPr="00595372">
        <w:tab/>
        <w:t>Le projecteur est considéré comme acceptable si Δr ne dépasse p</w:t>
      </w:r>
      <w:r>
        <w:t>as 1,5 mrad vers le haut et 2,5 </w:t>
      </w:r>
      <w:r w:rsidRPr="00595372">
        <w:t>mrad vers le bas.</w:t>
      </w:r>
    </w:p>
    <w:p w:rsidR="006633DC" w:rsidRDefault="006633DC" w:rsidP="006633DC">
      <w:pPr>
        <w:pStyle w:val="SingleTxtG"/>
        <w:ind w:left="2268"/>
      </w:pPr>
      <w:r>
        <w:tab/>
      </w:r>
      <w:r w:rsidRPr="00774AF9">
        <w:t>Si cette valeur dépasse 1,5 mrad sans excéder 2 mrad vers le haut, ou dépasse 2,5 mrad sans excéder 3 mrad vers le bas, le second projecteur de l’échantillon A est soumis à l’essai, après quoi la moyenne des valeurs absolues enregistrées pour les deux échantillons ne doit pas dépasser 1,5 mrad vers le haut et 2,5 mrad vers le bas.</w:t>
      </w:r>
    </w:p>
    <w:p w:rsidR="006633DC" w:rsidRDefault="006633DC" w:rsidP="006633DC">
      <w:pPr>
        <w:pStyle w:val="SingleTxtG"/>
        <w:ind w:left="2268"/>
      </w:pPr>
      <w:r w:rsidRPr="00595372">
        <w:t xml:space="preserve">Toutefois, si cette valeur </w:t>
      </w:r>
      <w:r>
        <w:t>de 1,5 mrad vers le haut et 2,5 </w:t>
      </w:r>
      <w:r w:rsidRPr="00595372">
        <w:t>mrad vers le bas n</w:t>
      </w:r>
      <w:r>
        <w:t>’</w:t>
      </w:r>
      <w:r w:rsidRPr="00595372">
        <w:t>est pas respectée pour l</w:t>
      </w:r>
      <w:r>
        <w:t>’</w:t>
      </w:r>
      <w:r w:rsidRPr="00595372">
        <w:t>échantillon A, les deux projecteurs de l</w:t>
      </w:r>
      <w:r>
        <w:t>’échantillon </w:t>
      </w:r>
      <w:r w:rsidRPr="00595372">
        <w:t>B sont soumis à la même procédure, et la valeur de Δr pour chacun d</w:t>
      </w:r>
      <w:r>
        <w:t>’</w:t>
      </w:r>
      <w:r w:rsidRPr="00595372">
        <w:t>ent</w:t>
      </w:r>
      <w:r>
        <w:t>re eux ne doit pas dépasser 1,5 mrad vers le haut et 2,5 </w:t>
      </w:r>
      <w:r w:rsidRPr="00595372">
        <w:t>mrad vers le bas.».</w:t>
      </w:r>
    </w:p>
    <w:p w:rsidR="000F17F6" w:rsidRPr="008D3D79" w:rsidRDefault="000F17F6" w:rsidP="000F17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0207" w:rsidRPr="00DD1ED8" w:rsidRDefault="005F0207" w:rsidP="001C08ED">
      <w:pPr>
        <w:pStyle w:val="SingleTxtG"/>
        <w:rPr>
          <w:u w:val="single"/>
        </w:rPr>
      </w:pPr>
    </w:p>
    <w:sectPr w:rsidR="005F0207" w:rsidRPr="00DD1ED8" w:rsidSect="000314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CF" w:rsidRDefault="006B61CF"/>
  </w:endnote>
  <w:endnote w:type="continuationSeparator" w:id="0">
    <w:p w:rsidR="006B61CF" w:rsidRDefault="006B61CF">
      <w:pPr>
        <w:pStyle w:val="Footer"/>
      </w:pPr>
    </w:p>
  </w:endnote>
  <w:endnote w:type="continuationNotice" w:id="1">
    <w:p w:rsidR="006B61CF" w:rsidRPr="00C451B9" w:rsidRDefault="006B61C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3C0F9B">
      <w:rPr>
        <w:b/>
        <w:noProof/>
        <w:sz w:val="18"/>
      </w:rPr>
      <w:t>4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3C0F9B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3C0F9B" w:rsidP="00E97E2C">
    <w:pPr>
      <w:ind w:left="1134" w:right="1134"/>
      <w:jc w:val="cent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0.15pt;margin-top:651.95pt;width:86.95pt;height:18.35pt;z-index:251657728;mso-position-horizontal-relative:margin;mso-position-vertical-relative:margin">
          <v:imagedata r:id="rId1" o:title="recycle_French"/>
          <w10:wrap anchorx="margin" anchory="margin"/>
        </v:shape>
      </w:pict>
    </w:r>
    <w:r w:rsidR="00710974">
      <w:t>_______________</w:t>
    </w:r>
  </w:p>
  <w:p w:rsidR="00710974" w:rsidRDefault="003C0F9B" w:rsidP="00E97E2C">
    <w:pPr>
      <w:jc w:val="center"/>
      <w:rPr>
        <w:b/>
        <w:bCs/>
        <w:sz w:val="22"/>
      </w:rPr>
    </w:pPr>
    <w:r>
      <w:pict>
        <v:shape id="_x0000_i1025" type="#_x0000_t75" style="width:1in;height:60.6pt;mso-wrap-distance-bottom:10.8pt" o:allowoverlap="f" fillcolor="window">
          <v:imagedata r:id="rId2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710974" w:rsidRPr="000314C7" w:rsidRDefault="00710974" w:rsidP="000314C7">
    <w:pPr>
      <w:pStyle w:val="Footer"/>
      <w:spacing w:before="120"/>
      <w:rPr>
        <w:sz w:val="20"/>
      </w:rPr>
    </w:pPr>
    <w:r>
      <w:rPr>
        <w:sz w:val="20"/>
      </w:rPr>
      <w:t>GE</w:t>
    </w:r>
    <w:r w:rsidR="004750C7">
      <w:rPr>
        <w:sz w:val="20"/>
      </w:rPr>
      <w:t>.-15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CF" w:rsidRPr="00D27D5E" w:rsidRDefault="006B61C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61CF" w:rsidRPr="00D171D4" w:rsidRDefault="006B61C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6B61CF" w:rsidRPr="00C451B9" w:rsidRDefault="006B61CF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>
    <w:pPr>
      <w:pStyle w:val="Header"/>
    </w:pPr>
    <w:r>
      <w:t>E/ECE/324</w:t>
    </w:r>
    <w:r w:rsidR="006633DC" w:rsidRPr="006633DC">
      <w:t>/Rev.1/Add.97/Rev.3/Amend.4</w:t>
    </w:r>
    <w:r>
      <w:br/>
      <w:t>E/ECE/TRANS/505</w:t>
    </w:r>
    <w:r w:rsidR="006633DC" w:rsidRPr="006633DC">
      <w:t>/Rev.1/Add.97/Rev.3/Amend.4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804368" w:rsidP="000314C7">
    <w:pPr>
      <w:pStyle w:val="Header"/>
      <w:jc w:val="right"/>
    </w:pPr>
    <w:r>
      <w:t>E/ECE/324</w:t>
    </w:r>
    <w:r w:rsidRPr="006633DC">
      <w:t>/Rev.1/Add.97/Rev.3/Amend.4</w:t>
    </w:r>
    <w:r>
      <w:br/>
      <w:t>E/ECE/TRANS/505</w:t>
    </w:r>
    <w:r w:rsidRPr="006633DC">
      <w:t>/Rev.1/Add.97/Rev.3/Amend.4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8CD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1415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2107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4A4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C0F9B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47D38"/>
    <w:rsid w:val="00552260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33DC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B61CF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43B2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04368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5DE5"/>
    <w:rsid w:val="008A00CA"/>
    <w:rsid w:val="008A0FA8"/>
    <w:rsid w:val="008A1EC0"/>
    <w:rsid w:val="008B44C4"/>
    <w:rsid w:val="008B68DD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AE7D1E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F5C7F"/>
    <w:rsid w:val="00CF648E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1BEB"/>
    <w:rsid w:val="00DC3628"/>
    <w:rsid w:val="00DC4F43"/>
    <w:rsid w:val="00DC5038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6D5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407B"/>
    <w:rsid w:val="00EB77B9"/>
    <w:rsid w:val="00EB7D07"/>
    <w:rsid w:val="00ED3A26"/>
    <w:rsid w:val="00EF70BB"/>
    <w:rsid w:val="00F0266A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0891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6633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3DC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Lamy</dc:creator>
  <cp:lastModifiedBy>04</cp:lastModifiedBy>
  <cp:revision>3</cp:revision>
  <cp:lastPrinted>2015-06-05T09:56:00Z</cp:lastPrinted>
  <dcterms:created xsi:type="dcterms:W3CDTF">2015-06-15T09:21:00Z</dcterms:created>
  <dcterms:modified xsi:type="dcterms:W3CDTF">2015-06-22T09:42:00Z</dcterms:modified>
</cp:coreProperties>
</file>